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C58B3" w14:textId="07501B78" w:rsidR="00C43F0B" w:rsidRPr="006C3DB0" w:rsidRDefault="00C43F0B" w:rsidP="00C43F0B">
      <w:pPr>
        <w:spacing w:line="480" w:lineRule="auto"/>
        <w:jc w:val="center"/>
        <w:rPr>
          <w:b/>
          <w:sz w:val="24"/>
          <w:szCs w:val="24"/>
        </w:rPr>
      </w:pPr>
      <w:r w:rsidRPr="006C3DB0">
        <w:rPr>
          <w:b/>
          <w:sz w:val="24"/>
          <w:szCs w:val="24"/>
        </w:rPr>
        <w:t xml:space="preserve">Supplementary </w:t>
      </w:r>
      <w:r w:rsidR="004904C7">
        <w:rPr>
          <w:b/>
          <w:sz w:val="24"/>
          <w:szCs w:val="24"/>
        </w:rPr>
        <w:t>Data</w:t>
      </w:r>
    </w:p>
    <w:p w14:paraId="0E03B342" w14:textId="77777777" w:rsidR="00C43F0B" w:rsidRDefault="00C43F0B" w:rsidP="00C43F0B">
      <w:pPr>
        <w:pStyle w:val="Heading1"/>
        <w:spacing w:before="0" w:after="0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</w:t>
      </w:r>
    </w:p>
    <w:p w14:paraId="3F00917D" w14:textId="77777777" w:rsidR="00C43F0B" w:rsidRDefault="00C43F0B" w:rsidP="00C43F0B">
      <w:pPr>
        <w:pStyle w:val="Heading1"/>
        <w:spacing w:before="0" w:after="0"/>
        <w:contextualSpacing w:val="0"/>
        <w:jc w:val="center"/>
        <w:rPr>
          <w:b/>
          <w:sz w:val="24"/>
          <w:szCs w:val="24"/>
        </w:rPr>
      </w:pPr>
    </w:p>
    <w:p w14:paraId="13DA5030" w14:textId="77777777" w:rsidR="00C43F0B" w:rsidRPr="008D1F9D" w:rsidRDefault="00C43F0B" w:rsidP="00C43F0B">
      <w:pPr>
        <w:pStyle w:val="Heading1"/>
        <w:spacing w:before="0" w:after="0"/>
        <w:contextualSpacing w:val="0"/>
        <w:jc w:val="center"/>
        <w:rPr>
          <w:b/>
          <w:sz w:val="24"/>
          <w:szCs w:val="24"/>
        </w:rPr>
      </w:pPr>
      <w:r w:rsidRPr="008D1F9D">
        <w:rPr>
          <w:b/>
          <w:sz w:val="24"/>
          <w:szCs w:val="24"/>
        </w:rPr>
        <w:t>Characterization of Squamous Cell Lung Cancers from Appalachian Kentucky</w:t>
      </w:r>
    </w:p>
    <w:p w14:paraId="39430ADE" w14:textId="77777777" w:rsidR="00C43F0B" w:rsidRDefault="00C43F0B" w:rsidP="00C43F0B">
      <w:pPr>
        <w:jc w:val="center"/>
        <w:rPr>
          <w:sz w:val="24"/>
          <w:szCs w:val="24"/>
          <w:lang w:eastAsia="en-US"/>
        </w:rPr>
      </w:pPr>
    </w:p>
    <w:p w14:paraId="5C04C0C9" w14:textId="7FE6C250" w:rsidR="00C43F0B" w:rsidRPr="008D1F9D" w:rsidRDefault="002919D6" w:rsidP="00C43F0B">
      <w:pPr>
        <w:jc w:val="center"/>
        <w:rPr>
          <w:sz w:val="24"/>
          <w:szCs w:val="24"/>
          <w:lang w:eastAsia="en-US"/>
        </w:rPr>
      </w:pPr>
      <w:r w:rsidRPr="008D1F9D">
        <w:rPr>
          <w:sz w:val="24"/>
          <w:szCs w:val="24"/>
          <w:lang w:eastAsia="en-US"/>
        </w:rPr>
        <w:t>Jinpeng Liu</w:t>
      </w:r>
      <w:r w:rsidRPr="008D1F9D">
        <w:rPr>
          <w:sz w:val="24"/>
          <w:szCs w:val="24"/>
          <w:vertAlign w:val="superscript"/>
          <w:lang w:eastAsia="en-US"/>
        </w:rPr>
        <w:t>1</w:t>
      </w:r>
      <w:r>
        <w:rPr>
          <w:rFonts w:ascii="Arial Black" w:hAnsi="Arial Black"/>
          <w:sz w:val="24"/>
          <w:szCs w:val="24"/>
          <w:vertAlign w:val="superscript"/>
          <w:lang w:eastAsia="en-US"/>
        </w:rPr>
        <w:t>‡</w:t>
      </w:r>
      <w:r w:rsidRPr="008D1F9D">
        <w:rPr>
          <w:sz w:val="24"/>
          <w:szCs w:val="24"/>
          <w:vertAlign w:val="superscript"/>
          <w:lang w:eastAsia="en-US"/>
        </w:rPr>
        <w:t>,</w:t>
      </w:r>
      <w:r w:rsidRPr="008D1F9D">
        <w:rPr>
          <w:sz w:val="24"/>
          <w:szCs w:val="24"/>
          <w:lang w:eastAsia="en-US"/>
        </w:rPr>
        <w:t xml:space="preserve">, </w:t>
      </w:r>
      <w:proofErr w:type="spellStart"/>
      <w:r w:rsidRPr="008D1F9D">
        <w:rPr>
          <w:sz w:val="24"/>
          <w:szCs w:val="24"/>
          <w:lang w:eastAsia="en-US"/>
        </w:rPr>
        <w:t>Thilakam</w:t>
      </w:r>
      <w:proofErr w:type="spellEnd"/>
      <w:r w:rsidRPr="008D1F9D">
        <w:rPr>
          <w:sz w:val="24"/>
          <w:szCs w:val="24"/>
          <w:lang w:eastAsia="en-US"/>
        </w:rPr>
        <w:t xml:space="preserve"> Murali</w:t>
      </w:r>
      <w:r w:rsidRPr="008D1F9D">
        <w:rPr>
          <w:sz w:val="24"/>
          <w:szCs w:val="24"/>
          <w:vertAlign w:val="superscript"/>
          <w:lang w:eastAsia="en-US"/>
        </w:rPr>
        <w:t>2,</w:t>
      </w:r>
      <w:r>
        <w:rPr>
          <w:rFonts w:ascii="Arial Black" w:hAnsi="Arial Black"/>
          <w:sz w:val="24"/>
          <w:szCs w:val="24"/>
          <w:vertAlign w:val="superscript"/>
          <w:lang w:eastAsia="en-US"/>
        </w:rPr>
        <w:t>‡</w:t>
      </w:r>
      <w:r w:rsidRPr="008D1F9D">
        <w:rPr>
          <w:sz w:val="24"/>
          <w:szCs w:val="24"/>
          <w:lang w:eastAsia="en-US"/>
        </w:rPr>
        <w:t xml:space="preserve">, </w:t>
      </w:r>
      <w:proofErr w:type="spellStart"/>
      <w:r w:rsidRPr="008D1F9D">
        <w:rPr>
          <w:sz w:val="24"/>
          <w:szCs w:val="24"/>
          <w:lang w:eastAsia="en-US"/>
        </w:rPr>
        <w:t>Tianxin</w:t>
      </w:r>
      <w:proofErr w:type="spellEnd"/>
      <w:r w:rsidRPr="008D1F9D">
        <w:rPr>
          <w:sz w:val="24"/>
          <w:szCs w:val="24"/>
          <w:lang w:eastAsia="en-US"/>
        </w:rPr>
        <w:t xml:space="preserve"> Yu</w:t>
      </w:r>
      <w:r w:rsidRPr="008D1F9D">
        <w:rPr>
          <w:sz w:val="24"/>
          <w:szCs w:val="24"/>
          <w:vertAlign w:val="superscript"/>
          <w:lang w:eastAsia="en-US"/>
        </w:rPr>
        <w:t>2</w:t>
      </w:r>
      <w:r>
        <w:rPr>
          <w:sz w:val="24"/>
          <w:szCs w:val="24"/>
          <w:vertAlign w:val="superscript"/>
          <w:lang w:eastAsia="en-US"/>
        </w:rPr>
        <w:t>,</w:t>
      </w:r>
      <w:r>
        <w:rPr>
          <w:rFonts w:ascii="Arial Black" w:hAnsi="Arial Black"/>
          <w:sz w:val="24"/>
          <w:szCs w:val="24"/>
          <w:vertAlign w:val="superscript"/>
          <w:lang w:eastAsia="en-US"/>
        </w:rPr>
        <w:t>‡</w:t>
      </w:r>
      <w:r w:rsidRPr="008D1F9D">
        <w:rPr>
          <w:sz w:val="24"/>
          <w:szCs w:val="24"/>
          <w:lang w:eastAsia="en-US"/>
        </w:rPr>
        <w:t xml:space="preserve">, </w:t>
      </w:r>
      <w:proofErr w:type="spellStart"/>
      <w:r w:rsidRPr="008D1F9D">
        <w:rPr>
          <w:sz w:val="24"/>
          <w:szCs w:val="24"/>
          <w:lang w:eastAsia="en-US"/>
        </w:rPr>
        <w:t>Chunming</w:t>
      </w:r>
      <w:proofErr w:type="spellEnd"/>
      <w:r w:rsidRPr="008D1F9D">
        <w:rPr>
          <w:sz w:val="24"/>
          <w:szCs w:val="24"/>
          <w:lang w:eastAsia="en-US"/>
        </w:rPr>
        <w:t xml:space="preserve"> Liu</w:t>
      </w:r>
      <w:r w:rsidRPr="008D1F9D">
        <w:rPr>
          <w:sz w:val="24"/>
          <w:szCs w:val="24"/>
          <w:vertAlign w:val="superscript"/>
          <w:lang w:eastAsia="en-US"/>
        </w:rPr>
        <w:t>2</w:t>
      </w:r>
      <w:r w:rsidRPr="008D1F9D">
        <w:rPr>
          <w:sz w:val="24"/>
          <w:szCs w:val="24"/>
          <w:lang w:eastAsia="en-US"/>
        </w:rPr>
        <w:t xml:space="preserve">, </w:t>
      </w:r>
      <w:proofErr w:type="spellStart"/>
      <w:r w:rsidRPr="008D1F9D">
        <w:rPr>
          <w:sz w:val="24"/>
          <w:szCs w:val="24"/>
          <w:lang w:eastAsia="en-US"/>
        </w:rPr>
        <w:t>Theru</w:t>
      </w:r>
      <w:proofErr w:type="spellEnd"/>
      <w:r w:rsidRPr="008D1F9D">
        <w:rPr>
          <w:sz w:val="24"/>
          <w:szCs w:val="24"/>
          <w:lang w:eastAsia="en-US"/>
        </w:rPr>
        <w:t xml:space="preserve"> A</w:t>
      </w:r>
      <w:r>
        <w:rPr>
          <w:sz w:val="24"/>
          <w:szCs w:val="24"/>
          <w:lang w:eastAsia="en-US"/>
        </w:rPr>
        <w:t>.Sivakumaran</w:t>
      </w:r>
      <w:r w:rsidRPr="008D1F9D">
        <w:rPr>
          <w:sz w:val="24"/>
          <w:szCs w:val="24"/>
          <w:vertAlign w:val="superscript"/>
          <w:lang w:eastAsia="en-US"/>
        </w:rPr>
        <w:t>3</w:t>
      </w:r>
      <w:r w:rsidRPr="008D1F9D">
        <w:rPr>
          <w:sz w:val="24"/>
          <w:szCs w:val="24"/>
          <w:lang w:eastAsia="en-US"/>
        </w:rPr>
        <w:t xml:space="preserve">, Hunter </w:t>
      </w:r>
      <w:r>
        <w:rPr>
          <w:sz w:val="24"/>
          <w:szCs w:val="24"/>
          <w:lang w:eastAsia="en-US"/>
        </w:rPr>
        <w:t xml:space="preserve">N.B. </w:t>
      </w:r>
      <w:r w:rsidRPr="008D1F9D">
        <w:rPr>
          <w:sz w:val="24"/>
          <w:szCs w:val="24"/>
          <w:lang w:eastAsia="en-US"/>
        </w:rPr>
        <w:t>Moseley</w:t>
      </w:r>
      <w:r w:rsidRPr="008D1F9D">
        <w:rPr>
          <w:sz w:val="24"/>
          <w:szCs w:val="24"/>
          <w:vertAlign w:val="superscript"/>
          <w:lang w:eastAsia="en-US"/>
        </w:rPr>
        <w:t>2</w:t>
      </w:r>
      <w:r w:rsidRPr="008D1F9D">
        <w:rPr>
          <w:sz w:val="24"/>
          <w:szCs w:val="24"/>
          <w:lang w:eastAsia="en-US"/>
        </w:rPr>
        <w:t xml:space="preserve">, Igor </w:t>
      </w:r>
      <w:r>
        <w:rPr>
          <w:sz w:val="24"/>
          <w:szCs w:val="24"/>
          <w:lang w:eastAsia="en-US"/>
        </w:rPr>
        <w:t>B. Zhulin</w:t>
      </w:r>
      <w:r w:rsidRPr="008D1F9D">
        <w:rPr>
          <w:sz w:val="24"/>
          <w:szCs w:val="24"/>
          <w:vertAlign w:val="superscript"/>
          <w:lang w:eastAsia="en-US"/>
        </w:rPr>
        <w:t>4,5</w:t>
      </w:r>
      <w:r w:rsidRPr="008D1F9D">
        <w:rPr>
          <w:sz w:val="24"/>
          <w:szCs w:val="24"/>
          <w:lang w:eastAsia="en-US"/>
        </w:rPr>
        <w:t>, Heidi L. Weiss</w:t>
      </w:r>
      <w:r w:rsidRPr="008D1F9D">
        <w:rPr>
          <w:sz w:val="24"/>
          <w:szCs w:val="24"/>
          <w:vertAlign w:val="superscript"/>
          <w:lang w:eastAsia="en-US"/>
        </w:rPr>
        <w:t>1</w:t>
      </w:r>
      <w:r w:rsidRPr="008D1F9D">
        <w:rPr>
          <w:sz w:val="24"/>
          <w:szCs w:val="24"/>
          <w:lang w:eastAsia="en-US"/>
        </w:rPr>
        <w:t>, Eric</w:t>
      </w:r>
      <w:r>
        <w:rPr>
          <w:sz w:val="24"/>
          <w:szCs w:val="24"/>
          <w:lang w:eastAsia="en-US"/>
        </w:rPr>
        <w:t xml:space="preserve"> B.</w:t>
      </w:r>
      <w:r w:rsidRPr="008D1F9D">
        <w:rPr>
          <w:sz w:val="24"/>
          <w:szCs w:val="24"/>
          <w:lang w:eastAsia="en-US"/>
        </w:rPr>
        <w:t xml:space="preserve"> Durbin</w:t>
      </w:r>
      <w:r w:rsidRPr="008D1F9D">
        <w:rPr>
          <w:sz w:val="24"/>
          <w:szCs w:val="24"/>
          <w:vertAlign w:val="superscript"/>
          <w:lang w:eastAsia="en-US"/>
        </w:rPr>
        <w:t>1,6</w:t>
      </w:r>
      <w:r w:rsidRPr="008D1F9D">
        <w:rPr>
          <w:sz w:val="24"/>
          <w:szCs w:val="24"/>
          <w:lang w:eastAsia="en-US"/>
        </w:rPr>
        <w:t xml:space="preserve">, Sally </w:t>
      </w:r>
      <w:r>
        <w:rPr>
          <w:sz w:val="24"/>
          <w:szCs w:val="24"/>
          <w:lang w:eastAsia="en-US"/>
        </w:rPr>
        <w:t xml:space="preserve">R. </w:t>
      </w:r>
      <w:r w:rsidRPr="008D1F9D">
        <w:rPr>
          <w:sz w:val="24"/>
          <w:szCs w:val="24"/>
          <w:lang w:eastAsia="en-US"/>
        </w:rPr>
        <w:t>Ellingson</w:t>
      </w:r>
      <w:r w:rsidRPr="008D1F9D">
        <w:rPr>
          <w:sz w:val="24"/>
          <w:szCs w:val="24"/>
          <w:vertAlign w:val="superscript"/>
          <w:lang w:eastAsia="en-US"/>
        </w:rPr>
        <w:t>1,6</w:t>
      </w:r>
      <w:r w:rsidRPr="008D1F9D">
        <w:rPr>
          <w:sz w:val="24"/>
          <w:szCs w:val="24"/>
          <w:lang w:eastAsia="en-US"/>
        </w:rPr>
        <w:t xml:space="preserve">, </w:t>
      </w:r>
      <w:proofErr w:type="spellStart"/>
      <w:r>
        <w:rPr>
          <w:sz w:val="24"/>
          <w:szCs w:val="24"/>
          <w:lang w:eastAsia="en-US"/>
        </w:rPr>
        <w:t>J</w:t>
      </w:r>
      <w:r w:rsidRPr="008D1F9D">
        <w:rPr>
          <w:sz w:val="24"/>
          <w:szCs w:val="24"/>
          <w:lang w:eastAsia="en-US"/>
        </w:rPr>
        <w:t>inze</w:t>
      </w:r>
      <w:proofErr w:type="spellEnd"/>
      <w:r w:rsidRPr="008D1F9D">
        <w:rPr>
          <w:sz w:val="24"/>
          <w:szCs w:val="24"/>
          <w:lang w:eastAsia="en-US"/>
        </w:rPr>
        <w:t xml:space="preserve"> Liu</w:t>
      </w:r>
      <w:r w:rsidRPr="008D1F9D">
        <w:rPr>
          <w:sz w:val="24"/>
          <w:szCs w:val="24"/>
          <w:vertAlign w:val="superscript"/>
          <w:lang w:eastAsia="en-US"/>
        </w:rPr>
        <w:t>1,7</w:t>
      </w:r>
      <w:r w:rsidRPr="008D1F9D">
        <w:rPr>
          <w:sz w:val="24"/>
          <w:szCs w:val="24"/>
          <w:lang w:eastAsia="en-US"/>
        </w:rPr>
        <w:t xml:space="preserve">, </w:t>
      </w:r>
      <w:r>
        <w:rPr>
          <w:sz w:val="24"/>
          <w:szCs w:val="24"/>
          <w:lang w:eastAsia="en-US"/>
        </w:rPr>
        <w:t>Bin Hu</w:t>
      </w:r>
      <w:r w:rsidRPr="008D1F9D">
        <w:rPr>
          <w:sz w:val="24"/>
          <w:szCs w:val="24"/>
          <w:lang w:eastAsia="en-US"/>
        </w:rPr>
        <w:t>ang</w:t>
      </w:r>
      <w:r w:rsidRPr="008D1F9D">
        <w:rPr>
          <w:sz w:val="24"/>
          <w:szCs w:val="24"/>
          <w:vertAlign w:val="superscript"/>
          <w:lang w:eastAsia="en-US"/>
        </w:rPr>
        <w:t>1,10</w:t>
      </w:r>
      <w:r>
        <w:rPr>
          <w:sz w:val="24"/>
          <w:szCs w:val="24"/>
          <w:lang w:eastAsia="en-US"/>
        </w:rPr>
        <w:t xml:space="preserve">, </w:t>
      </w:r>
      <w:r w:rsidRPr="008D1F9D">
        <w:rPr>
          <w:sz w:val="24"/>
          <w:szCs w:val="24"/>
          <w:lang w:eastAsia="en-US"/>
        </w:rPr>
        <w:t>Brent J. Hallahan</w:t>
      </w:r>
      <w:r w:rsidRPr="008D1F9D">
        <w:rPr>
          <w:sz w:val="24"/>
          <w:szCs w:val="24"/>
          <w:vertAlign w:val="superscript"/>
          <w:lang w:eastAsia="en-US"/>
        </w:rPr>
        <w:t>1</w:t>
      </w:r>
      <w:r w:rsidRPr="008D1F9D">
        <w:rPr>
          <w:sz w:val="24"/>
          <w:szCs w:val="24"/>
          <w:lang w:eastAsia="en-US"/>
        </w:rPr>
        <w:t xml:space="preserve">, Craig </w:t>
      </w:r>
      <w:r>
        <w:rPr>
          <w:sz w:val="24"/>
          <w:szCs w:val="24"/>
          <w:lang w:eastAsia="en-US"/>
        </w:rPr>
        <w:t xml:space="preserve">M. </w:t>
      </w:r>
      <w:r w:rsidRPr="008D1F9D">
        <w:rPr>
          <w:sz w:val="24"/>
          <w:szCs w:val="24"/>
          <w:lang w:eastAsia="en-US"/>
        </w:rPr>
        <w:t>Horbinski</w:t>
      </w:r>
      <w:r w:rsidRPr="008D1F9D">
        <w:rPr>
          <w:sz w:val="24"/>
          <w:szCs w:val="24"/>
          <w:vertAlign w:val="superscript"/>
          <w:lang w:eastAsia="en-US"/>
        </w:rPr>
        <w:t>8</w:t>
      </w:r>
      <w:r w:rsidRPr="008D1F9D">
        <w:rPr>
          <w:sz w:val="24"/>
          <w:szCs w:val="24"/>
          <w:lang w:eastAsia="en-US"/>
        </w:rPr>
        <w:t xml:space="preserve">, </w:t>
      </w:r>
      <w:r>
        <w:rPr>
          <w:sz w:val="24"/>
          <w:szCs w:val="24"/>
          <w:lang w:eastAsia="en-US"/>
        </w:rPr>
        <w:t>Kurt Hodges</w:t>
      </w:r>
      <w:r w:rsidRPr="008D1F9D">
        <w:rPr>
          <w:sz w:val="24"/>
          <w:szCs w:val="24"/>
          <w:vertAlign w:val="superscript"/>
          <w:lang w:eastAsia="en-US"/>
        </w:rPr>
        <w:t>3</w:t>
      </w:r>
      <w:r>
        <w:rPr>
          <w:sz w:val="24"/>
          <w:szCs w:val="24"/>
          <w:lang w:eastAsia="en-US"/>
        </w:rPr>
        <w:t>, Dana L. Napier</w:t>
      </w:r>
      <w:r w:rsidRPr="008D1F9D">
        <w:rPr>
          <w:sz w:val="24"/>
          <w:szCs w:val="24"/>
          <w:vertAlign w:val="superscript"/>
          <w:lang w:eastAsia="en-US"/>
        </w:rPr>
        <w:t>1</w:t>
      </w:r>
      <w:r>
        <w:rPr>
          <w:sz w:val="24"/>
          <w:szCs w:val="24"/>
          <w:lang w:eastAsia="en-US"/>
        </w:rPr>
        <w:t xml:space="preserve">, </w:t>
      </w:r>
      <w:proofErr w:type="spellStart"/>
      <w:r w:rsidRPr="00476441">
        <w:rPr>
          <w:color w:val="auto"/>
          <w:sz w:val="24"/>
          <w:szCs w:val="24"/>
        </w:rPr>
        <w:t>Thèrése</w:t>
      </w:r>
      <w:proofErr w:type="spellEnd"/>
      <w:r w:rsidRPr="00476441">
        <w:rPr>
          <w:color w:val="auto"/>
          <w:sz w:val="24"/>
          <w:szCs w:val="24"/>
        </w:rPr>
        <w:t xml:space="preserve"> Bocklage</w:t>
      </w:r>
      <w:r w:rsidRPr="008D1F9D">
        <w:rPr>
          <w:sz w:val="24"/>
          <w:szCs w:val="24"/>
          <w:vertAlign w:val="superscript"/>
          <w:lang w:eastAsia="en-US"/>
        </w:rPr>
        <w:t>3</w:t>
      </w:r>
      <w:r>
        <w:rPr>
          <w:color w:val="auto"/>
          <w:sz w:val="24"/>
          <w:szCs w:val="24"/>
        </w:rPr>
        <w:t>,</w:t>
      </w:r>
      <w:r w:rsidRPr="00476441">
        <w:rPr>
          <w:color w:val="auto"/>
          <w:sz w:val="24"/>
          <w:szCs w:val="24"/>
        </w:rPr>
        <w:t xml:space="preserve"> </w:t>
      </w:r>
      <w:r w:rsidRPr="00476441">
        <w:rPr>
          <w:sz w:val="24"/>
          <w:szCs w:val="24"/>
          <w:lang w:eastAsia="en-US"/>
        </w:rPr>
        <w:t>Joseph</w:t>
      </w:r>
      <w:r>
        <w:rPr>
          <w:sz w:val="24"/>
          <w:szCs w:val="24"/>
          <w:lang w:eastAsia="en-US"/>
        </w:rPr>
        <w:t xml:space="preserve"> Mueller</w:t>
      </w:r>
      <w:r w:rsidRPr="008D1F9D">
        <w:rPr>
          <w:sz w:val="24"/>
          <w:szCs w:val="24"/>
          <w:vertAlign w:val="superscript"/>
          <w:lang w:eastAsia="en-US"/>
        </w:rPr>
        <w:t>1</w:t>
      </w:r>
      <w:r>
        <w:rPr>
          <w:sz w:val="24"/>
          <w:szCs w:val="24"/>
          <w:lang w:eastAsia="en-US"/>
        </w:rPr>
        <w:t xml:space="preserve">, </w:t>
      </w:r>
      <w:r w:rsidRPr="008D1F9D">
        <w:rPr>
          <w:sz w:val="24"/>
          <w:szCs w:val="24"/>
          <w:lang w:eastAsia="en-US"/>
        </w:rPr>
        <w:t xml:space="preserve">Nathan </w:t>
      </w:r>
      <w:r>
        <w:rPr>
          <w:sz w:val="24"/>
          <w:szCs w:val="24"/>
          <w:lang w:eastAsia="en-US"/>
        </w:rPr>
        <w:t xml:space="preserve">L. </w:t>
      </w:r>
      <w:r w:rsidRPr="008D1F9D">
        <w:rPr>
          <w:sz w:val="24"/>
          <w:szCs w:val="24"/>
          <w:lang w:eastAsia="en-US"/>
        </w:rPr>
        <w:t>Vanderford</w:t>
      </w:r>
      <w:r w:rsidRPr="008D1F9D">
        <w:rPr>
          <w:sz w:val="24"/>
          <w:szCs w:val="24"/>
          <w:vertAlign w:val="superscript"/>
          <w:lang w:eastAsia="en-US"/>
        </w:rPr>
        <w:t>1,9</w:t>
      </w:r>
      <w:r w:rsidRPr="008D1F9D">
        <w:rPr>
          <w:sz w:val="24"/>
          <w:szCs w:val="24"/>
          <w:lang w:eastAsia="en-US"/>
        </w:rPr>
        <w:t>, Dav</w:t>
      </w:r>
      <w:r>
        <w:rPr>
          <w:sz w:val="24"/>
          <w:szCs w:val="24"/>
          <w:lang w:eastAsia="en-US"/>
        </w:rPr>
        <w:t>id</w:t>
      </w:r>
      <w:r w:rsidRPr="008D1F9D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W. </w:t>
      </w:r>
      <w:r w:rsidRPr="008D1F9D">
        <w:rPr>
          <w:sz w:val="24"/>
          <w:szCs w:val="24"/>
          <w:lang w:eastAsia="en-US"/>
        </w:rPr>
        <w:t>Fardo</w:t>
      </w:r>
      <w:r w:rsidRPr="008D1F9D">
        <w:rPr>
          <w:sz w:val="24"/>
          <w:szCs w:val="24"/>
          <w:vertAlign w:val="superscript"/>
          <w:lang w:eastAsia="en-US"/>
        </w:rPr>
        <w:t>10</w:t>
      </w:r>
      <w:r w:rsidRPr="008D1F9D">
        <w:rPr>
          <w:sz w:val="24"/>
          <w:szCs w:val="24"/>
          <w:lang w:eastAsia="en-US"/>
        </w:rPr>
        <w:t>, Chi Wang</w:t>
      </w:r>
      <w:r w:rsidRPr="008D1F9D">
        <w:rPr>
          <w:sz w:val="24"/>
          <w:szCs w:val="24"/>
          <w:vertAlign w:val="superscript"/>
          <w:lang w:eastAsia="en-US"/>
        </w:rPr>
        <w:t>1,10,</w:t>
      </w:r>
      <w:r w:rsidRPr="00A84416">
        <w:rPr>
          <w:sz w:val="28"/>
          <w:szCs w:val="24"/>
          <w:vertAlign w:val="superscript"/>
          <w:lang w:eastAsia="en-US"/>
        </w:rPr>
        <w:t>*</w:t>
      </w:r>
      <w:r w:rsidRPr="008D1F9D">
        <w:rPr>
          <w:sz w:val="24"/>
          <w:szCs w:val="24"/>
          <w:lang w:eastAsia="en-US"/>
        </w:rPr>
        <w:t>, Susanne M. Arnold</w:t>
      </w:r>
      <w:r w:rsidRPr="008D1F9D">
        <w:rPr>
          <w:sz w:val="24"/>
          <w:szCs w:val="24"/>
          <w:vertAlign w:val="superscript"/>
          <w:lang w:eastAsia="en-US"/>
        </w:rPr>
        <w:t>1,</w:t>
      </w:r>
      <w:r w:rsidRPr="00080F41">
        <w:rPr>
          <w:sz w:val="24"/>
          <w:szCs w:val="24"/>
          <w:vertAlign w:val="superscript"/>
          <w:lang w:eastAsia="en-US"/>
        </w:rPr>
        <w:t xml:space="preserve"> 11</w:t>
      </w:r>
      <w:r>
        <w:rPr>
          <w:sz w:val="24"/>
          <w:szCs w:val="24"/>
          <w:vertAlign w:val="superscript"/>
          <w:lang w:eastAsia="en-US"/>
        </w:rPr>
        <w:t>,</w:t>
      </w:r>
      <w:r w:rsidRPr="00A84416">
        <w:rPr>
          <w:sz w:val="28"/>
          <w:szCs w:val="24"/>
          <w:vertAlign w:val="superscript"/>
          <w:lang w:eastAsia="en-US"/>
        </w:rPr>
        <w:t>*</w:t>
      </w:r>
    </w:p>
    <w:p w14:paraId="3D64CC91" w14:textId="77777777" w:rsidR="00C43F0B" w:rsidRDefault="00C43F0B" w:rsidP="00C43F0B">
      <w:pPr>
        <w:spacing w:line="480" w:lineRule="auto"/>
        <w:jc w:val="center"/>
        <w:rPr>
          <w:b/>
          <w:sz w:val="24"/>
          <w:szCs w:val="24"/>
        </w:rPr>
      </w:pPr>
    </w:p>
    <w:p w14:paraId="5F089F94" w14:textId="77777777" w:rsidR="00C840AE" w:rsidRDefault="00C840AE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B992D6A" w14:textId="77777777" w:rsidR="004904C7" w:rsidRDefault="004904C7" w:rsidP="00C840AE">
      <w:pPr>
        <w:spacing w:line="48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Supplementary Methods</w:t>
      </w:r>
    </w:p>
    <w:p w14:paraId="4622D050" w14:textId="18AD7448" w:rsidR="004904C7" w:rsidRDefault="004904C7" w:rsidP="00C840AE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Supplementary Method S1: Data sources</w:t>
      </w:r>
    </w:p>
    <w:p w14:paraId="50D658D0" w14:textId="5CA7BEBF" w:rsidR="00207907" w:rsidRDefault="009A2362" w:rsidP="00207907">
      <w:r>
        <w:t xml:space="preserve">1. </w:t>
      </w:r>
      <w:r w:rsidR="00207907">
        <w:t xml:space="preserve">Data </w:t>
      </w:r>
      <w:r w:rsidR="00772F5A">
        <w:t>for</w:t>
      </w:r>
      <w:r w:rsidR="00207907">
        <w:t xml:space="preserve"> TCGA</w:t>
      </w:r>
      <w:r w:rsidR="003E4AFF">
        <w:t xml:space="preserve"> Lung SQCC</w:t>
      </w:r>
      <w:r w:rsidR="00444769">
        <w:t xml:space="preserve"> Nature (2012)</w:t>
      </w:r>
      <w:r w:rsidR="00207907">
        <w:t xml:space="preserve"> cohort</w:t>
      </w:r>
      <w:r w:rsidR="00772F5A">
        <w:t xml:space="preserve"> were downloaded from the following websites</w:t>
      </w:r>
      <w:r w:rsidR="00207907">
        <w:t>:</w:t>
      </w:r>
    </w:p>
    <w:p w14:paraId="64C18B91" w14:textId="77777777" w:rsidR="00207907" w:rsidRDefault="00207907" w:rsidP="00207907"/>
    <w:p w14:paraId="38D9DB6A" w14:textId="4A1A0F16" w:rsidR="00207907" w:rsidRPr="00DE0A3F" w:rsidRDefault="00207907" w:rsidP="00207907">
      <w:r w:rsidRPr="00DE0A3F">
        <w:t>CNV: http://gdac.broadinstitute.org/runs/analyses__2012_02_17/reports/cancer/LUSC/</w:t>
      </w:r>
    </w:p>
    <w:p w14:paraId="18C356D0" w14:textId="0C00E567" w:rsidR="00207907" w:rsidRPr="00DE0A3F" w:rsidRDefault="00207907" w:rsidP="00207907">
      <w:r w:rsidRPr="00DE0A3F">
        <w:t xml:space="preserve">SNV: </w:t>
      </w:r>
      <w:r w:rsidR="009A2362">
        <w:t>https://tcga-</w:t>
      </w:r>
      <w:r w:rsidRPr="009A2362">
        <w:t>data.nci.nih.gov/docs/publications/lusc_2012/LUSC_Paper_v8.aggregated.tcga.somatic.maf.gz</w:t>
      </w:r>
    </w:p>
    <w:p w14:paraId="56F736E5" w14:textId="3EAD2AC8" w:rsidR="00207907" w:rsidRDefault="00207907" w:rsidP="00772F5A">
      <w:pPr>
        <w:spacing w:line="240" w:lineRule="auto"/>
      </w:pPr>
      <w:r w:rsidRPr="00DE0A3F">
        <w:t xml:space="preserve">Clinical: </w:t>
      </w:r>
      <w:r w:rsidRPr="009A2362">
        <w:t>https://tcga-data.nci.nih.gov/docs/publications/lusc_2012/LUSC%20Public%20Clinical%20Data%20178%20participants.xlsx</w:t>
      </w:r>
    </w:p>
    <w:p w14:paraId="3991B82B" w14:textId="77777777" w:rsidR="00207907" w:rsidRDefault="00207907" w:rsidP="00207907">
      <w:pPr>
        <w:spacing w:line="480" w:lineRule="auto"/>
        <w:rPr>
          <w:b/>
          <w:sz w:val="24"/>
          <w:szCs w:val="24"/>
        </w:rPr>
      </w:pPr>
    </w:p>
    <w:p w14:paraId="678F257C" w14:textId="7AD17D55" w:rsidR="00444769" w:rsidRDefault="009A2362" w:rsidP="00444769">
      <w:bookmarkStart w:id="0" w:name="OLE_LINK7"/>
      <w:r>
        <w:t xml:space="preserve">2. </w:t>
      </w:r>
      <w:r w:rsidR="00444769">
        <w:t xml:space="preserve">Data for </w:t>
      </w:r>
      <w:r w:rsidR="00444769" w:rsidRPr="00444769">
        <w:t xml:space="preserve">Campbell et al., Nature Genetics (2016) </w:t>
      </w:r>
      <w:r w:rsidR="00444769">
        <w:t>cohort were downlo</w:t>
      </w:r>
      <w:r w:rsidR="003E4AFF">
        <w:t>aded from the following website</w:t>
      </w:r>
      <w:r w:rsidR="00444769">
        <w:t>:</w:t>
      </w:r>
      <w:bookmarkEnd w:id="0"/>
    </w:p>
    <w:p w14:paraId="05E7437F" w14:textId="77777777" w:rsidR="009A2362" w:rsidRDefault="009A2362" w:rsidP="00444769"/>
    <w:p w14:paraId="5DAA87F0" w14:textId="1032BF72" w:rsidR="00444769" w:rsidRPr="009A2362" w:rsidRDefault="009A2362" w:rsidP="00207907">
      <w:pPr>
        <w:spacing w:line="480" w:lineRule="auto"/>
      </w:pPr>
      <w:r w:rsidRPr="009A2362">
        <w:t>http://www.cbioportal.org/study?id=nsclc_tcga_broad_2016#summary</w:t>
      </w:r>
    </w:p>
    <w:p w14:paraId="4D9C72FF" w14:textId="05F4911C" w:rsidR="006924E1" w:rsidRDefault="009A2362" w:rsidP="009A2362">
      <w:pPr>
        <w:shd w:val="clear" w:color="auto" w:fill="FFFFFF"/>
        <w:spacing w:beforeAutospacing="1" w:afterAutospacing="1" w:line="240" w:lineRule="auto"/>
      </w:pPr>
      <w:r>
        <w:t xml:space="preserve">3. </w:t>
      </w:r>
      <w:bookmarkStart w:id="1" w:name="OLE_LINK9"/>
      <w:r>
        <w:t xml:space="preserve">Data for </w:t>
      </w:r>
      <w:r w:rsidRPr="009A2362">
        <w:t>Kim et al. J Clin Oncol (2014)</w:t>
      </w:r>
      <w:r w:rsidRPr="00444769">
        <w:t xml:space="preserve"> </w:t>
      </w:r>
      <w:r>
        <w:t xml:space="preserve">cohort were provided by Dr. </w:t>
      </w:r>
      <w:proofErr w:type="spellStart"/>
      <w:r w:rsidRPr="009A2362">
        <w:t>Youngwook</w:t>
      </w:r>
      <w:proofErr w:type="spellEnd"/>
      <w:r w:rsidRPr="009A2362">
        <w:t xml:space="preserve"> Kim</w:t>
      </w:r>
      <w:r>
        <w:t>.</w:t>
      </w:r>
      <w:bookmarkEnd w:id="1"/>
    </w:p>
    <w:p w14:paraId="1C4E0BE2" w14:textId="17D33FE3" w:rsidR="009A2362" w:rsidRDefault="009A2362" w:rsidP="00207907">
      <w:pPr>
        <w:spacing w:line="480" w:lineRule="auto"/>
      </w:pPr>
      <w:r w:rsidRPr="00AE341E">
        <w:t xml:space="preserve">4. </w:t>
      </w:r>
      <w:r>
        <w:t xml:space="preserve">Data for </w:t>
      </w:r>
      <w:r w:rsidR="000E1AF4" w:rsidRPr="000E1AF4">
        <w:t>Li et al. Scientific Reports (2015)</w:t>
      </w:r>
      <w:r w:rsidR="000E1AF4">
        <w:t xml:space="preserve"> </w:t>
      </w:r>
      <w:r>
        <w:t xml:space="preserve">cohort were </w:t>
      </w:r>
      <w:r w:rsidR="000E1AF4">
        <w:t>downloaded</w:t>
      </w:r>
      <w:r w:rsidR="0085416C">
        <w:t xml:space="preserve"> f</w:t>
      </w:r>
      <w:r w:rsidR="00301F7C">
        <w:t>r</w:t>
      </w:r>
      <w:r w:rsidR="0085416C">
        <w:t>om</w:t>
      </w:r>
      <w:r w:rsidR="00301F7C">
        <w:t xml:space="preserve"> the following website:</w:t>
      </w:r>
    </w:p>
    <w:p w14:paraId="0B30D193" w14:textId="1E46A5A8" w:rsidR="00301F7C" w:rsidRPr="00AE341E" w:rsidRDefault="00AE341E" w:rsidP="00207907">
      <w:pPr>
        <w:spacing w:line="480" w:lineRule="auto"/>
      </w:pPr>
      <w:r w:rsidRPr="00AE341E">
        <w:t>https://media.nature.com/original/nature-assets/srep/2015/151027/srep14237/extref/srep14237-s3.xls</w:t>
      </w:r>
    </w:p>
    <w:p w14:paraId="17E95DE0" w14:textId="77777777" w:rsidR="00571260" w:rsidRDefault="0057126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359DD35" w14:textId="3ED509A5" w:rsidR="004F4B04" w:rsidRDefault="004F4B04" w:rsidP="004F4B04">
      <w:pPr>
        <w:spacing w:line="48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Supplementary Method S</w:t>
      </w:r>
      <w:r w:rsidR="00B86D80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: Primers used for IDH1 </w:t>
      </w:r>
      <w:r w:rsidRPr="00192F74">
        <w:rPr>
          <w:b/>
          <w:sz w:val="24"/>
          <w:szCs w:val="24"/>
        </w:rPr>
        <w:t>mutagenesis</w:t>
      </w:r>
      <w:r w:rsidRPr="008D1F9D">
        <w:rPr>
          <w:sz w:val="24"/>
          <w:szCs w:val="24"/>
        </w:rPr>
        <w:t xml:space="preserve"> </w:t>
      </w:r>
    </w:p>
    <w:p w14:paraId="39881D03" w14:textId="77777777" w:rsidR="004F4B04" w:rsidRPr="00571260" w:rsidRDefault="004F4B04" w:rsidP="004F4B0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Primers used for </w:t>
      </w:r>
      <w:r w:rsidRPr="008D1F9D">
        <w:rPr>
          <w:sz w:val="24"/>
          <w:szCs w:val="24"/>
        </w:rPr>
        <w:t xml:space="preserve">R132H mutagenesis </w:t>
      </w:r>
      <w:r>
        <w:rPr>
          <w:sz w:val="24"/>
          <w:szCs w:val="24"/>
        </w:rPr>
        <w:t>we</w:t>
      </w:r>
      <w:r w:rsidRPr="008D1F9D">
        <w:rPr>
          <w:sz w:val="24"/>
          <w:szCs w:val="24"/>
        </w:rPr>
        <w:t xml:space="preserve">re 5’-CATCATAGGTCATCATGCTTATGGGG-3’ and 5’-CCCCATAAGCATGATGACCTATGATG-3’; primers used for </w:t>
      </w:r>
      <w:r>
        <w:rPr>
          <w:sz w:val="24"/>
          <w:szCs w:val="24"/>
        </w:rPr>
        <w:t>V178A</w:t>
      </w:r>
      <w:r w:rsidRPr="008D1F9D">
        <w:rPr>
          <w:sz w:val="24"/>
          <w:szCs w:val="24"/>
        </w:rPr>
        <w:t xml:space="preserve"> mutagenesis </w:t>
      </w:r>
      <w:r>
        <w:rPr>
          <w:sz w:val="24"/>
          <w:szCs w:val="24"/>
        </w:rPr>
        <w:t>we</w:t>
      </w:r>
      <w:r w:rsidRPr="008D1F9D">
        <w:rPr>
          <w:sz w:val="24"/>
          <w:szCs w:val="24"/>
        </w:rPr>
        <w:t>re</w:t>
      </w:r>
      <w:r>
        <w:rPr>
          <w:sz w:val="24"/>
          <w:szCs w:val="24"/>
        </w:rPr>
        <w:t xml:space="preserve"> 5’-GAAGGTGGTGGTGCTGCCATGGGGATGT-3’ and 5’-ACATCCCCATGGCAGCACCACCACCTTC-3’;</w:t>
      </w:r>
      <w:r w:rsidRPr="008D1F9D">
        <w:rPr>
          <w:sz w:val="24"/>
          <w:szCs w:val="24"/>
        </w:rPr>
        <w:t xml:space="preserve"> primers used for A307S mutagenesis </w:t>
      </w:r>
      <w:r>
        <w:rPr>
          <w:sz w:val="24"/>
          <w:szCs w:val="24"/>
        </w:rPr>
        <w:t>we</w:t>
      </w:r>
      <w:r w:rsidRPr="008D1F9D">
        <w:rPr>
          <w:sz w:val="24"/>
          <w:szCs w:val="24"/>
        </w:rPr>
        <w:t>re 5’- AGAAGCAGAGTCTGCCCACGGGACT-3’ and 5’- AGTCCCGTGGGCAGACTCTGCTTCT-3’</w:t>
      </w:r>
      <w:r>
        <w:rPr>
          <w:sz w:val="24"/>
          <w:szCs w:val="24"/>
        </w:rPr>
        <w:t xml:space="preserve">; and </w:t>
      </w:r>
      <w:r w:rsidRPr="008D1F9D">
        <w:rPr>
          <w:sz w:val="24"/>
          <w:szCs w:val="24"/>
        </w:rPr>
        <w:t xml:space="preserve">primers used for </w:t>
      </w:r>
      <w:r>
        <w:rPr>
          <w:sz w:val="24"/>
          <w:szCs w:val="24"/>
        </w:rPr>
        <w:t>L352P</w:t>
      </w:r>
      <w:r w:rsidRPr="008D1F9D">
        <w:rPr>
          <w:sz w:val="24"/>
          <w:szCs w:val="24"/>
        </w:rPr>
        <w:t xml:space="preserve"> mutagenesis </w:t>
      </w:r>
      <w:r>
        <w:rPr>
          <w:sz w:val="24"/>
          <w:szCs w:val="24"/>
        </w:rPr>
        <w:t>we</w:t>
      </w:r>
      <w:r w:rsidRPr="008D1F9D">
        <w:rPr>
          <w:sz w:val="24"/>
          <w:szCs w:val="24"/>
        </w:rPr>
        <w:t>re</w:t>
      </w:r>
      <w:r>
        <w:rPr>
          <w:sz w:val="24"/>
          <w:szCs w:val="24"/>
        </w:rPr>
        <w:t xml:space="preserve"> 5’-AACAATAAAGAGCCTGCCTTCTTTGCA-3’ and 5’-TGCAAAGAAGGCAGGCTCTTTATTGTT-3’</w:t>
      </w:r>
      <w:r w:rsidRPr="008D1F9D">
        <w:rPr>
          <w:sz w:val="24"/>
          <w:szCs w:val="24"/>
        </w:rPr>
        <w:t>.</w:t>
      </w:r>
    </w:p>
    <w:p w14:paraId="2E625B67" w14:textId="77777777" w:rsidR="004F4B04" w:rsidRDefault="004F4B04" w:rsidP="00C840AE">
      <w:pPr>
        <w:spacing w:line="480" w:lineRule="auto"/>
        <w:rPr>
          <w:b/>
          <w:sz w:val="24"/>
          <w:szCs w:val="24"/>
        </w:rPr>
      </w:pPr>
    </w:p>
    <w:p w14:paraId="48914A1A" w14:textId="77777777" w:rsidR="00192F74" w:rsidRDefault="00192F7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D385EB9" w14:textId="5B8C15EA" w:rsidR="005D6DA3" w:rsidRPr="005D6DA3" w:rsidRDefault="005D6DA3" w:rsidP="005D6DA3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Supplementary Method S</w:t>
      </w: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HEK293T cells authentication</w:t>
      </w:r>
    </w:p>
    <w:p w14:paraId="14E6ACA4" w14:textId="042FEA33" w:rsidR="005D6DA3" w:rsidRDefault="005D6DA3" w:rsidP="005D6DA3">
      <w:pPr>
        <w:spacing w:line="480" w:lineRule="auto"/>
        <w:rPr>
          <w:b/>
          <w:sz w:val="24"/>
          <w:szCs w:val="24"/>
        </w:rPr>
      </w:pPr>
      <w:r w:rsidRPr="008D1F9D">
        <w:rPr>
          <w:sz w:val="24"/>
          <w:szCs w:val="24"/>
        </w:rPr>
        <w:t xml:space="preserve">HEK293T </w:t>
      </w:r>
      <w:r>
        <w:rPr>
          <w:sz w:val="24"/>
          <w:szCs w:val="24"/>
        </w:rPr>
        <w:t xml:space="preserve">(ATCC) </w:t>
      </w:r>
      <w:r w:rsidRPr="008D1F9D">
        <w:rPr>
          <w:sz w:val="24"/>
          <w:szCs w:val="24"/>
        </w:rPr>
        <w:t xml:space="preserve">cells </w:t>
      </w:r>
      <w:r>
        <w:rPr>
          <w:sz w:val="24"/>
          <w:szCs w:val="24"/>
        </w:rPr>
        <w:t>were</w:t>
      </w:r>
      <w:r w:rsidRPr="008D1F9D">
        <w:rPr>
          <w:sz w:val="24"/>
          <w:szCs w:val="24"/>
        </w:rPr>
        <w:t xml:space="preserve"> </w:t>
      </w:r>
      <w:r>
        <w:rPr>
          <w:sz w:val="24"/>
          <w:szCs w:val="24"/>
        </w:rPr>
        <w:t>last authenticated on Oct 23</w:t>
      </w:r>
      <w:r w:rsidRPr="005D6DA3">
        <w:rPr>
          <w:sz w:val="24"/>
          <w:szCs w:val="24"/>
        </w:rPr>
        <w:t>rd</w:t>
      </w:r>
      <w:r>
        <w:rPr>
          <w:sz w:val="24"/>
          <w:szCs w:val="24"/>
        </w:rPr>
        <w:t xml:space="preserve">, 2014 by </w:t>
      </w:r>
      <w:proofErr w:type="spellStart"/>
      <w:r>
        <w:rPr>
          <w:sz w:val="24"/>
          <w:szCs w:val="24"/>
        </w:rPr>
        <w:t>Genetica</w:t>
      </w:r>
      <w:proofErr w:type="spellEnd"/>
      <w:r>
        <w:rPr>
          <w:sz w:val="24"/>
          <w:szCs w:val="24"/>
        </w:rPr>
        <w:t xml:space="preserve"> DNA Laboratories. Fifteen autosomal short tandem repeat (STR) loci and the gender identity locus </w:t>
      </w:r>
      <w:proofErr w:type="spellStart"/>
      <w:r>
        <w:rPr>
          <w:sz w:val="24"/>
          <w:szCs w:val="24"/>
        </w:rPr>
        <w:t>amelogenin</w:t>
      </w:r>
      <w:proofErr w:type="spellEnd"/>
      <w:r>
        <w:rPr>
          <w:sz w:val="24"/>
          <w:szCs w:val="24"/>
        </w:rPr>
        <w:t xml:space="preserve"> were profiled using </w:t>
      </w:r>
      <w:proofErr w:type="spellStart"/>
      <w:r>
        <w:rPr>
          <w:sz w:val="24"/>
          <w:szCs w:val="24"/>
        </w:rPr>
        <w:t>PowerPlex</w:t>
      </w:r>
      <w:proofErr w:type="spellEnd"/>
      <w:r>
        <w:rPr>
          <w:sz w:val="24"/>
          <w:szCs w:val="24"/>
        </w:rPr>
        <w:t xml:space="preserve"> 16 HS (Promega Corporation). Mycoplasma testing has not been performed on this cell line since purchased from ATCC. Passage number is not available. Cells were used in the described experiment 2-4 weeks after thawing. </w:t>
      </w:r>
      <w:r>
        <w:rPr>
          <w:b/>
          <w:sz w:val="24"/>
          <w:szCs w:val="24"/>
        </w:rPr>
        <w:br w:type="page"/>
      </w:r>
    </w:p>
    <w:p w14:paraId="7DC9A832" w14:textId="64D616A7" w:rsidR="004F4B04" w:rsidRPr="004904C7" w:rsidRDefault="004F4B04" w:rsidP="004F4B04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Supplementary Method S</w:t>
      </w:r>
      <w:r w:rsidR="005D6DA3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: </w:t>
      </w:r>
      <w:r w:rsidRPr="00571260">
        <w:rPr>
          <w:b/>
          <w:sz w:val="24"/>
          <w:szCs w:val="24"/>
        </w:rPr>
        <w:t>Immunohistochemistry (IHC</w:t>
      </w:r>
      <w:r>
        <w:rPr>
          <w:b/>
          <w:sz w:val="24"/>
          <w:szCs w:val="24"/>
        </w:rPr>
        <w:t>) Protocol</w:t>
      </w:r>
    </w:p>
    <w:p w14:paraId="3C467B34" w14:textId="77777777" w:rsidR="004F4B04" w:rsidRDefault="004F4B04" w:rsidP="004F4B04">
      <w:pPr>
        <w:spacing w:line="480" w:lineRule="auto"/>
        <w:jc w:val="both"/>
        <w:rPr>
          <w:sz w:val="24"/>
          <w:szCs w:val="24"/>
        </w:rPr>
      </w:pPr>
      <w:r w:rsidRPr="00571260">
        <w:rPr>
          <w:sz w:val="24"/>
          <w:szCs w:val="24"/>
        </w:rPr>
        <w:t xml:space="preserve">IHC was performed on 4-micron thick sections of formalin fixed paraffin embedded tissue.  Samples were deparaffinized and heat-induced epitope retrieval (HIER) was performed in a </w:t>
      </w:r>
      <w:proofErr w:type="spellStart"/>
      <w:r w:rsidRPr="00571260">
        <w:rPr>
          <w:sz w:val="24"/>
          <w:szCs w:val="24"/>
        </w:rPr>
        <w:t>Dako</w:t>
      </w:r>
      <w:proofErr w:type="spellEnd"/>
      <w:r w:rsidRPr="00571260">
        <w:rPr>
          <w:sz w:val="24"/>
          <w:szCs w:val="24"/>
        </w:rPr>
        <w:t xml:space="preserve"> PT Link pre-treatment module with </w:t>
      </w:r>
      <w:proofErr w:type="spellStart"/>
      <w:r w:rsidRPr="00571260">
        <w:rPr>
          <w:sz w:val="24"/>
          <w:szCs w:val="24"/>
        </w:rPr>
        <w:t>EnVision</w:t>
      </w:r>
      <w:proofErr w:type="spellEnd"/>
      <w:r w:rsidRPr="00571260">
        <w:rPr>
          <w:sz w:val="24"/>
          <w:szCs w:val="24"/>
        </w:rPr>
        <w:t xml:space="preserve"> FLEX high pH Target Retrieval Solution according to manufacturer’s instructions. Slides were incubated with anti-IDH1 R132H antibody (</w:t>
      </w:r>
      <w:proofErr w:type="spellStart"/>
      <w:r w:rsidRPr="00571260">
        <w:rPr>
          <w:sz w:val="24"/>
          <w:szCs w:val="24"/>
        </w:rPr>
        <w:t>Dianova</w:t>
      </w:r>
      <w:proofErr w:type="spellEnd"/>
      <w:r w:rsidRPr="00571260">
        <w:rPr>
          <w:sz w:val="24"/>
          <w:szCs w:val="24"/>
        </w:rPr>
        <w:t xml:space="preserve">, DIA-H09, diluted 1:20) for 20 minutes on a </w:t>
      </w:r>
      <w:proofErr w:type="spellStart"/>
      <w:r w:rsidRPr="00571260">
        <w:rPr>
          <w:sz w:val="24"/>
          <w:szCs w:val="24"/>
        </w:rPr>
        <w:t>Dako</w:t>
      </w:r>
      <w:proofErr w:type="spellEnd"/>
      <w:r w:rsidRPr="00571260">
        <w:rPr>
          <w:sz w:val="24"/>
          <w:szCs w:val="24"/>
        </w:rPr>
        <w:t xml:space="preserve"> </w:t>
      </w:r>
      <w:proofErr w:type="spellStart"/>
      <w:r w:rsidRPr="00571260">
        <w:rPr>
          <w:sz w:val="24"/>
          <w:szCs w:val="24"/>
        </w:rPr>
        <w:t>autostainer</w:t>
      </w:r>
      <w:proofErr w:type="spellEnd"/>
      <w:r w:rsidRPr="00571260">
        <w:rPr>
          <w:sz w:val="24"/>
          <w:szCs w:val="24"/>
        </w:rPr>
        <w:t xml:space="preserve">, followed by incubation with </w:t>
      </w:r>
      <w:proofErr w:type="spellStart"/>
      <w:r w:rsidRPr="00571260">
        <w:rPr>
          <w:sz w:val="24"/>
          <w:szCs w:val="24"/>
        </w:rPr>
        <w:t>Dako</w:t>
      </w:r>
      <w:proofErr w:type="spellEnd"/>
      <w:r w:rsidRPr="00571260">
        <w:rPr>
          <w:sz w:val="24"/>
          <w:szCs w:val="24"/>
        </w:rPr>
        <w:t xml:space="preserve"> mouse linker (15 minutes) then </w:t>
      </w:r>
      <w:proofErr w:type="spellStart"/>
      <w:r w:rsidRPr="00571260">
        <w:rPr>
          <w:sz w:val="24"/>
          <w:szCs w:val="24"/>
        </w:rPr>
        <w:t>Dako’s</w:t>
      </w:r>
      <w:proofErr w:type="spellEnd"/>
      <w:r w:rsidRPr="00571260">
        <w:rPr>
          <w:sz w:val="24"/>
          <w:szCs w:val="24"/>
        </w:rPr>
        <w:t xml:space="preserve"> </w:t>
      </w:r>
      <w:proofErr w:type="spellStart"/>
      <w:r w:rsidRPr="00571260">
        <w:rPr>
          <w:sz w:val="24"/>
          <w:szCs w:val="24"/>
        </w:rPr>
        <w:t>EnVision</w:t>
      </w:r>
      <w:proofErr w:type="spellEnd"/>
      <w:r w:rsidRPr="00571260">
        <w:rPr>
          <w:sz w:val="24"/>
          <w:szCs w:val="24"/>
        </w:rPr>
        <w:t xml:space="preserve"> FLEX</w:t>
      </w:r>
      <w:bookmarkStart w:id="2" w:name="_GoBack"/>
      <w:bookmarkEnd w:id="2"/>
      <w:r w:rsidRPr="00571260">
        <w:rPr>
          <w:sz w:val="24"/>
          <w:szCs w:val="24"/>
        </w:rPr>
        <w:t>-HRP (20 minutes) according to manufacturer’s recommendations. Staining was visualized using 3, 3′-diaminobenzidine (DAB) chromogen (10 minutes-</w:t>
      </w:r>
      <w:proofErr w:type="spellStart"/>
      <w:r w:rsidRPr="00571260">
        <w:rPr>
          <w:sz w:val="24"/>
          <w:szCs w:val="24"/>
        </w:rPr>
        <w:t>Dako</w:t>
      </w:r>
      <w:proofErr w:type="spellEnd"/>
      <w:r w:rsidRPr="00571260">
        <w:rPr>
          <w:sz w:val="24"/>
          <w:szCs w:val="24"/>
        </w:rPr>
        <w:t xml:space="preserve">, CA) and slides were lightly counterstained with hematoxylin. A known IDH1 mutant was run simultaneously as a positive control.  A second slide of the patient tissue was run with mouse IgG in place of primary antibody, as a negative control. </w:t>
      </w:r>
    </w:p>
    <w:p w14:paraId="2517D4E9" w14:textId="77777777" w:rsidR="00571260" w:rsidRDefault="00571260" w:rsidP="00571260"/>
    <w:p w14:paraId="2B3CB357" w14:textId="77777777" w:rsidR="004904C7" w:rsidRDefault="004904C7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68DEE6DA" w14:textId="0B071EFE" w:rsidR="00C840AE" w:rsidRDefault="004904C7" w:rsidP="00C840AE">
      <w:pPr>
        <w:spacing w:line="480" w:lineRule="auto"/>
        <w:rPr>
          <w:b/>
          <w:sz w:val="32"/>
          <w:szCs w:val="32"/>
        </w:rPr>
      </w:pPr>
      <w:r w:rsidRPr="004904C7">
        <w:rPr>
          <w:b/>
          <w:sz w:val="32"/>
          <w:szCs w:val="32"/>
        </w:rPr>
        <w:lastRenderedPageBreak/>
        <w:t>Supplementary Figures</w:t>
      </w:r>
    </w:p>
    <w:p w14:paraId="071EAED7" w14:textId="77777777" w:rsidR="00D71862" w:rsidRDefault="00D71862" w:rsidP="00D71862">
      <w:pPr>
        <w:spacing w:line="48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5281FB3" wp14:editId="5F54D93D">
            <wp:extent cx="2926080" cy="22877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_151680613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28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551ED060" wp14:editId="1A2CDD33">
            <wp:extent cx="2926080" cy="23130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_15167524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3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2361" w14:textId="77777777" w:rsidR="00D71862" w:rsidRPr="000C3D02" w:rsidRDefault="00D71862" w:rsidP="00D71862">
      <w:pPr>
        <w:spacing w:line="480" w:lineRule="auto"/>
        <w:rPr>
          <w:rFonts w:eastAsia="Times New Roman"/>
          <w:sz w:val="24"/>
          <w:szCs w:val="24"/>
        </w:rPr>
      </w:pPr>
      <w:r w:rsidRPr="006C3DB0">
        <w:rPr>
          <w:b/>
          <w:sz w:val="24"/>
          <w:szCs w:val="24"/>
        </w:rPr>
        <w:t>Supplementary Figure</w:t>
      </w:r>
      <w:r>
        <w:rPr>
          <w:b/>
          <w:sz w:val="24"/>
          <w:szCs w:val="24"/>
        </w:rPr>
        <w:t xml:space="preserve"> S1. Lung cancer characteristics in Kentucky. </w:t>
      </w:r>
      <w:r w:rsidRPr="000C3D02">
        <w:rPr>
          <w:rFonts w:eastAsia="Times New Roman"/>
          <w:sz w:val="24"/>
          <w:szCs w:val="24"/>
        </w:rPr>
        <w:t xml:space="preserve">In 2015, 4845 lung cancer cases were diagnosed in Kentucky, and almost 80% were diagnosed at advanced stage. Kentucky’s </w:t>
      </w:r>
      <w:r>
        <w:rPr>
          <w:rFonts w:eastAsia="Times New Roman"/>
          <w:sz w:val="24"/>
          <w:szCs w:val="24"/>
        </w:rPr>
        <w:t xml:space="preserve">age-adjusted lung cancer </w:t>
      </w:r>
      <w:r w:rsidRPr="000C3D02">
        <w:rPr>
          <w:rFonts w:eastAsia="Times New Roman"/>
          <w:sz w:val="24"/>
          <w:szCs w:val="24"/>
        </w:rPr>
        <w:t>incidence rate (left panel) is 95.9</w:t>
      </w:r>
      <w:r>
        <w:rPr>
          <w:rFonts w:eastAsia="Times New Roman"/>
          <w:sz w:val="24"/>
          <w:szCs w:val="24"/>
        </w:rPr>
        <w:t>/100,000</w:t>
      </w:r>
      <w:r w:rsidRPr="000C3D02">
        <w:rPr>
          <w:rFonts w:eastAsia="Times New Roman"/>
          <w:sz w:val="24"/>
          <w:szCs w:val="24"/>
        </w:rPr>
        <w:t xml:space="preserve"> (2010-2014)</w:t>
      </w:r>
      <w:r>
        <w:rPr>
          <w:rFonts w:eastAsia="Times New Roman"/>
          <w:sz w:val="24"/>
          <w:szCs w:val="24"/>
        </w:rPr>
        <w:t xml:space="preserve"> </w:t>
      </w:r>
      <w:r w:rsidRPr="000C3D02">
        <w:rPr>
          <w:rFonts w:eastAsia="Times New Roman"/>
          <w:sz w:val="24"/>
          <w:szCs w:val="24"/>
        </w:rPr>
        <w:t xml:space="preserve">compared to 61.2/100,000 </w:t>
      </w:r>
      <w:r>
        <w:rPr>
          <w:rFonts w:eastAsia="Times New Roman"/>
          <w:sz w:val="24"/>
          <w:szCs w:val="24"/>
        </w:rPr>
        <w:t xml:space="preserve">in </w:t>
      </w:r>
      <w:r w:rsidRPr="000C3D02">
        <w:rPr>
          <w:rFonts w:eastAsia="Times New Roman"/>
          <w:sz w:val="24"/>
          <w:szCs w:val="24"/>
        </w:rPr>
        <w:t xml:space="preserve">US. Kentucky's death rate from lung cancer (right panel) is 69.3/100,000 (2010-2014) compared to 44.7/100,000 </w:t>
      </w:r>
      <w:r>
        <w:rPr>
          <w:rFonts w:eastAsia="Times New Roman"/>
          <w:sz w:val="24"/>
          <w:szCs w:val="24"/>
        </w:rPr>
        <w:t xml:space="preserve">in </w:t>
      </w:r>
      <w:r w:rsidRPr="000C3D02">
        <w:rPr>
          <w:rFonts w:eastAsia="Times New Roman"/>
          <w:sz w:val="24"/>
          <w:szCs w:val="24"/>
        </w:rPr>
        <w:t xml:space="preserve">US. Particularly, the lung cancer </w:t>
      </w:r>
      <w:r>
        <w:rPr>
          <w:rFonts w:eastAsia="Times New Roman"/>
          <w:sz w:val="24"/>
          <w:szCs w:val="24"/>
        </w:rPr>
        <w:t>incidence</w:t>
      </w:r>
      <w:r w:rsidRPr="000C3D02">
        <w:rPr>
          <w:rFonts w:eastAsia="Times New Roman"/>
          <w:sz w:val="24"/>
          <w:szCs w:val="24"/>
        </w:rPr>
        <w:t xml:space="preserve"> rate in Appalachian Kentucky (red area in left panel) is 109.5/100,000 and the lung cancer death rate in Appalachian Kentucky (blue area in right panel) is 82.0/100,000. </w:t>
      </w:r>
      <w:r>
        <w:rPr>
          <w:rFonts w:eastAsia="Times New Roman"/>
          <w:sz w:val="24"/>
          <w:szCs w:val="24"/>
        </w:rPr>
        <w:t xml:space="preserve">The figures were generated from </w:t>
      </w:r>
      <w:r w:rsidRPr="000C3D02">
        <w:rPr>
          <w:rFonts w:eastAsia="Times New Roman"/>
          <w:sz w:val="24"/>
          <w:szCs w:val="24"/>
        </w:rPr>
        <w:t>the Kentucky Cancer Registry</w:t>
      </w:r>
      <w:r>
        <w:rPr>
          <w:rFonts w:eastAsia="Times New Roman"/>
          <w:sz w:val="24"/>
          <w:szCs w:val="24"/>
        </w:rPr>
        <w:t xml:space="preserve"> website (</w:t>
      </w:r>
      <w:hyperlink r:id="rId8" w:history="1">
        <w:r w:rsidRPr="000C3D02">
          <w:rPr>
            <w:rFonts w:eastAsia="Times New Roman"/>
            <w:sz w:val="24"/>
            <w:szCs w:val="24"/>
          </w:rPr>
          <w:t>https://www.cancer-rates.info/ky/?datasource=mort</w:t>
        </w:r>
      </w:hyperlink>
      <w:r w:rsidRPr="000C3D02">
        <w:rPr>
          <w:rFonts w:eastAsia="Times New Roman"/>
          <w:sz w:val="24"/>
          <w:szCs w:val="24"/>
        </w:rPr>
        <w:t>, last accessed Jan 23, 2018</w:t>
      </w:r>
      <w:r>
        <w:rPr>
          <w:rFonts w:eastAsia="Times New Roman"/>
          <w:sz w:val="24"/>
          <w:szCs w:val="24"/>
        </w:rPr>
        <w:t>). The lung cancer incidence and death rates in US were obtained from United States Cancer Statistics website (</w:t>
      </w:r>
      <w:hyperlink r:id="rId9" w:history="1">
        <w:r w:rsidRPr="00EF432C">
          <w:rPr>
            <w:rStyle w:val="Hyperlink"/>
            <w:rFonts w:eastAsia="Times New Roman"/>
            <w:sz w:val="24"/>
            <w:szCs w:val="24"/>
          </w:rPr>
          <w:t>https://nccd.cdc.gov/uscs/</w:t>
        </w:r>
      </w:hyperlink>
      <w:r>
        <w:rPr>
          <w:rFonts w:eastAsia="Times New Roman"/>
          <w:sz w:val="24"/>
          <w:szCs w:val="24"/>
        </w:rPr>
        <w:t>, last accessed Jan 23, 2018).</w:t>
      </w:r>
    </w:p>
    <w:p w14:paraId="66A679BD" w14:textId="5DF0BEF2" w:rsidR="00D71862" w:rsidRDefault="00D71862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7B2C81FD" w14:textId="581603D8" w:rsidR="00D71862" w:rsidRPr="002B473C" w:rsidRDefault="00D71862" w:rsidP="00D71862">
      <w:r>
        <w:rPr>
          <w:noProof/>
        </w:rPr>
        <w:lastRenderedPageBreak/>
        <w:drawing>
          <wp:inline distT="0" distB="0" distL="0" distR="0" wp14:anchorId="78B2B73C" wp14:editId="5B369599">
            <wp:extent cx="2743200" cy="3771900"/>
            <wp:effectExtent l="0" t="0" r="0" b="0"/>
            <wp:docPr id="1" name="Picture 1" descr="amp_q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p_qpl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4CA5F1" wp14:editId="3486E83E">
            <wp:extent cx="2743200" cy="3803650"/>
            <wp:effectExtent l="0" t="0" r="0" b="6350"/>
            <wp:docPr id="8" name="Picture 8" descr="C:\Users\LJp\AppData\Local\Microsoft\Windows\INetCache\Content.Word\del_q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Jp\AppData\Local\Microsoft\Windows\INetCache\Content.Word\del_qplo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B73A" w14:textId="77777777" w:rsidR="00D71862" w:rsidRDefault="00D71862" w:rsidP="00D71862">
      <w:pPr>
        <w:spacing w:line="480" w:lineRule="auto"/>
        <w:rPr>
          <w:b/>
          <w:sz w:val="24"/>
          <w:szCs w:val="24"/>
        </w:rPr>
      </w:pPr>
    </w:p>
    <w:p w14:paraId="591910B3" w14:textId="77777777" w:rsidR="00D71862" w:rsidRDefault="00D71862" w:rsidP="00D71862">
      <w:pPr>
        <w:spacing w:line="480" w:lineRule="auto"/>
        <w:rPr>
          <w:sz w:val="24"/>
          <w:szCs w:val="24"/>
        </w:rPr>
      </w:pPr>
      <w:r w:rsidRPr="006C3DB0">
        <w:rPr>
          <w:b/>
          <w:sz w:val="24"/>
          <w:szCs w:val="24"/>
        </w:rPr>
        <w:t>Supplementary Figure</w:t>
      </w:r>
      <w:r>
        <w:rPr>
          <w:b/>
          <w:sz w:val="24"/>
          <w:szCs w:val="24"/>
        </w:rPr>
        <w:t xml:space="preserve"> S2</w:t>
      </w:r>
      <w:r w:rsidRPr="006C3DB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GISTIC amplification (left) and deletion (right) plots of the G-scores (shown at the top of the figure) and q-values (shown at the bottom of the figure) across the entire region analyzed</w:t>
      </w:r>
      <w:r w:rsidRPr="006C3DB0">
        <w:rPr>
          <w:sz w:val="24"/>
          <w:szCs w:val="24"/>
        </w:rPr>
        <w:t>.</w:t>
      </w:r>
    </w:p>
    <w:p w14:paraId="5A953353" w14:textId="6F150702" w:rsidR="00D71862" w:rsidRPr="00606E02" w:rsidRDefault="00D71862" w:rsidP="00D71862">
      <w:pPr>
        <w:jc w:val="center"/>
      </w:pPr>
      <w:r>
        <w:rPr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67EF18BF" wp14:editId="7DCAFB3B">
            <wp:extent cx="5086350" cy="7315200"/>
            <wp:effectExtent l="0" t="0" r="0" b="0"/>
            <wp:docPr id="6" name="Picture 6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CC1F" w14:textId="77777777" w:rsidR="00D71862" w:rsidRDefault="00D71862" w:rsidP="00D71862">
      <w:pPr>
        <w:spacing w:line="480" w:lineRule="auto"/>
        <w:rPr>
          <w:sz w:val="24"/>
          <w:szCs w:val="24"/>
        </w:rPr>
      </w:pPr>
      <w:r w:rsidRPr="006C3DB0">
        <w:rPr>
          <w:b/>
          <w:sz w:val="24"/>
          <w:szCs w:val="24"/>
        </w:rPr>
        <w:t>Supplementary Figure</w:t>
      </w:r>
      <w:r>
        <w:rPr>
          <w:b/>
          <w:sz w:val="24"/>
          <w:szCs w:val="24"/>
        </w:rPr>
        <w:t xml:space="preserve"> S3</w:t>
      </w:r>
      <w:r w:rsidRPr="006C3DB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Somatic genomic alterations from the </w:t>
      </w:r>
      <w:proofErr w:type="spellStart"/>
      <w:r>
        <w:rPr>
          <w:b/>
          <w:sz w:val="24"/>
          <w:szCs w:val="24"/>
        </w:rPr>
        <w:t>AppKY</w:t>
      </w:r>
      <w:proofErr w:type="spellEnd"/>
      <w:r>
        <w:rPr>
          <w:b/>
          <w:sz w:val="24"/>
          <w:szCs w:val="24"/>
        </w:rPr>
        <w:t xml:space="preserve"> cohort. </w:t>
      </w:r>
      <w:r w:rsidRPr="00913AC1">
        <w:rPr>
          <w:sz w:val="24"/>
          <w:szCs w:val="24"/>
        </w:rPr>
        <w:t xml:space="preserve">Genes that were </w:t>
      </w:r>
      <w:r>
        <w:rPr>
          <w:sz w:val="24"/>
          <w:szCs w:val="24"/>
        </w:rPr>
        <w:t>s</w:t>
      </w:r>
      <w:r w:rsidRPr="002C1B45">
        <w:rPr>
          <w:sz w:val="24"/>
          <w:szCs w:val="24"/>
        </w:rPr>
        <w:t xml:space="preserve">ignificantly mutated </w:t>
      </w:r>
      <w:r>
        <w:rPr>
          <w:sz w:val="24"/>
          <w:szCs w:val="24"/>
        </w:rPr>
        <w:t xml:space="preserve">are shown on the top and </w:t>
      </w:r>
      <w:r w:rsidRPr="002C1B45">
        <w:rPr>
          <w:sz w:val="24"/>
          <w:szCs w:val="24"/>
        </w:rPr>
        <w:t xml:space="preserve">genes </w:t>
      </w:r>
      <w:r>
        <w:rPr>
          <w:sz w:val="24"/>
          <w:szCs w:val="24"/>
        </w:rPr>
        <w:t>that were contained in the</w:t>
      </w:r>
      <w:r w:rsidRPr="002C1B45">
        <w:rPr>
          <w:sz w:val="24"/>
          <w:szCs w:val="24"/>
        </w:rPr>
        <w:t xml:space="preserve"> </w:t>
      </w:r>
      <w:r>
        <w:rPr>
          <w:sz w:val="24"/>
          <w:szCs w:val="24"/>
        </w:rPr>
        <w:t>amplification/deletion wide peaks are shown at the bottom</w:t>
      </w:r>
      <w:r w:rsidRPr="002C1B4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8D1F9D">
        <w:rPr>
          <w:sz w:val="24"/>
          <w:szCs w:val="24"/>
        </w:rPr>
        <w:t xml:space="preserve">The number </w:t>
      </w:r>
      <w:r w:rsidRPr="008D1F9D">
        <w:rPr>
          <w:sz w:val="24"/>
          <w:szCs w:val="24"/>
        </w:rPr>
        <w:lastRenderedPageBreak/>
        <w:t xml:space="preserve">and percentage of samples with mutations </w:t>
      </w:r>
      <w:r>
        <w:rPr>
          <w:sz w:val="24"/>
          <w:szCs w:val="24"/>
        </w:rPr>
        <w:t xml:space="preserve">or SCNAs </w:t>
      </w:r>
      <w:r w:rsidRPr="008D1F9D">
        <w:rPr>
          <w:sz w:val="24"/>
          <w:szCs w:val="24"/>
        </w:rPr>
        <w:t>in each gene are shown on the left. Samples</w:t>
      </w:r>
      <w:r>
        <w:rPr>
          <w:sz w:val="24"/>
          <w:szCs w:val="24"/>
        </w:rPr>
        <w:t xml:space="preserve"> are</w:t>
      </w:r>
      <w:r w:rsidRPr="008D1F9D">
        <w:rPr>
          <w:sz w:val="24"/>
          <w:szCs w:val="24"/>
        </w:rPr>
        <w:t xml:space="preserve"> displayed as columns</w:t>
      </w:r>
      <w:r>
        <w:rPr>
          <w:sz w:val="24"/>
          <w:szCs w:val="24"/>
        </w:rPr>
        <w:t>.</w:t>
      </w:r>
    </w:p>
    <w:p w14:paraId="06499A5B" w14:textId="77777777" w:rsidR="00D71862" w:rsidRPr="00B53B0E" w:rsidRDefault="00D71862" w:rsidP="00D7186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4B1D39" w14:textId="0F507EBA" w:rsidR="00C840AE" w:rsidRPr="006C3DB0" w:rsidRDefault="008166AA" w:rsidP="00C840A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A2B8336" wp14:editId="46B92EBE">
            <wp:extent cx="1847088" cy="1364793"/>
            <wp:effectExtent l="0" t="0" r="762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1-22 at 9.36.14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3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F3945D1" wp14:editId="3AC922FB">
            <wp:extent cx="18288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DH1 positive ctr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E1A5740" wp14:editId="2B9D0B43">
            <wp:extent cx="18288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H-2230 E5 IDH1 neg ctr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005A" w14:textId="1521A927" w:rsidR="00C840AE" w:rsidRDefault="00C840AE" w:rsidP="00C840AE">
      <w:pPr>
        <w:spacing w:line="480" w:lineRule="auto"/>
        <w:rPr>
          <w:sz w:val="24"/>
          <w:szCs w:val="24"/>
        </w:rPr>
      </w:pPr>
      <w:r w:rsidRPr="008E746A">
        <w:rPr>
          <w:b/>
          <w:sz w:val="24"/>
          <w:szCs w:val="24"/>
        </w:rPr>
        <w:t>Supplementary Figure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S</w:t>
      </w:r>
      <w:r w:rsidR="008A4E94">
        <w:rPr>
          <w:b/>
          <w:sz w:val="24"/>
          <w:szCs w:val="24"/>
        </w:rPr>
        <w:t>4</w:t>
      </w:r>
      <w:r w:rsidRPr="008E746A">
        <w:rPr>
          <w:b/>
          <w:sz w:val="24"/>
          <w:szCs w:val="24"/>
        </w:rPr>
        <w:t>. Immunohistochemistry (IHC) staining confirmed the IDH1 R132H</w:t>
      </w:r>
      <w:r w:rsidR="0025107E">
        <w:rPr>
          <w:b/>
          <w:sz w:val="24"/>
          <w:szCs w:val="24"/>
        </w:rPr>
        <w:t xml:space="preserve"> mutation for one patient in the </w:t>
      </w:r>
      <w:proofErr w:type="spellStart"/>
      <w:r w:rsidR="0025107E">
        <w:rPr>
          <w:b/>
          <w:sz w:val="24"/>
          <w:szCs w:val="24"/>
        </w:rPr>
        <w:t>AppKY</w:t>
      </w:r>
      <w:proofErr w:type="spellEnd"/>
      <w:r w:rsidR="0025107E">
        <w:rPr>
          <w:b/>
          <w:sz w:val="24"/>
          <w:szCs w:val="24"/>
        </w:rPr>
        <w:t xml:space="preserve"> cohort</w:t>
      </w:r>
      <w:r w:rsidRPr="008E746A">
        <w:rPr>
          <w:b/>
          <w:sz w:val="24"/>
          <w:szCs w:val="24"/>
        </w:rPr>
        <w:t>.</w:t>
      </w:r>
      <w:r w:rsidRPr="008E74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IHC were performed on </w:t>
      </w:r>
      <w:r w:rsidRPr="008E746A">
        <w:rPr>
          <w:sz w:val="24"/>
          <w:szCs w:val="24"/>
        </w:rPr>
        <w:t>formalin fixed paraffin embedded representative tumor tissue</w:t>
      </w:r>
      <w:r w:rsidR="00777D06">
        <w:rPr>
          <w:sz w:val="24"/>
          <w:szCs w:val="24"/>
        </w:rPr>
        <w:t xml:space="preserve"> (left)</w:t>
      </w:r>
      <w:r w:rsidRPr="008E746A">
        <w:rPr>
          <w:sz w:val="24"/>
          <w:szCs w:val="24"/>
        </w:rPr>
        <w:t xml:space="preserve"> from patient MCC4545401228, who had a single IDH1 R132H mutation based on the whole-exome sequencing result</w:t>
      </w:r>
      <w:r>
        <w:rPr>
          <w:sz w:val="24"/>
          <w:szCs w:val="24"/>
        </w:rPr>
        <w:t>.</w:t>
      </w:r>
      <w:r w:rsidR="00777D06">
        <w:rPr>
          <w:sz w:val="24"/>
          <w:szCs w:val="24"/>
        </w:rPr>
        <w:t xml:space="preserve"> </w:t>
      </w:r>
      <w:r w:rsidR="00777D06" w:rsidRPr="00777D06">
        <w:rPr>
          <w:sz w:val="24"/>
          <w:szCs w:val="24"/>
        </w:rPr>
        <w:t>A known IDH1 mutant was run simultaneously as a positive control</w:t>
      </w:r>
      <w:r w:rsidR="00777D06">
        <w:rPr>
          <w:sz w:val="24"/>
          <w:szCs w:val="24"/>
        </w:rPr>
        <w:t xml:space="preserve"> (middle)</w:t>
      </w:r>
      <w:r w:rsidR="00777D06" w:rsidRPr="00777D06">
        <w:rPr>
          <w:sz w:val="24"/>
          <w:szCs w:val="24"/>
        </w:rPr>
        <w:t>.  A second slide of the patient tissue was run with mouse IgG in place of primary antibody, as a negative control</w:t>
      </w:r>
      <w:r w:rsidR="00777D06">
        <w:rPr>
          <w:sz w:val="24"/>
          <w:szCs w:val="24"/>
        </w:rPr>
        <w:t xml:space="preserve"> (right)</w:t>
      </w:r>
      <w:r w:rsidR="00777D06" w:rsidRPr="00777D06">
        <w:rPr>
          <w:sz w:val="24"/>
          <w:szCs w:val="24"/>
        </w:rPr>
        <w:t>.</w:t>
      </w:r>
    </w:p>
    <w:p w14:paraId="0DF36513" w14:textId="77777777" w:rsidR="00A16BD9" w:rsidRPr="00777D06" w:rsidRDefault="00A16BD9" w:rsidP="00777D06">
      <w:pPr>
        <w:spacing w:line="480" w:lineRule="auto"/>
        <w:rPr>
          <w:sz w:val="24"/>
          <w:szCs w:val="24"/>
        </w:rPr>
      </w:pPr>
      <w:r w:rsidRPr="00777D06">
        <w:rPr>
          <w:sz w:val="24"/>
          <w:szCs w:val="24"/>
        </w:rPr>
        <w:br w:type="page"/>
      </w:r>
    </w:p>
    <w:p w14:paraId="4D793E5A" w14:textId="77777777" w:rsidR="00C840AE" w:rsidRDefault="004F19FB" w:rsidP="00A16BD9">
      <w:pPr>
        <w:spacing w:after="160" w:line="259" w:lineRule="auto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84C4E1B" wp14:editId="425D20E6">
            <wp:simplePos x="0" y="0"/>
            <wp:positionH relativeFrom="column">
              <wp:posOffset>304800</wp:posOffset>
            </wp:positionH>
            <wp:positionV relativeFrom="paragraph">
              <wp:posOffset>281940</wp:posOffset>
            </wp:positionV>
            <wp:extent cx="5943600" cy="1959610"/>
            <wp:effectExtent l="0" t="0" r="0" b="0"/>
            <wp:wrapNone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3EF26" wp14:editId="3CBA453E">
                <wp:simplePos x="0" y="0"/>
                <wp:positionH relativeFrom="column">
                  <wp:posOffset>-296545</wp:posOffset>
                </wp:positionH>
                <wp:positionV relativeFrom="paragraph">
                  <wp:posOffset>118745</wp:posOffset>
                </wp:positionV>
                <wp:extent cx="6544945" cy="2469515"/>
                <wp:effectExtent l="0" t="0" r="8255" b="0"/>
                <wp:wrapNone/>
                <wp:docPr id="33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4945" cy="2469515"/>
                        </a:xfrm>
                        <a:prstGeom prst="roundRect">
                          <a:avLst>
                            <a:gd name="adj" fmla="val 3871"/>
                          </a:avLst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F56DE4" id="Rounded Rectangle 32" o:spid="_x0000_s1026" style="position:absolute;margin-left:-23.35pt;margin-top:9.35pt;width:515.35pt;height:19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25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" filled="f" strokecolor="#767171" strokeweight=".5pt">
                <v:stroke joinstyle="miter"/>
                <v:path arrowok="t"/>
              </v:roundrect>
            </w:pict>
          </mc:Fallback>
        </mc:AlternateContent>
      </w:r>
      <w:r w:rsidR="00A16BD9" w:rsidRPr="00A16BD9">
        <w:rPr>
          <w:b/>
          <w:sz w:val="24"/>
          <w:szCs w:val="24"/>
        </w:rPr>
        <w:t xml:space="preserve"> </w:t>
      </w:r>
    </w:p>
    <w:p w14:paraId="3F59E23B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7648BB9C" w14:textId="77777777" w:rsidR="00C840AE" w:rsidRDefault="004F19FB" w:rsidP="00A16BD9">
      <w:pPr>
        <w:spacing w:after="160" w:line="259" w:lineRule="auto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FF3D74" wp14:editId="6AE5747D">
                <wp:simplePos x="0" y="0"/>
                <wp:positionH relativeFrom="column">
                  <wp:posOffset>-106680</wp:posOffset>
                </wp:positionH>
                <wp:positionV relativeFrom="paragraph">
                  <wp:posOffset>332105</wp:posOffset>
                </wp:positionV>
                <wp:extent cx="471170" cy="587375"/>
                <wp:effectExtent l="0" t="0" r="0" b="0"/>
                <wp:wrapNone/>
                <wp:docPr id="18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170" cy="58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F32CE" w14:textId="77777777" w:rsidR="00A9256F" w:rsidRDefault="00A9256F" w:rsidP="00A16B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</w:rPr>
                            </w:pPr>
                            <w:r w:rsidRPr="00BC500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F3D74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-8.4pt;margin-top:26.15pt;width:37.1pt;height:4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" filled="f" stroked="f">
                <v:textbox style="mso-fit-shape-to-text:t">
                  <w:txbxContent>
                    <w:p w14:paraId="52FF32CE" w14:textId="77777777" w:rsidR="00A9256F" w:rsidRDefault="00A9256F" w:rsidP="00A16BD9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  <w:szCs w:val="24"/>
                        </w:rPr>
                      </w:pPr>
                      <w:r w:rsidRPr="00BC500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F524921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72CC61C2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25CF4976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1C42029F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2B6B3D91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4C25B92B" w14:textId="77777777" w:rsidR="00C840AE" w:rsidRDefault="004F19FB" w:rsidP="00A16BD9">
      <w:pPr>
        <w:spacing w:after="160" w:line="259" w:lineRule="auto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2C815" wp14:editId="08B2C465">
                <wp:simplePos x="0" y="0"/>
                <wp:positionH relativeFrom="column">
                  <wp:posOffset>-296545</wp:posOffset>
                </wp:positionH>
                <wp:positionV relativeFrom="paragraph">
                  <wp:posOffset>358140</wp:posOffset>
                </wp:positionV>
                <wp:extent cx="6544945" cy="2470150"/>
                <wp:effectExtent l="0" t="0" r="8255" b="0"/>
                <wp:wrapNone/>
                <wp:docPr id="11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4945" cy="2470150"/>
                        </a:xfrm>
                        <a:prstGeom prst="roundRect">
                          <a:avLst>
                            <a:gd name="adj" fmla="val 3871"/>
                          </a:avLst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B8C627" id="Rounded Rectangle 32" o:spid="_x0000_s1026" style="position:absolute;margin-left:-23.35pt;margin-top:28.2pt;width:515.35pt;height:1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25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" filled="f" strokecolor="#767171" strokeweight=".5pt">
                <v:stroke joinstyle="miter"/>
                <v:path arrowok="t"/>
              </v:roundrect>
            </w:pict>
          </mc:Fallback>
        </mc:AlternateContent>
      </w:r>
    </w:p>
    <w:p w14:paraId="5E3D8A20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79E8CFDA" w14:textId="77777777" w:rsidR="00C840AE" w:rsidRDefault="004F19FB" w:rsidP="00A16BD9">
      <w:pPr>
        <w:spacing w:after="160" w:line="259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D25066C" wp14:editId="20742BC3">
            <wp:simplePos x="0" y="0"/>
            <wp:positionH relativeFrom="column">
              <wp:posOffset>301625</wp:posOffset>
            </wp:positionH>
            <wp:positionV relativeFrom="paragraph">
              <wp:posOffset>28575</wp:posOffset>
            </wp:positionV>
            <wp:extent cx="5943600" cy="191516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AE36A" w14:textId="77777777" w:rsidR="00C840AE" w:rsidRDefault="004F19FB" w:rsidP="00A16BD9">
      <w:pPr>
        <w:spacing w:after="160" w:line="259" w:lineRule="auto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BF991B" wp14:editId="08615C4E">
                <wp:simplePos x="0" y="0"/>
                <wp:positionH relativeFrom="column">
                  <wp:posOffset>-80010</wp:posOffset>
                </wp:positionH>
                <wp:positionV relativeFrom="paragraph">
                  <wp:posOffset>314960</wp:posOffset>
                </wp:positionV>
                <wp:extent cx="471170" cy="587375"/>
                <wp:effectExtent l="0" t="0" r="0" b="0"/>
                <wp:wrapNone/>
                <wp:docPr id="1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170" cy="58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BDC2BC" w14:textId="77777777" w:rsidR="00A9256F" w:rsidRDefault="00A9256F" w:rsidP="00A16B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</w:rPr>
                            </w:pPr>
                            <w:r w:rsidRPr="00BC500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F991B" id="TextBox 6" o:spid="_x0000_s1027" type="#_x0000_t202" style="position:absolute;margin-left:-6.3pt;margin-top:24.8pt;width:37.1pt;height:4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" filled="f" stroked="f">
                <v:textbox style="mso-fit-shape-to-text:t">
                  <w:txbxContent>
                    <w:p w14:paraId="56BDC2BC" w14:textId="77777777" w:rsidR="00A9256F" w:rsidRDefault="00A9256F" w:rsidP="00A16BD9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  <w:szCs w:val="24"/>
                        </w:rPr>
                      </w:pPr>
                      <w:r w:rsidRPr="00BC500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C735836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000BEF74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64EDF4D4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17D651FF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141450BF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6A6A7033" w14:textId="77777777" w:rsidR="00C840AE" w:rsidRDefault="00C840AE" w:rsidP="00A16BD9">
      <w:pPr>
        <w:spacing w:after="160" w:line="259" w:lineRule="auto"/>
        <w:rPr>
          <w:b/>
          <w:sz w:val="24"/>
          <w:szCs w:val="24"/>
        </w:rPr>
      </w:pPr>
    </w:p>
    <w:p w14:paraId="105F32F1" w14:textId="77777777" w:rsidR="00803449" w:rsidRDefault="00803449" w:rsidP="00A16BD9">
      <w:pPr>
        <w:spacing w:after="160" w:line="259" w:lineRule="auto"/>
        <w:rPr>
          <w:b/>
          <w:sz w:val="24"/>
          <w:szCs w:val="24"/>
        </w:rPr>
      </w:pPr>
    </w:p>
    <w:p w14:paraId="2F31F5EF" w14:textId="3F15B91A" w:rsidR="00C43F0B" w:rsidRPr="00571260" w:rsidRDefault="00C840AE" w:rsidP="00571260">
      <w:pPr>
        <w:spacing w:line="480" w:lineRule="auto"/>
        <w:rPr>
          <w:sz w:val="24"/>
          <w:szCs w:val="24"/>
        </w:rPr>
      </w:pPr>
      <w:r w:rsidRPr="00571260">
        <w:rPr>
          <w:b/>
          <w:sz w:val="24"/>
          <w:szCs w:val="24"/>
        </w:rPr>
        <w:t>Supplementary Figure S</w:t>
      </w:r>
      <w:r w:rsidR="008A4E94">
        <w:rPr>
          <w:b/>
          <w:sz w:val="24"/>
          <w:szCs w:val="24"/>
        </w:rPr>
        <w:t>5</w:t>
      </w:r>
      <w:r w:rsidR="00803449" w:rsidRPr="00571260">
        <w:rPr>
          <w:b/>
          <w:sz w:val="24"/>
          <w:szCs w:val="24"/>
        </w:rPr>
        <w:t>.</w:t>
      </w:r>
      <w:r w:rsidR="00803449" w:rsidRPr="00571260">
        <w:rPr>
          <w:sz w:val="24"/>
          <w:szCs w:val="24"/>
        </w:rPr>
        <w:t xml:space="preserve"> IDH1 and PCMTD1 mutations. </w:t>
      </w:r>
      <w:r w:rsidR="00CD6DD7" w:rsidRPr="00803449">
        <w:rPr>
          <w:sz w:val="24"/>
          <w:szCs w:val="24"/>
        </w:rPr>
        <w:t>(A)</w:t>
      </w:r>
      <w:r w:rsidR="00CD6DD7" w:rsidRPr="00DC6A37">
        <w:rPr>
          <w:sz w:val="24"/>
          <w:szCs w:val="24"/>
        </w:rPr>
        <w:t xml:space="preserve"> </w:t>
      </w:r>
      <w:r w:rsidR="00CD6DD7" w:rsidRPr="00571260">
        <w:rPr>
          <w:sz w:val="24"/>
          <w:szCs w:val="24"/>
        </w:rPr>
        <w:t>IDH1</w:t>
      </w:r>
      <w:r w:rsidR="00CD6DD7" w:rsidRPr="00DC6A37">
        <w:rPr>
          <w:sz w:val="24"/>
          <w:szCs w:val="24"/>
        </w:rPr>
        <w:t xml:space="preserve"> mutations </w:t>
      </w:r>
      <w:r w:rsidR="00CD6DD7">
        <w:rPr>
          <w:sz w:val="24"/>
          <w:szCs w:val="24"/>
        </w:rPr>
        <w:t>and their</w:t>
      </w:r>
      <w:r w:rsidR="00CD6DD7" w:rsidRPr="00435853">
        <w:rPr>
          <w:sz w:val="24"/>
          <w:szCs w:val="24"/>
        </w:rPr>
        <w:t xml:space="preserve"> mutation frequenc</w:t>
      </w:r>
      <w:r w:rsidR="00CD6DD7">
        <w:rPr>
          <w:sz w:val="24"/>
          <w:szCs w:val="24"/>
        </w:rPr>
        <w:t>ies (circles)</w:t>
      </w:r>
      <w:r w:rsidR="00CD6DD7" w:rsidRPr="00DC6A37">
        <w:rPr>
          <w:sz w:val="24"/>
          <w:szCs w:val="24"/>
        </w:rPr>
        <w:t>.</w:t>
      </w:r>
      <w:r w:rsidR="00CD6DD7">
        <w:rPr>
          <w:sz w:val="24"/>
          <w:szCs w:val="24"/>
        </w:rPr>
        <w:t xml:space="preserve"> (B) </w:t>
      </w:r>
      <w:r w:rsidR="00CD6DD7" w:rsidRPr="00571260">
        <w:rPr>
          <w:sz w:val="24"/>
          <w:szCs w:val="24"/>
        </w:rPr>
        <w:t>PCMTD1</w:t>
      </w:r>
      <w:r w:rsidR="00CD6DD7" w:rsidRPr="00DC6A37">
        <w:rPr>
          <w:sz w:val="24"/>
          <w:szCs w:val="24"/>
        </w:rPr>
        <w:t xml:space="preserve"> mutations </w:t>
      </w:r>
      <w:r w:rsidR="00CD6DD7">
        <w:rPr>
          <w:sz w:val="24"/>
          <w:szCs w:val="24"/>
        </w:rPr>
        <w:t>and their frequencies (circles).</w:t>
      </w:r>
    </w:p>
    <w:p w14:paraId="2AB49603" w14:textId="251E0BAE" w:rsidR="00C43F0B" w:rsidRDefault="000252C7" w:rsidP="00C43F0B">
      <w:pPr>
        <w:spacing w:line="480" w:lineRule="auto"/>
        <w:jc w:val="center"/>
        <w:rPr>
          <w:b/>
          <w:sz w:val="24"/>
          <w:szCs w:val="24"/>
        </w:rPr>
      </w:pPr>
      <w:r w:rsidRPr="000252C7">
        <w:rPr>
          <w:b/>
          <w:noProof/>
          <w:sz w:val="24"/>
          <w:szCs w:val="24"/>
        </w:rPr>
        <w:lastRenderedPageBreak/>
        <w:drawing>
          <wp:inline distT="0" distB="0" distL="0" distR="0" wp14:anchorId="0CB2C65D" wp14:editId="4170A172">
            <wp:extent cx="4407179" cy="6858000"/>
            <wp:effectExtent l="0" t="0" r="1270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71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DB53" w14:textId="649E7E22" w:rsidR="00C43F0B" w:rsidRPr="000252C7" w:rsidRDefault="00007806" w:rsidP="000252C7">
      <w:pPr>
        <w:spacing w:line="480" w:lineRule="auto"/>
        <w:rPr>
          <w:sz w:val="24"/>
          <w:szCs w:val="24"/>
        </w:rPr>
      </w:pPr>
      <w:r w:rsidRPr="006C3DB0">
        <w:rPr>
          <w:b/>
          <w:sz w:val="24"/>
          <w:szCs w:val="24"/>
        </w:rPr>
        <w:t>Supplementary Figure</w:t>
      </w:r>
      <w:r w:rsidR="00FB71C0">
        <w:rPr>
          <w:b/>
          <w:sz w:val="24"/>
          <w:szCs w:val="24"/>
        </w:rPr>
        <w:t xml:space="preserve"> S</w:t>
      </w:r>
      <w:r w:rsidR="008A4E94">
        <w:rPr>
          <w:b/>
          <w:sz w:val="24"/>
          <w:szCs w:val="24"/>
        </w:rPr>
        <w:t>6</w:t>
      </w:r>
      <w:r w:rsidRPr="006C3DB0">
        <w:rPr>
          <w:b/>
          <w:sz w:val="24"/>
          <w:szCs w:val="24"/>
        </w:rPr>
        <w:t>. Maximum likelihood phylogenetic tree of IDH1 and IDH2 proteins from a representative genome set.</w:t>
      </w:r>
      <w:r w:rsidRPr="006C3DB0">
        <w:rPr>
          <w:sz w:val="24"/>
          <w:szCs w:val="24"/>
        </w:rPr>
        <w:t xml:space="preserve"> Clades of definite IDH1 and IDH2 orthologs are highlighted in green and magenta,</w:t>
      </w:r>
      <w:r w:rsidRPr="006C3DB0">
        <w:rPr>
          <w:b/>
          <w:sz w:val="24"/>
          <w:szCs w:val="24"/>
        </w:rPr>
        <w:t xml:space="preserve"> </w:t>
      </w:r>
      <w:r w:rsidRPr="006C3DB0">
        <w:rPr>
          <w:sz w:val="24"/>
          <w:szCs w:val="24"/>
        </w:rPr>
        <w:t xml:space="preserve">correspondingly. Multiple sequence </w:t>
      </w:r>
      <w:r w:rsidRPr="006C3DB0">
        <w:rPr>
          <w:sz w:val="24"/>
          <w:szCs w:val="24"/>
        </w:rPr>
        <w:lastRenderedPageBreak/>
        <w:t xml:space="preserve">alignment </w:t>
      </w:r>
      <w:r w:rsidR="006C3DB0" w:rsidRPr="006C3DB0">
        <w:rPr>
          <w:sz w:val="24"/>
          <w:szCs w:val="24"/>
        </w:rPr>
        <w:t xml:space="preserve">was </w:t>
      </w:r>
      <w:r w:rsidRPr="006C3DB0">
        <w:rPr>
          <w:sz w:val="24"/>
          <w:szCs w:val="24"/>
        </w:rPr>
        <w:t>used to construct the tree and sequence accession</w:t>
      </w:r>
      <w:r w:rsidRPr="006C3DB0">
        <w:rPr>
          <w:b/>
          <w:sz w:val="24"/>
          <w:szCs w:val="24"/>
        </w:rPr>
        <w:t xml:space="preserve"> </w:t>
      </w:r>
      <w:r w:rsidRPr="006C3DB0">
        <w:rPr>
          <w:sz w:val="24"/>
          <w:szCs w:val="24"/>
        </w:rPr>
        <w:t xml:space="preserve">numbers are shown in </w:t>
      </w:r>
      <w:r w:rsidRPr="006C3DB0">
        <w:rPr>
          <w:b/>
          <w:sz w:val="24"/>
          <w:szCs w:val="24"/>
        </w:rPr>
        <w:t>Supplementary Figure S</w:t>
      </w:r>
      <w:r w:rsidR="008A4E94">
        <w:rPr>
          <w:b/>
          <w:sz w:val="24"/>
          <w:szCs w:val="24"/>
        </w:rPr>
        <w:t>7</w:t>
      </w:r>
      <w:r w:rsidRPr="006C3DB0">
        <w:rPr>
          <w:sz w:val="24"/>
          <w:szCs w:val="24"/>
        </w:rPr>
        <w:t>. Human proteins are marked by a star.</w:t>
      </w:r>
    </w:p>
    <w:p w14:paraId="6D92B8D8" w14:textId="575E9DC2" w:rsidR="00C43F0B" w:rsidRDefault="000252C7" w:rsidP="00C43F0B">
      <w:pPr>
        <w:spacing w:line="480" w:lineRule="auto"/>
        <w:jc w:val="center"/>
        <w:rPr>
          <w:b/>
          <w:sz w:val="24"/>
          <w:szCs w:val="24"/>
        </w:rPr>
      </w:pPr>
      <w:r w:rsidRPr="000252C7">
        <w:rPr>
          <w:b/>
          <w:noProof/>
          <w:sz w:val="24"/>
          <w:szCs w:val="24"/>
        </w:rPr>
        <w:drawing>
          <wp:inline distT="0" distB="0" distL="0" distR="0" wp14:anchorId="63D6FCBB" wp14:editId="49AA894B">
            <wp:extent cx="5003199" cy="5954512"/>
            <wp:effectExtent l="0" t="0" r="63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3199" cy="595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25AC" w14:textId="77777777" w:rsidR="00D71862" w:rsidRDefault="00007806" w:rsidP="00007806">
      <w:pPr>
        <w:spacing w:line="480" w:lineRule="auto"/>
        <w:rPr>
          <w:sz w:val="24"/>
          <w:szCs w:val="24"/>
        </w:rPr>
      </w:pPr>
      <w:r w:rsidRPr="006C3DB0">
        <w:rPr>
          <w:b/>
          <w:sz w:val="24"/>
          <w:szCs w:val="24"/>
        </w:rPr>
        <w:t>Supplementary Figure</w:t>
      </w:r>
      <w:r w:rsidR="00FB71C0">
        <w:rPr>
          <w:b/>
          <w:sz w:val="24"/>
          <w:szCs w:val="24"/>
        </w:rPr>
        <w:t xml:space="preserve"> S</w:t>
      </w:r>
      <w:r w:rsidR="008A4E94">
        <w:rPr>
          <w:b/>
          <w:sz w:val="24"/>
          <w:szCs w:val="24"/>
        </w:rPr>
        <w:t>7</w:t>
      </w:r>
      <w:r w:rsidRPr="006C3DB0">
        <w:rPr>
          <w:b/>
          <w:sz w:val="24"/>
          <w:szCs w:val="24"/>
        </w:rPr>
        <w:t>. Multiple sequence alignment of IDH1 and IDH2 proteins from a representative genome set.</w:t>
      </w:r>
      <w:r w:rsidRPr="006C3DB0">
        <w:rPr>
          <w:sz w:val="24"/>
          <w:szCs w:val="24"/>
        </w:rPr>
        <w:t xml:space="preserve"> Sequence labels and the order of sequences correspond to that of the phylogenetic tree shown in </w:t>
      </w:r>
      <w:r w:rsidRPr="006C3DB0">
        <w:rPr>
          <w:b/>
          <w:sz w:val="24"/>
          <w:szCs w:val="24"/>
        </w:rPr>
        <w:t>Supplementary Figure S</w:t>
      </w:r>
      <w:r w:rsidR="008A4E94">
        <w:rPr>
          <w:b/>
          <w:sz w:val="24"/>
          <w:szCs w:val="24"/>
        </w:rPr>
        <w:t>6</w:t>
      </w:r>
      <w:r w:rsidRPr="006C3DB0">
        <w:rPr>
          <w:sz w:val="24"/>
          <w:szCs w:val="24"/>
        </w:rPr>
        <w:t xml:space="preserve">. </w:t>
      </w:r>
      <w:r w:rsidRPr="006C3DB0">
        <w:rPr>
          <w:sz w:val="24"/>
          <w:szCs w:val="24"/>
        </w:rPr>
        <w:lastRenderedPageBreak/>
        <w:t>Positions corresponding to K132, V178, A307, and L352 in the human IDH1 are highlighted.</w:t>
      </w:r>
    </w:p>
    <w:p w14:paraId="77C86CA4" w14:textId="77777777" w:rsidR="00D71862" w:rsidRDefault="00D7186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7D6FF48" w14:textId="4374ED82" w:rsidR="006C3DB0" w:rsidRPr="006C3DB0" w:rsidRDefault="004F19FB" w:rsidP="00007806">
      <w:pPr>
        <w:spacing w:line="480" w:lineRule="auto"/>
        <w:rPr>
          <w:sz w:val="24"/>
          <w:szCs w:val="24"/>
        </w:rPr>
      </w:pPr>
      <w:r w:rsidRPr="00BC5006">
        <w:rPr>
          <w:noProof/>
          <w:sz w:val="24"/>
          <w:szCs w:val="24"/>
        </w:rPr>
        <w:lastRenderedPageBreak/>
        <w:drawing>
          <wp:inline distT="0" distB="0" distL="0" distR="0" wp14:anchorId="2EB88F94" wp14:editId="67C5CACF">
            <wp:extent cx="5935345" cy="4974771"/>
            <wp:effectExtent l="0" t="0" r="8255" b="3810"/>
            <wp:docPr id="5" name="Picture 3" descr="SupplementaryFigures-SUBMIT/Slid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plementaryFigures-SUBMIT/Slide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67"/>
                    <a:stretch/>
                  </pic:blipFill>
                  <pic:spPr bwMode="auto">
                    <a:xfrm>
                      <a:off x="0" y="0"/>
                      <a:ext cx="5935345" cy="49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C6171" w14:textId="7C9A54F4" w:rsidR="00817B57" w:rsidRDefault="00007806" w:rsidP="00497306">
      <w:pPr>
        <w:spacing w:line="480" w:lineRule="auto"/>
        <w:rPr>
          <w:sz w:val="24"/>
          <w:szCs w:val="24"/>
        </w:rPr>
      </w:pPr>
      <w:r w:rsidRPr="006C3DB0">
        <w:rPr>
          <w:b/>
          <w:sz w:val="24"/>
          <w:szCs w:val="24"/>
        </w:rPr>
        <w:t>Supplementary Figure</w:t>
      </w:r>
      <w:r w:rsidR="00FB71C0">
        <w:rPr>
          <w:b/>
          <w:sz w:val="24"/>
          <w:szCs w:val="24"/>
        </w:rPr>
        <w:t xml:space="preserve"> S</w:t>
      </w:r>
      <w:r w:rsidR="008A4E94">
        <w:rPr>
          <w:b/>
          <w:sz w:val="24"/>
          <w:szCs w:val="24"/>
        </w:rPr>
        <w:t>8</w:t>
      </w:r>
      <w:r w:rsidRPr="006C3DB0">
        <w:rPr>
          <w:b/>
          <w:sz w:val="24"/>
          <w:szCs w:val="24"/>
        </w:rPr>
        <w:t xml:space="preserve">. 2-OG dependent enzymes as a group are mutually exclusive with </w:t>
      </w:r>
      <w:r w:rsidRPr="006C3DB0">
        <w:rPr>
          <w:b/>
          <w:i/>
          <w:sz w:val="24"/>
          <w:szCs w:val="24"/>
        </w:rPr>
        <w:t>IDH1</w:t>
      </w:r>
      <w:r w:rsidRPr="006C3DB0">
        <w:rPr>
          <w:b/>
          <w:sz w:val="24"/>
          <w:szCs w:val="24"/>
        </w:rPr>
        <w:t xml:space="preserve"> mutations. </w:t>
      </w:r>
      <w:r w:rsidRPr="006C3DB0">
        <w:rPr>
          <w:sz w:val="24"/>
          <w:szCs w:val="24"/>
        </w:rPr>
        <w:t>All known 2-OG dependent enzymes including protein demethylases, DNA and RNA demethylases and amino acid hydroxylases were included in the analyses.</w:t>
      </w:r>
    </w:p>
    <w:p w14:paraId="3206376F" w14:textId="1FEAA960" w:rsidR="00593FEB" w:rsidRPr="00497306" w:rsidRDefault="00593FEB" w:rsidP="00D71862">
      <w:pPr>
        <w:spacing w:line="240" w:lineRule="auto"/>
        <w:rPr>
          <w:sz w:val="24"/>
          <w:szCs w:val="24"/>
        </w:rPr>
      </w:pPr>
    </w:p>
    <w:sectPr w:rsidR="00593FEB" w:rsidRPr="004973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34AF3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Nature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95p5pd2g252suevp2pvxavz5v2e09v9aax5&quot;&gt;Arnold SQCC 3-16-17&lt;record-ids&gt;&lt;item&gt;81&lt;/item&gt;&lt;item&gt;82&lt;/item&gt;&lt;item&gt;83&lt;/item&gt;&lt;/record-ids&gt;&lt;/item&gt;&lt;/Libraries&gt;"/>
  </w:docVars>
  <w:rsids>
    <w:rsidRoot w:val="00007806"/>
    <w:rsid w:val="000055F6"/>
    <w:rsid w:val="00007806"/>
    <w:rsid w:val="0001200F"/>
    <w:rsid w:val="000252C7"/>
    <w:rsid w:val="00060C63"/>
    <w:rsid w:val="00072D5B"/>
    <w:rsid w:val="00084E76"/>
    <w:rsid w:val="00087C72"/>
    <w:rsid w:val="000A6975"/>
    <w:rsid w:val="000B397E"/>
    <w:rsid w:val="000B4B99"/>
    <w:rsid w:val="000C3D02"/>
    <w:rsid w:val="000E1AF4"/>
    <w:rsid w:val="000F2B22"/>
    <w:rsid w:val="001443CC"/>
    <w:rsid w:val="00164E40"/>
    <w:rsid w:val="00192F74"/>
    <w:rsid w:val="001B61EE"/>
    <w:rsid w:val="00207907"/>
    <w:rsid w:val="002237F7"/>
    <w:rsid w:val="0022487B"/>
    <w:rsid w:val="0025107E"/>
    <w:rsid w:val="002919D6"/>
    <w:rsid w:val="002C1B45"/>
    <w:rsid w:val="002F0C9E"/>
    <w:rsid w:val="002F3ED3"/>
    <w:rsid w:val="00301F7C"/>
    <w:rsid w:val="00302A5E"/>
    <w:rsid w:val="003A55C3"/>
    <w:rsid w:val="003E4AFF"/>
    <w:rsid w:val="00406413"/>
    <w:rsid w:val="00444769"/>
    <w:rsid w:val="004904C7"/>
    <w:rsid w:val="00497306"/>
    <w:rsid w:val="00497911"/>
    <w:rsid w:val="004E3667"/>
    <w:rsid w:val="004F19FB"/>
    <w:rsid w:val="004F3DEF"/>
    <w:rsid w:val="004F4B04"/>
    <w:rsid w:val="004F61AF"/>
    <w:rsid w:val="00513E21"/>
    <w:rsid w:val="00571260"/>
    <w:rsid w:val="00593FEB"/>
    <w:rsid w:val="005D085B"/>
    <w:rsid w:val="005D4E49"/>
    <w:rsid w:val="005D6DA3"/>
    <w:rsid w:val="005D7B09"/>
    <w:rsid w:val="005F2CF9"/>
    <w:rsid w:val="00606E02"/>
    <w:rsid w:val="00663E81"/>
    <w:rsid w:val="006924E1"/>
    <w:rsid w:val="006C3DB0"/>
    <w:rsid w:val="00700E9E"/>
    <w:rsid w:val="00720BB7"/>
    <w:rsid w:val="00772F5A"/>
    <w:rsid w:val="00777D06"/>
    <w:rsid w:val="007A7062"/>
    <w:rsid w:val="00803449"/>
    <w:rsid w:val="008166AA"/>
    <w:rsid w:val="00817B57"/>
    <w:rsid w:val="0083436A"/>
    <w:rsid w:val="0085416C"/>
    <w:rsid w:val="008A4E94"/>
    <w:rsid w:val="008B4954"/>
    <w:rsid w:val="008E746A"/>
    <w:rsid w:val="00913AC1"/>
    <w:rsid w:val="00945D85"/>
    <w:rsid w:val="009A2362"/>
    <w:rsid w:val="009B22B0"/>
    <w:rsid w:val="009F08A1"/>
    <w:rsid w:val="00A03420"/>
    <w:rsid w:val="00A16BD9"/>
    <w:rsid w:val="00A16FB9"/>
    <w:rsid w:val="00A71C3F"/>
    <w:rsid w:val="00A9256F"/>
    <w:rsid w:val="00AE341E"/>
    <w:rsid w:val="00AF0B86"/>
    <w:rsid w:val="00B02150"/>
    <w:rsid w:val="00B26C2A"/>
    <w:rsid w:val="00B53B0E"/>
    <w:rsid w:val="00B86D80"/>
    <w:rsid w:val="00BC5006"/>
    <w:rsid w:val="00C3158B"/>
    <w:rsid w:val="00C43F0B"/>
    <w:rsid w:val="00C6244E"/>
    <w:rsid w:val="00C64075"/>
    <w:rsid w:val="00C65FDE"/>
    <w:rsid w:val="00C66C87"/>
    <w:rsid w:val="00C840AE"/>
    <w:rsid w:val="00CD6DD7"/>
    <w:rsid w:val="00D51376"/>
    <w:rsid w:val="00D71862"/>
    <w:rsid w:val="00D853A3"/>
    <w:rsid w:val="00DA7204"/>
    <w:rsid w:val="00DE3704"/>
    <w:rsid w:val="00E2490D"/>
    <w:rsid w:val="00EB6E7E"/>
    <w:rsid w:val="00FA7204"/>
    <w:rsid w:val="00FB1B37"/>
    <w:rsid w:val="00FB71C0"/>
    <w:rsid w:val="00FF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FB6E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A2362"/>
    <w:pPr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F0B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007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78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07806"/>
    <w:rPr>
      <w:rFonts w:ascii="Arial" w:eastAsia="SimSun" w:hAnsi="Arial" w:cs="Arial"/>
      <w:color w:val="000000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80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7806"/>
    <w:rPr>
      <w:rFonts w:ascii="Segoe UI" w:eastAsia="SimSun" w:hAnsi="Segoe UI" w:cs="Segoe UI"/>
      <w:color w:val="000000"/>
      <w:sz w:val="18"/>
      <w:szCs w:val="18"/>
      <w:lang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4E3667"/>
    <w:pPr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4E3667"/>
    <w:rPr>
      <w:rFonts w:ascii="Arial" w:eastAsia="SimSun" w:hAnsi="Arial" w:cs="Arial"/>
      <w:noProof/>
      <w:color w:val="000000"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4E3667"/>
    <w:pPr>
      <w:spacing w:line="240" w:lineRule="auto"/>
    </w:pPr>
    <w:rPr>
      <w:noProof/>
    </w:rPr>
  </w:style>
  <w:style w:type="character" w:customStyle="1" w:styleId="EndNoteBibliographyChar">
    <w:name w:val="EndNote Bibliography Char"/>
    <w:link w:val="EndNoteBibliography"/>
    <w:rsid w:val="004E3667"/>
    <w:rPr>
      <w:rFonts w:ascii="Arial" w:eastAsia="SimSun" w:hAnsi="Arial" w:cs="Arial"/>
      <w:noProof/>
      <w:color w:val="000000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5D4E49"/>
    <w:pPr>
      <w:spacing w:before="100" w:beforeAutospacing="1" w:after="100" w:afterAutospacing="1" w:line="240" w:lineRule="auto"/>
    </w:pPr>
    <w:rPr>
      <w:rFonts w:ascii="Times" w:eastAsia="Calibri" w:hAnsi="Times" w:cs="Times New Roman"/>
      <w:color w:val="auto"/>
      <w:sz w:val="20"/>
      <w:szCs w:val="20"/>
      <w:lang w:eastAsia="en-US"/>
    </w:rPr>
  </w:style>
  <w:style w:type="character" w:styleId="Strong">
    <w:name w:val="Strong"/>
    <w:uiPriority w:val="22"/>
    <w:qFormat/>
    <w:rsid w:val="000B397E"/>
    <w:rPr>
      <w:b/>
      <w:bCs/>
    </w:rPr>
  </w:style>
  <w:style w:type="character" w:styleId="Hyperlink">
    <w:name w:val="Hyperlink"/>
    <w:uiPriority w:val="99"/>
    <w:unhideWhenUsed/>
    <w:rsid w:val="000B397E"/>
    <w:rPr>
      <w:color w:val="0563C1"/>
      <w:u w:val="single"/>
    </w:rPr>
  </w:style>
  <w:style w:type="character" w:customStyle="1" w:styleId="Heading1Char">
    <w:name w:val="Heading 1 Char"/>
    <w:link w:val="Heading1"/>
    <w:uiPriority w:val="9"/>
    <w:rsid w:val="00C43F0B"/>
    <w:rPr>
      <w:rFonts w:ascii="Arial" w:eastAsia="SimSun" w:hAnsi="Arial" w:cs="Arial"/>
      <w:color w:val="000000"/>
      <w:sz w:val="40"/>
      <w:szCs w:val="40"/>
      <w:lang w:eastAsia="zh-CN"/>
    </w:rPr>
  </w:style>
  <w:style w:type="paragraph" w:styleId="ListParagraph">
    <w:name w:val="List Paragraph"/>
    <w:basedOn w:val="Normal"/>
    <w:uiPriority w:val="72"/>
    <w:rsid w:val="009A2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5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2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00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cer-rates.info/ky/?datasource=mor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nccd.cdc.gov/uscs/" TargetMode="External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0FE9D-A124-4F15-8383-27B9BF6E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15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CTA</dc:creator>
  <cp:keywords/>
  <dc:description/>
  <cp:lastModifiedBy>Jinpeng Liu</cp:lastModifiedBy>
  <cp:revision>34</cp:revision>
  <dcterms:created xsi:type="dcterms:W3CDTF">2018-01-24T21:56:00Z</dcterms:created>
  <dcterms:modified xsi:type="dcterms:W3CDTF">2018-09-28T23:54:00Z</dcterms:modified>
</cp:coreProperties>
</file>