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78" w:rsidRPr="00D83578" w:rsidRDefault="00D83578">
      <w:pPr>
        <w:rPr>
          <w:rFonts w:ascii="Times New Roman" w:hAnsi="Times New Roman" w:cs="Times New Roman"/>
          <w:b/>
        </w:rPr>
      </w:pPr>
      <w:bookmarkStart w:id="0" w:name="_GoBack"/>
      <w:r w:rsidRPr="00D83578">
        <w:rPr>
          <w:rFonts w:ascii="Times New Roman" w:hAnsi="Times New Roman" w:cs="Times New Roman"/>
          <w:b/>
        </w:rPr>
        <w:t>Table S1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2700"/>
        <w:gridCol w:w="990"/>
        <w:gridCol w:w="1980"/>
        <w:gridCol w:w="1170"/>
        <w:gridCol w:w="2340"/>
        <w:gridCol w:w="990"/>
        <w:gridCol w:w="2430"/>
      </w:tblGrid>
      <w:tr w:rsidR="00E547EC" w:rsidRPr="00A32ED6" w:rsidTr="00BA08F7">
        <w:trPr>
          <w:trHeight w:val="477"/>
        </w:trPr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bookmarkEnd w:id="0"/>
          <w:p w:rsidR="00E547EC" w:rsidRPr="00B03B88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 </w:t>
            </w:r>
            <w:r w:rsidRPr="00B2362E">
              <w:rPr>
                <w:rFonts w:ascii="Times New Roman" w:hAnsi="Times New Roman"/>
                <w:b/>
                <w:color w:val="000000"/>
              </w:rPr>
              <w:t>MET-hours per week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  <w:r w:rsidRPr="00B03B88">
              <w:rPr>
                <w:rFonts w:ascii="Times New Roman" w:hAnsi="Times New Roman"/>
                <w:b/>
                <w:color w:val="000000"/>
              </w:rPr>
              <w:t>Cases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3B88">
              <w:rPr>
                <w:rFonts w:ascii="Times New Roman" w:hAnsi="Times New Roman"/>
                <w:b/>
                <w:color w:val="000000"/>
              </w:rPr>
              <w:t>Age-adjusted HR (95% CI)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3B88">
              <w:rPr>
                <w:rFonts w:ascii="Times New Roman" w:hAnsi="Times New Roman"/>
                <w:b/>
                <w:color w:val="000000"/>
              </w:rPr>
              <w:t>Cases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3B88">
              <w:rPr>
                <w:rFonts w:ascii="Times New Roman" w:hAnsi="Times New Roman"/>
                <w:b/>
                <w:color w:val="000000"/>
              </w:rPr>
              <w:t>Multivariate-adjusted HR</w:t>
            </w:r>
            <w:r w:rsidRPr="00B03B88">
              <w:rPr>
                <w:rFonts w:ascii="Times New Roman" w:hAnsi="Times New Roman"/>
                <w:b/>
                <w:color w:val="000000"/>
                <w:vertAlign w:val="superscript"/>
              </w:rPr>
              <w:t xml:space="preserve">1 </w:t>
            </w:r>
            <w:r w:rsidRPr="00B03B88">
              <w:rPr>
                <w:rFonts w:ascii="Times New Roman" w:hAnsi="Times New Roman"/>
                <w:b/>
                <w:color w:val="000000"/>
              </w:rPr>
              <w:t>(95% CI)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3B88">
              <w:rPr>
                <w:rFonts w:ascii="Times New Roman" w:hAnsi="Times New Roman"/>
                <w:b/>
                <w:color w:val="000000"/>
              </w:rPr>
              <w:t>Cases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3B88">
              <w:rPr>
                <w:rFonts w:ascii="Times New Roman" w:hAnsi="Times New Roman"/>
                <w:b/>
                <w:color w:val="000000"/>
              </w:rPr>
              <w:t>Latency multivariate-adjusted HR</w:t>
            </w:r>
            <w:r w:rsidRPr="00B03B88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B03B88">
              <w:rPr>
                <w:rFonts w:ascii="Times New Roman" w:hAnsi="Times New Roman"/>
                <w:b/>
                <w:color w:val="000000"/>
              </w:rPr>
              <w:t xml:space="preserve"> (95% CI)</w:t>
            </w:r>
          </w:p>
        </w:tc>
      </w:tr>
      <w:tr w:rsidR="00E547EC" w:rsidRPr="00A32ED6" w:rsidTr="00BA08F7">
        <w:trPr>
          <w:trHeight w:val="22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All-Cancer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  <w:r w:rsidRPr="00B03B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1.03 (0.91, 1.16)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1.02 (0.90, 1.16)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1.04 (0.91, 1.19) 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1.01 (0.89, 1.14)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0.96 ( (0.84, 1.10)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0.93 (0.80, 1.07)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1.00 (0.88, 1.13)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0.88</w:t>
            </w:r>
            <w:r w:rsidRPr="00B03B88">
              <w:rPr>
                <w:rFonts w:ascii="Times New Roman" w:hAnsi="Times New Roman"/>
                <w:color w:val="000000"/>
              </w:rPr>
              <w:t>†</w:t>
            </w:r>
            <w:r>
              <w:rPr>
                <w:rFonts w:ascii="Times New Roman" w:hAnsi="Times New Roman"/>
                <w:color w:val="000000"/>
              </w:rPr>
              <w:t xml:space="preserve"> (0.76, 1.00)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0.89 (0.91, 1.19)</w:t>
            </w:r>
          </w:p>
        </w:tc>
      </w:tr>
      <w:tr w:rsidR="00E547EC" w:rsidRPr="00A32ED6" w:rsidTr="00BA08F7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</w:t>
            </w:r>
          </w:p>
        </w:tc>
      </w:tr>
      <w:tr w:rsidR="00E547EC" w:rsidRPr="00A32ED6" w:rsidTr="00BA08F7">
        <w:trPr>
          <w:trHeight w:val="1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Breast Cancer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1.04 (0.81, 1.33)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0.97 (0.74, 1.25)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0.97 (0.74, 1.29)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0.99 (0.76, 1.29)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0.93 (0.70, 1.23)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 (0.67, 1.22)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0.93 (0.69, 1.25)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0.92 (0.67, 1.26)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0.90 (0.64, 1.26)</w:t>
            </w:r>
          </w:p>
        </w:tc>
      </w:tr>
      <w:tr w:rsidR="00E547EC" w:rsidRPr="00A32ED6" w:rsidTr="00BA08F7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0.45</w:t>
            </w:r>
          </w:p>
        </w:tc>
      </w:tr>
      <w:tr w:rsidR="00E547EC" w:rsidRPr="00A32ED6" w:rsidTr="00BA08F7">
        <w:trPr>
          <w:trHeight w:val="16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Colon Cancer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0.97 (0.65, 1.46)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1.05 (0.69, 1.60)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1.02 (0.64, 1.61)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0.93 (0.61, 1.43)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0.97 (0.62, 1.52)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0.97 (0.60, 1.57)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0.73 (0.47, 1.15)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0.65</w:t>
            </w:r>
            <w:r w:rsidRPr="00B03B88">
              <w:rPr>
                <w:rFonts w:ascii="Times New Roman" w:hAnsi="Times New Roman"/>
                <w:color w:val="000000"/>
              </w:rPr>
              <w:t>†</w:t>
            </w:r>
            <w:r>
              <w:rPr>
                <w:rFonts w:ascii="Times New Roman" w:hAnsi="Times New Roman"/>
                <w:color w:val="000000"/>
              </w:rPr>
              <w:t xml:space="preserve"> (0.40, 1.06)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0.61</w:t>
            </w:r>
            <w:r w:rsidRPr="00B03B88">
              <w:rPr>
                <w:rFonts w:ascii="Times New Roman" w:hAnsi="Times New Roman"/>
                <w:color w:val="000000"/>
              </w:rPr>
              <w:t>†</w:t>
            </w:r>
            <w:r>
              <w:rPr>
                <w:rFonts w:ascii="Times New Roman" w:hAnsi="Times New Roman"/>
                <w:color w:val="000000"/>
              </w:rPr>
              <w:t xml:space="preserve"> (0.36, 1.04)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0.09</w:t>
            </w:r>
          </w:p>
        </w:tc>
      </w:tr>
      <w:tr w:rsidR="00E547EC" w:rsidRPr="00A32ED6" w:rsidTr="00BA08F7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Prostate Cancer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1.16 (0.83, 1.61)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 (0.81, 1.62)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1.28 (0.87, 1.88)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1.20 (0.87, 1.67)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 (0.85, 1.70)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1.37 (0.94, 2.01)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1.21 (0.90, 1.64)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 (0.89, 1.72)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1.36</w:t>
            </w:r>
            <w:r w:rsidRPr="00B03B88">
              <w:rPr>
                <w:rFonts w:ascii="Times New Roman" w:hAnsi="Times New Roman"/>
                <w:color w:val="000000"/>
              </w:rPr>
              <w:t>†</w:t>
            </w:r>
            <w:r>
              <w:rPr>
                <w:rFonts w:ascii="Times New Roman" w:hAnsi="Times New Roman"/>
                <w:color w:val="000000"/>
              </w:rPr>
              <w:t xml:space="preserve"> (0.95, 1.96) </w:t>
            </w:r>
          </w:p>
        </w:tc>
      </w:tr>
      <w:tr w:rsidR="00E547EC" w:rsidRPr="00A32ED6" w:rsidTr="00BA08F7">
        <w:trPr>
          <w:trHeight w:val="2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E547EC" w:rsidRPr="00A32ED6" w:rsidTr="00BA08F7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Lung Cancer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0.87 (0.57, 1.31)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1.04 (0.68, 1.60)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1.18 (0.75, 1.86) 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1.05 (0.69, 1.58)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 (0.72, 1.75)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 (0.75, 1.93)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0.81 (0.52, 1.25)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0.71 (0.44, 1.17)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0.82 (0.49, 1.38)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0.66</w:t>
            </w:r>
          </w:p>
        </w:tc>
      </w:tr>
      <w:tr w:rsidR="00E547EC" w:rsidRPr="00A32ED6" w:rsidTr="00BA08F7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Endometrial Cancer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0.87 (0.53, 1.43)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0.81 (0.46, 1.42)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0.84 (0.47, 1.50)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0.88 (0.52, 1.48)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 (0.52, 1.60)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0.72 (0.39, 1.36)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0.96 (0.54, 1.69)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0.93 (0.49, 1.74)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0.88 (0.44, 1.73)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0.51</w:t>
            </w:r>
          </w:p>
        </w:tc>
      </w:tr>
      <w:tr w:rsidR="00E547EC" w:rsidRPr="00A32ED6" w:rsidTr="00BA08F7">
        <w:trPr>
          <w:trHeight w:val="297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</w:rPr>
            </w:pPr>
            <w:r w:rsidRPr="005F1623">
              <w:rPr>
                <w:rFonts w:ascii="Times New Roman" w:hAnsi="Times New Roman"/>
                <w:color w:val="000000"/>
              </w:rPr>
              <w:t>Non-Hodgkin Lymphoma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0.69 (0.38, 1.27)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0.62 (0.33, 1.19)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0.67 (0.35, 1.29)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0.57† (0.29, 1.09)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0.49* (0.25, 0.98)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0.34** (0.15, 0.76)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1.01 (0.59, 1.75)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0.71 (0.38, 1.31)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0.68 (0.35, 1.31)</w:t>
            </w:r>
          </w:p>
        </w:tc>
      </w:tr>
      <w:tr w:rsidR="00E547EC" w:rsidRPr="00A32ED6" w:rsidTr="00BA08F7">
        <w:trPr>
          <w:trHeight w:val="24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E547EC" w:rsidRPr="00A32ED6" w:rsidTr="00BA08F7">
        <w:trPr>
          <w:trHeight w:val="24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000000"/>
              </w:rPr>
            </w:pPr>
            <w:r w:rsidRPr="005F1623">
              <w:rPr>
                <w:rFonts w:ascii="Times New Roman" w:hAnsi="Times New Roman"/>
                <w:color w:val="000000"/>
              </w:rPr>
              <w:t>Leukemia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0.64 (0.34, 1.20)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0.63 (0.33, 1.22)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0.54 (0.25, 1.14)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0.69 (0.37, 1.30)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0.58 (0.29, 1.14)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0.53</w:t>
            </w:r>
            <w:r w:rsidRPr="00B03B88">
              <w:rPr>
                <w:rFonts w:ascii="Times New Roman" w:hAnsi="Times New Roman"/>
                <w:color w:val="000000"/>
              </w:rPr>
              <w:t>†</w:t>
            </w:r>
            <w:r>
              <w:rPr>
                <w:rFonts w:ascii="Times New Roman" w:hAnsi="Times New Roman"/>
                <w:color w:val="000000"/>
              </w:rPr>
              <w:t xml:space="preserve"> (0.25, 1.21)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0.94 (0.53, 1.66)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0.71 (0.37, 1.35)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0.80 (0.40, 1.57)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0.56</w:t>
            </w:r>
          </w:p>
        </w:tc>
      </w:tr>
      <w:tr w:rsidR="00E547EC" w:rsidRPr="00A32ED6" w:rsidTr="00BA08F7">
        <w:trPr>
          <w:trHeight w:val="207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EC" w:rsidRPr="005F1623" w:rsidRDefault="00E547EC" w:rsidP="00BA08F7">
            <w:pPr>
              <w:rPr>
                <w:rFonts w:ascii="Times New Roman" w:hAnsi="Times New Roman"/>
                <w:color w:val="222222"/>
              </w:rPr>
            </w:pPr>
            <w:r w:rsidRPr="005F1623">
              <w:rPr>
                <w:rFonts w:ascii="Times New Roman" w:hAnsi="Times New Roman"/>
                <w:color w:val="222222"/>
              </w:rPr>
              <w:t xml:space="preserve">Hematological Cancers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34.6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1.0 (Ref)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 – 76.3</w:t>
            </w:r>
            <w:r w:rsidRPr="005F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 xml:space="preserve">0.67† (0.44, 1.03)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0.63* (0.40, 0.99)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0.61* (0.37, 0.99)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76.4 – 116.7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0.61* (0.39, 0.96)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0.52** (0.32, 0.84)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0.41** (0.24, 0.71)</w:t>
            </w:r>
          </w:p>
        </w:tc>
      </w:tr>
      <w:tr w:rsidR="00E547EC" w:rsidRPr="00A32ED6" w:rsidTr="00BA08F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116.8 – 463.4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0.97 (0.66, 1.44)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0.70 (0.45, 1.09)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0.73 (0.45, 1.16)</w:t>
            </w:r>
          </w:p>
        </w:tc>
      </w:tr>
      <w:tr w:rsidR="00E547EC" w:rsidRPr="00A32ED6" w:rsidTr="00BA08F7">
        <w:trPr>
          <w:trHeight w:val="207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5F1623" w:rsidRDefault="00E547EC" w:rsidP="00BA08F7">
            <w:pPr>
              <w:ind w:firstLineChars="200" w:firstLine="480"/>
              <w:rPr>
                <w:rFonts w:ascii="Times New Roman" w:hAnsi="Times New Roman"/>
                <w:i/>
                <w:color w:val="000000"/>
              </w:rPr>
            </w:pPr>
            <w:r w:rsidRPr="005F1623">
              <w:rPr>
                <w:rFonts w:ascii="Times New Roman" w:hAnsi="Times New Roman"/>
                <w:i/>
                <w:color w:val="000000"/>
              </w:rPr>
              <w:t xml:space="preserve">P for trend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B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7EC" w:rsidRPr="00B03B88" w:rsidRDefault="00E547EC" w:rsidP="00BA08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0.13</w:t>
            </w:r>
          </w:p>
        </w:tc>
      </w:tr>
    </w:tbl>
    <w:p w:rsidR="00F15FE5" w:rsidRDefault="00F15FE5" w:rsidP="00F15FE5"/>
    <w:p w:rsidR="00F15FE5" w:rsidRDefault="00F15FE5" w:rsidP="00F15FE5"/>
    <w:p w:rsidR="00F15FE5" w:rsidRDefault="00F15FE5" w:rsidP="00F15FE5"/>
    <w:p w:rsidR="00F15FE5" w:rsidRPr="00BD54D7" w:rsidRDefault="00F15FE5" w:rsidP="00F15FE5">
      <w:pPr>
        <w:rPr>
          <w:rFonts w:ascii="Times New Roman" w:hAnsi="Times New Roman" w:cs="Times New Roman"/>
        </w:rPr>
      </w:pPr>
      <w:r w:rsidRPr="00BD54D7">
        <w:rPr>
          <w:rFonts w:ascii="Times New Roman" w:hAnsi="Times New Roman" w:cs="Times New Roman"/>
          <w:vertAlign w:val="superscript"/>
        </w:rPr>
        <w:lastRenderedPageBreak/>
        <w:t>1</w:t>
      </w:r>
      <w:r w:rsidRPr="00BD54D7">
        <w:rPr>
          <w:rFonts w:ascii="Times New Roman" w:hAnsi="Times New Roman" w:cs="Times New Roman"/>
        </w:rPr>
        <w:t xml:space="preserve">Adjusted for: age (continuous), sex (for non sex-specific cancers), ethnicity (white/other), marital status (married or living with someone/divorced, separated, or widowed/single, never married), highest level of education (high school or less/some post-high school education/post-high school certificate or degree), total household income ($0 to $49,999/$50,000 to $99,999/{greater than or equal to} $100,000), geographical area of residence (urban/rural), smoking status (current/former/never), pack-years of cigarettes (lung cancer only), alcohol consumption (grams of ethanol per day), energy intake (kilocalories per day), </w:t>
      </w:r>
      <w:proofErr w:type="spellStart"/>
      <w:r w:rsidRPr="00BD54D7">
        <w:rPr>
          <w:rFonts w:ascii="Times New Roman" w:hAnsi="Times New Roman" w:cs="Times New Roman"/>
        </w:rPr>
        <w:t>fibre</w:t>
      </w:r>
      <w:proofErr w:type="spellEnd"/>
      <w:r w:rsidRPr="00BD54D7">
        <w:rPr>
          <w:rFonts w:ascii="Times New Roman" w:hAnsi="Times New Roman" w:cs="Times New Roman"/>
        </w:rPr>
        <w:t xml:space="preserve"> intake (grams per day) (colon cancer only), BMI (continuous), history of cardiovascular condition (yes/no), history of respiratory condition (yes/no), family history of cancer (yes/no), menopausal status (pre-menopause/post-menopause) (breast and endometrial cancers), history of breast cancer screening (yes/no) (breast cancer only), history of colon cancer screening (yes/no) (colon cancer only), history of prostate cancer screening (yes/no) (prostate cancer only), quartiles of recreational physical activity, quartiles of household physical activity, and groups of transportation physical activity. </w:t>
      </w:r>
    </w:p>
    <w:p w:rsidR="00F15FE5" w:rsidRPr="00BD54D7" w:rsidRDefault="00F15FE5" w:rsidP="00F15FE5">
      <w:pPr>
        <w:rPr>
          <w:rFonts w:ascii="Times New Roman" w:hAnsi="Times New Roman" w:cs="Times New Roman"/>
        </w:rPr>
      </w:pPr>
      <w:r w:rsidRPr="00BD54D7">
        <w:rPr>
          <w:rFonts w:ascii="Times New Roman" w:hAnsi="Times New Roman" w:cs="Times New Roman"/>
          <w:vertAlign w:val="superscript"/>
        </w:rPr>
        <w:t xml:space="preserve">2 </w:t>
      </w:r>
      <w:r w:rsidRPr="00BD54D7">
        <w:rPr>
          <w:rFonts w:ascii="Times New Roman" w:hAnsi="Times New Roman" w:cs="Times New Roman"/>
        </w:rPr>
        <w:t xml:space="preserve">Cancers occurring less than 2 years after baseline data collection removed </w:t>
      </w:r>
    </w:p>
    <w:p w:rsidR="00952DE4" w:rsidRPr="00BD54D7" w:rsidRDefault="00F15FE5" w:rsidP="00F15FE5">
      <w:pPr>
        <w:rPr>
          <w:rFonts w:ascii="Times New Roman" w:hAnsi="Times New Roman" w:cs="Times New Roman"/>
        </w:rPr>
      </w:pPr>
      <w:r w:rsidRPr="00BD54D7">
        <w:rPr>
          <w:rFonts w:ascii="Times New Roman" w:hAnsi="Times New Roman" w:cs="Times New Roman"/>
        </w:rPr>
        <w:t>**p&lt;0.01, *p&lt;0.05, †p&lt;0.1</w:t>
      </w:r>
    </w:p>
    <w:p w:rsidR="00BD54D7" w:rsidRPr="00BD54D7" w:rsidRDefault="00BD54D7">
      <w:pPr>
        <w:rPr>
          <w:rFonts w:ascii="Times New Roman" w:hAnsi="Times New Roman" w:cs="Times New Roman"/>
        </w:rPr>
      </w:pPr>
    </w:p>
    <w:sectPr w:rsidR="00BD54D7" w:rsidRPr="00BD54D7" w:rsidSect="00DC2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41"/>
    <w:rsid w:val="000010D1"/>
    <w:rsid w:val="00004F26"/>
    <w:rsid w:val="00012E62"/>
    <w:rsid w:val="00015E92"/>
    <w:rsid w:val="00037E5D"/>
    <w:rsid w:val="00037ED7"/>
    <w:rsid w:val="0004220A"/>
    <w:rsid w:val="000662C8"/>
    <w:rsid w:val="00090BC1"/>
    <w:rsid w:val="000B1C6B"/>
    <w:rsid w:val="000D48CC"/>
    <w:rsid w:val="000E384E"/>
    <w:rsid w:val="000F4707"/>
    <w:rsid w:val="000F684D"/>
    <w:rsid w:val="00131F13"/>
    <w:rsid w:val="00145D0C"/>
    <w:rsid w:val="00153CD0"/>
    <w:rsid w:val="001761B9"/>
    <w:rsid w:val="001866A3"/>
    <w:rsid w:val="001A44E8"/>
    <w:rsid w:val="001B545F"/>
    <w:rsid w:val="001D48E7"/>
    <w:rsid w:val="001E05F3"/>
    <w:rsid w:val="001E7073"/>
    <w:rsid w:val="001E711C"/>
    <w:rsid w:val="001E7F3F"/>
    <w:rsid w:val="001F1E09"/>
    <w:rsid w:val="001F33D0"/>
    <w:rsid w:val="001F786A"/>
    <w:rsid w:val="00204A0B"/>
    <w:rsid w:val="00207DCC"/>
    <w:rsid w:val="0021119C"/>
    <w:rsid w:val="00221DEE"/>
    <w:rsid w:val="00241E22"/>
    <w:rsid w:val="00251077"/>
    <w:rsid w:val="00295C61"/>
    <w:rsid w:val="002967DB"/>
    <w:rsid w:val="002E18F0"/>
    <w:rsid w:val="002E4363"/>
    <w:rsid w:val="002E7F66"/>
    <w:rsid w:val="002F0060"/>
    <w:rsid w:val="003044CB"/>
    <w:rsid w:val="00307AB7"/>
    <w:rsid w:val="003448DF"/>
    <w:rsid w:val="003671D2"/>
    <w:rsid w:val="003901EA"/>
    <w:rsid w:val="00394045"/>
    <w:rsid w:val="00394E45"/>
    <w:rsid w:val="0039799A"/>
    <w:rsid w:val="003A371B"/>
    <w:rsid w:val="003A6A2F"/>
    <w:rsid w:val="003B3D1C"/>
    <w:rsid w:val="003C2EEA"/>
    <w:rsid w:val="003C375C"/>
    <w:rsid w:val="003C42FE"/>
    <w:rsid w:val="003D266D"/>
    <w:rsid w:val="003D547C"/>
    <w:rsid w:val="003D5D22"/>
    <w:rsid w:val="00425CCF"/>
    <w:rsid w:val="00431FA8"/>
    <w:rsid w:val="00461786"/>
    <w:rsid w:val="00466853"/>
    <w:rsid w:val="00467053"/>
    <w:rsid w:val="004722CF"/>
    <w:rsid w:val="004751E2"/>
    <w:rsid w:val="004A1719"/>
    <w:rsid w:val="004B4045"/>
    <w:rsid w:val="004D2565"/>
    <w:rsid w:val="005061A5"/>
    <w:rsid w:val="00510C79"/>
    <w:rsid w:val="00510D8F"/>
    <w:rsid w:val="00512E65"/>
    <w:rsid w:val="005304D2"/>
    <w:rsid w:val="005333E8"/>
    <w:rsid w:val="00551BF9"/>
    <w:rsid w:val="00556D37"/>
    <w:rsid w:val="00561A21"/>
    <w:rsid w:val="00586EDB"/>
    <w:rsid w:val="005902AD"/>
    <w:rsid w:val="00597304"/>
    <w:rsid w:val="005A7C99"/>
    <w:rsid w:val="005B19F0"/>
    <w:rsid w:val="005C413F"/>
    <w:rsid w:val="005C47C5"/>
    <w:rsid w:val="005D0A99"/>
    <w:rsid w:val="005F1A30"/>
    <w:rsid w:val="00612673"/>
    <w:rsid w:val="00623B44"/>
    <w:rsid w:val="0063719D"/>
    <w:rsid w:val="0064421E"/>
    <w:rsid w:val="00653BEA"/>
    <w:rsid w:val="00664A5E"/>
    <w:rsid w:val="006702BA"/>
    <w:rsid w:val="006773BE"/>
    <w:rsid w:val="006940F0"/>
    <w:rsid w:val="006A49DE"/>
    <w:rsid w:val="006D00CB"/>
    <w:rsid w:val="006D52BD"/>
    <w:rsid w:val="007206DC"/>
    <w:rsid w:val="00767BCD"/>
    <w:rsid w:val="00775C55"/>
    <w:rsid w:val="00782095"/>
    <w:rsid w:val="007839D7"/>
    <w:rsid w:val="007A170D"/>
    <w:rsid w:val="007B7A67"/>
    <w:rsid w:val="007C42AB"/>
    <w:rsid w:val="007C5471"/>
    <w:rsid w:val="007D5881"/>
    <w:rsid w:val="007E379A"/>
    <w:rsid w:val="007F0425"/>
    <w:rsid w:val="007F0A91"/>
    <w:rsid w:val="007F2895"/>
    <w:rsid w:val="008103AC"/>
    <w:rsid w:val="00834A7E"/>
    <w:rsid w:val="00837DDB"/>
    <w:rsid w:val="00840DD7"/>
    <w:rsid w:val="0084116A"/>
    <w:rsid w:val="008701F5"/>
    <w:rsid w:val="00884C19"/>
    <w:rsid w:val="00890859"/>
    <w:rsid w:val="008A255D"/>
    <w:rsid w:val="008A50AD"/>
    <w:rsid w:val="008A551C"/>
    <w:rsid w:val="008A70B1"/>
    <w:rsid w:val="008B5CE5"/>
    <w:rsid w:val="008C4833"/>
    <w:rsid w:val="008F5A7A"/>
    <w:rsid w:val="00952DE4"/>
    <w:rsid w:val="00963EC0"/>
    <w:rsid w:val="00966B50"/>
    <w:rsid w:val="00971832"/>
    <w:rsid w:val="00991E7D"/>
    <w:rsid w:val="00992D2E"/>
    <w:rsid w:val="009A3B28"/>
    <w:rsid w:val="009B6356"/>
    <w:rsid w:val="009C6961"/>
    <w:rsid w:val="009D1E26"/>
    <w:rsid w:val="009D25AD"/>
    <w:rsid w:val="009E1AAF"/>
    <w:rsid w:val="009E271C"/>
    <w:rsid w:val="009F4845"/>
    <w:rsid w:val="00A37082"/>
    <w:rsid w:val="00A4023E"/>
    <w:rsid w:val="00A43569"/>
    <w:rsid w:val="00A86FC8"/>
    <w:rsid w:val="00AA2A52"/>
    <w:rsid w:val="00B27F4D"/>
    <w:rsid w:val="00B47083"/>
    <w:rsid w:val="00B530AE"/>
    <w:rsid w:val="00B8052B"/>
    <w:rsid w:val="00B87804"/>
    <w:rsid w:val="00BC1E09"/>
    <w:rsid w:val="00BC6DBE"/>
    <w:rsid w:val="00BD03F5"/>
    <w:rsid w:val="00BD54D7"/>
    <w:rsid w:val="00BE31DD"/>
    <w:rsid w:val="00BF18C7"/>
    <w:rsid w:val="00BF7FB0"/>
    <w:rsid w:val="00C07557"/>
    <w:rsid w:val="00C07C82"/>
    <w:rsid w:val="00C14571"/>
    <w:rsid w:val="00C1698C"/>
    <w:rsid w:val="00C639F1"/>
    <w:rsid w:val="00C702E5"/>
    <w:rsid w:val="00C911E7"/>
    <w:rsid w:val="00CC597B"/>
    <w:rsid w:val="00CE4A8A"/>
    <w:rsid w:val="00D0211E"/>
    <w:rsid w:val="00D034CC"/>
    <w:rsid w:val="00D03649"/>
    <w:rsid w:val="00D03B34"/>
    <w:rsid w:val="00D14BEC"/>
    <w:rsid w:val="00D218D7"/>
    <w:rsid w:val="00D26257"/>
    <w:rsid w:val="00D41FD2"/>
    <w:rsid w:val="00D47F1B"/>
    <w:rsid w:val="00D550C9"/>
    <w:rsid w:val="00D61AF5"/>
    <w:rsid w:val="00D623CE"/>
    <w:rsid w:val="00D714EA"/>
    <w:rsid w:val="00D80857"/>
    <w:rsid w:val="00D83578"/>
    <w:rsid w:val="00D83B11"/>
    <w:rsid w:val="00D90440"/>
    <w:rsid w:val="00DB6CFC"/>
    <w:rsid w:val="00DC2B41"/>
    <w:rsid w:val="00DC7BF0"/>
    <w:rsid w:val="00DD080F"/>
    <w:rsid w:val="00DF361F"/>
    <w:rsid w:val="00DF4A80"/>
    <w:rsid w:val="00DF59E7"/>
    <w:rsid w:val="00E01EBA"/>
    <w:rsid w:val="00E16F9C"/>
    <w:rsid w:val="00E2612D"/>
    <w:rsid w:val="00E3252D"/>
    <w:rsid w:val="00E33C92"/>
    <w:rsid w:val="00E43755"/>
    <w:rsid w:val="00E47898"/>
    <w:rsid w:val="00E50F51"/>
    <w:rsid w:val="00E547EC"/>
    <w:rsid w:val="00E72A20"/>
    <w:rsid w:val="00E846C5"/>
    <w:rsid w:val="00EB25CA"/>
    <w:rsid w:val="00EB5E13"/>
    <w:rsid w:val="00EC6F2F"/>
    <w:rsid w:val="00ED34FF"/>
    <w:rsid w:val="00ED4F1A"/>
    <w:rsid w:val="00EE657E"/>
    <w:rsid w:val="00EE77EC"/>
    <w:rsid w:val="00F063B0"/>
    <w:rsid w:val="00F15FE5"/>
    <w:rsid w:val="00F200F4"/>
    <w:rsid w:val="00F62B7F"/>
    <w:rsid w:val="00F9308D"/>
    <w:rsid w:val="00FA0595"/>
    <w:rsid w:val="00FA0FC3"/>
    <w:rsid w:val="00FE268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DD28-C5E7-4651-9492-ACD666D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Barberio</dc:creator>
  <cp:keywords/>
  <dc:description/>
  <cp:lastModifiedBy>Amanda Barberio</cp:lastModifiedBy>
  <cp:revision>4</cp:revision>
  <dcterms:created xsi:type="dcterms:W3CDTF">2018-02-28T19:21:00Z</dcterms:created>
  <dcterms:modified xsi:type="dcterms:W3CDTF">2018-04-16T19:13:00Z</dcterms:modified>
</cp:coreProperties>
</file>