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B1" w:rsidRPr="009D5819" w:rsidRDefault="00EC412B" w:rsidP="008B09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</w:t>
      </w:r>
      <w:r w:rsidR="008B09B1">
        <w:rPr>
          <w:rFonts w:ascii="Arial" w:hAnsi="Arial" w:cs="Arial"/>
        </w:rPr>
        <w:t xml:space="preserve">. Association of Cesarean </w:t>
      </w:r>
      <w:r w:rsidR="001B2E47">
        <w:rPr>
          <w:rFonts w:ascii="Arial" w:hAnsi="Arial" w:cs="Arial"/>
        </w:rPr>
        <w:t>delivery and infant leukemia – Sensitivity a</w:t>
      </w:r>
      <w:r w:rsidRPr="00EC412B">
        <w:rPr>
          <w:rFonts w:ascii="Arial" w:hAnsi="Arial" w:cs="Arial"/>
        </w:rPr>
        <w:t>nalysis e</w:t>
      </w:r>
      <w:r w:rsidR="008B09B1" w:rsidRPr="00EC412B">
        <w:rPr>
          <w:rFonts w:ascii="Arial" w:hAnsi="Arial" w:cs="Arial"/>
        </w:rPr>
        <w:t>xcluding infants diagnosed at &lt; 3 months of age.</w:t>
      </w:r>
      <w:bookmarkStart w:id="0" w:name="_GoBack"/>
      <w:bookmarkEnd w:id="0"/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793"/>
        <w:gridCol w:w="1243"/>
        <w:gridCol w:w="584"/>
        <w:gridCol w:w="808"/>
        <w:gridCol w:w="1268"/>
        <w:gridCol w:w="584"/>
        <w:gridCol w:w="772"/>
        <w:gridCol w:w="1225"/>
        <w:gridCol w:w="584"/>
        <w:gridCol w:w="766"/>
        <w:gridCol w:w="1268"/>
      </w:tblGrid>
      <w:tr w:rsidR="008B09B1" w:rsidRPr="00404169" w:rsidTr="008B09B1">
        <w:trPr>
          <w:trHeight w:val="512"/>
          <w:tblHeader/>
          <w:jc w:val="center"/>
        </w:trPr>
        <w:tc>
          <w:tcPr>
            <w:tcW w:w="3793" w:type="dxa"/>
            <w:shd w:val="clear" w:color="auto" w:fill="FFFFFF"/>
            <w:noWrap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8B09B1" w:rsidRPr="00485630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85630">
              <w:rPr>
                <w:rFonts w:ascii="Arial" w:hAnsi="Arial" w:cs="Arial"/>
                <w:bCs/>
              </w:rPr>
              <w:t>Controls</w:t>
            </w:r>
          </w:p>
        </w:tc>
        <w:tc>
          <w:tcPr>
            <w:tcW w:w="2660" w:type="dxa"/>
            <w:gridSpan w:val="3"/>
            <w:shd w:val="clear" w:color="auto" w:fill="FFFFFF"/>
            <w:noWrap/>
            <w:vAlign w:val="bottom"/>
          </w:tcPr>
          <w:p w:rsidR="008B09B1" w:rsidRPr="00485630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85630">
              <w:rPr>
                <w:rFonts w:ascii="Arial" w:hAnsi="Arial" w:cs="Arial"/>
                <w:bCs/>
              </w:rPr>
              <w:t>Combined cases</w:t>
            </w:r>
          </w:p>
        </w:tc>
        <w:tc>
          <w:tcPr>
            <w:tcW w:w="2581" w:type="dxa"/>
            <w:gridSpan w:val="3"/>
            <w:shd w:val="clear" w:color="auto" w:fill="FFFFFF"/>
            <w:vAlign w:val="bottom"/>
          </w:tcPr>
          <w:p w:rsidR="008B09B1" w:rsidRPr="00485630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85630">
              <w:rPr>
                <w:rFonts w:ascii="Arial" w:hAnsi="Arial" w:cs="Arial"/>
                <w:bCs/>
              </w:rPr>
              <w:t>ALL</w:t>
            </w:r>
          </w:p>
        </w:tc>
        <w:tc>
          <w:tcPr>
            <w:tcW w:w="2618" w:type="dxa"/>
            <w:gridSpan w:val="3"/>
            <w:shd w:val="clear" w:color="auto" w:fill="FFFFFF"/>
            <w:vAlign w:val="bottom"/>
          </w:tcPr>
          <w:p w:rsidR="008B09B1" w:rsidRPr="00485630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85630">
              <w:rPr>
                <w:rFonts w:ascii="Arial" w:hAnsi="Arial" w:cs="Arial"/>
                <w:bCs/>
              </w:rPr>
              <w:t>AML</w:t>
            </w:r>
          </w:p>
        </w:tc>
      </w:tr>
      <w:tr w:rsidR="008B09B1" w:rsidRPr="00404169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584" w:type="dxa"/>
            <w:shd w:val="clear" w:color="auto" w:fill="FFFFFF"/>
            <w:noWrap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20F0D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95%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20F0D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584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72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20F0D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225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584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66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20F0D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F0D">
              <w:rPr>
                <w:rFonts w:ascii="Arial" w:hAnsi="Arial" w:cs="Arial"/>
                <w:b/>
                <w:bCs/>
              </w:rPr>
              <w:t>95% CI</w:t>
            </w:r>
          </w:p>
        </w:tc>
      </w:tr>
      <w:tr w:rsidR="008B09B1" w:rsidRPr="00404169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EB0667" w:rsidRDefault="008B09B1" w:rsidP="000E2B28">
            <w:pPr>
              <w:rPr>
                <w:rFonts w:ascii="Arial" w:hAnsi="Arial" w:cs="Arial"/>
                <w:b/>
              </w:rPr>
            </w:pPr>
            <w:r w:rsidRPr="00EB0667">
              <w:rPr>
                <w:rFonts w:ascii="Arial" w:hAnsi="Arial" w:cs="Arial"/>
                <w:b/>
              </w:rPr>
              <w:t>Method of Delivery: Interview Data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288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1.38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0.95-2.00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1.63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1.08-2.46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1.09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0.66-1.81</w:t>
            </w: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720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Pre-labor 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1.26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0.73-2.16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1.44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0.79-2.62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1.09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0.53-2.24</w:t>
            </w: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720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Emergency 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1.68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0.95-2.98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D82C10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2.01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452D4F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1.08-3.75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0.50-2.55</w:t>
            </w: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288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Vaginal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9B6B45">
              <w:rPr>
                <w:rFonts w:ascii="Arial" w:hAnsi="Arial" w:cs="Arial"/>
                <w:bCs/>
              </w:rPr>
              <w:t>251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  <w:i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rPr>
                <w:rFonts w:ascii="Arial" w:hAnsi="Arial" w:cs="Arial"/>
                <w:bCs/>
              </w:rPr>
            </w:pP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EB0667" w:rsidRDefault="008B09B1" w:rsidP="000E2B28">
            <w:pPr>
              <w:rPr>
                <w:rFonts w:ascii="Arial" w:hAnsi="Arial" w:cs="Arial"/>
                <w:b/>
              </w:rPr>
            </w:pPr>
            <w:r w:rsidRPr="00EB0667">
              <w:rPr>
                <w:rFonts w:ascii="Arial" w:hAnsi="Arial" w:cs="Arial"/>
                <w:b/>
              </w:rPr>
              <w:t>Method of Delivery: Medical Record Data</w:t>
            </w:r>
            <w:r w:rsidR="00EC412B">
              <w:rPr>
                <w:rFonts w:ascii="Arial" w:hAnsi="Arial" w:cs="Arial"/>
                <w:b/>
              </w:rPr>
              <w:t xml:space="preserve"> </w:t>
            </w:r>
            <w:r w:rsidR="00EC412B" w:rsidRPr="00EC412B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620F0D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288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1.57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0.96-2.55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452D4F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1.95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452D4F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 w:rsidRPr="00452D4F">
              <w:rPr>
                <w:rFonts w:ascii="Arial" w:hAnsi="Arial" w:cs="Arial"/>
                <w:bCs/>
              </w:rPr>
              <w:t>1.14-3.35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0.99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0.48-2.06</w:t>
            </w: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720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Pre-labor 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1.46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0.73-2.92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0.97-4.31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0.59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0.18-1.98</w:t>
            </w:r>
          </w:p>
        </w:tc>
      </w:tr>
      <w:tr w:rsidR="008B09B1" w:rsidRPr="009B6B45" w:rsidTr="00EC412B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720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Emergency cesarean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1.66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0.89-3.08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D82C10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B09B1" w:rsidRPr="00EC412B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 w:rsidRPr="00EC412B">
              <w:rPr>
                <w:rFonts w:ascii="Arial" w:hAnsi="Arial" w:cs="Arial"/>
                <w:bCs/>
              </w:rPr>
              <w:t>1.90</w:t>
            </w:r>
            <w:r w:rsidR="00E0584B" w:rsidRPr="00EC412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09B1" w:rsidRPr="00EC412B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 w:rsidRPr="00EC412B">
              <w:rPr>
                <w:rFonts w:ascii="Arial" w:hAnsi="Arial" w:cs="Arial"/>
                <w:bCs/>
              </w:rPr>
              <w:t>0.94-3.83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0.55-3.24</w:t>
            </w:r>
          </w:p>
        </w:tc>
      </w:tr>
      <w:tr w:rsidR="008B09B1" w:rsidRPr="009B6B45" w:rsidTr="008B09B1">
        <w:trPr>
          <w:trHeight w:val="332"/>
          <w:tblHeader/>
          <w:jc w:val="center"/>
        </w:trPr>
        <w:tc>
          <w:tcPr>
            <w:tcW w:w="379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ind w:left="288"/>
              <w:rPr>
                <w:rFonts w:ascii="Arial" w:hAnsi="Arial" w:cs="Arial"/>
              </w:rPr>
            </w:pPr>
            <w:r w:rsidRPr="009B6B45">
              <w:rPr>
                <w:rFonts w:ascii="Arial" w:hAnsi="Arial" w:cs="Arial"/>
              </w:rPr>
              <w:t>Vaginal</w:t>
            </w:r>
          </w:p>
        </w:tc>
        <w:tc>
          <w:tcPr>
            <w:tcW w:w="1243" w:type="dxa"/>
            <w:shd w:val="clear" w:color="auto" w:fill="FFFFFF"/>
            <w:noWrap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203</w:t>
            </w:r>
          </w:p>
        </w:tc>
        <w:tc>
          <w:tcPr>
            <w:tcW w:w="584" w:type="dxa"/>
            <w:shd w:val="clear" w:color="auto" w:fill="FFFFFF"/>
            <w:noWrap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  <w:i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8B09B1" w:rsidRPr="009B6B45" w:rsidRDefault="00FC77D5" w:rsidP="000E2B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  <w:r w:rsidRPr="009B6B45">
              <w:rPr>
                <w:rFonts w:ascii="Arial" w:hAnsi="Arial" w:cs="Arial"/>
                <w:bCs/>
                <w:i/>
              </w:rPr>
              <w:t>Ref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B09B1" w:rsidRPr="009B6B45" w:rsidRDefault="008B09B1" w:rsidP="000E2B2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B09B1" w:rsidRPr="009B6B45" w:rsidRDefault="008B09B1" w:rsidP="008B09B1">
      <w:pPr>
        <w:rPr>
          <w:rFonts w:ascii="Arial" w:hAnsi="Arial" w:cs="Arial"/>
          <w:sz w:val="18"/>
          <w:szCs w:val="18"/>
        </w:rPr>
      </w:pPr>
      <w:r w:rsidRPr="009B6B45">
        <w:rPr>
          <w:rFonts w:ascii="Arial" w:hAnsi="Arial" w:cs="Arial"/>
          <w:sz w:val="18"/>
          <w:szCs w:val="18"/>
        </w:rPr>
        <w:t>OR: Odds ratio; 95% CI: 95% confidence interval; ALL: acute lymphoblastic leukemia; AML: acute myeloid leukemia</w:t>
      </w:r>
    </w:p>
    <w:p w:rsidR="00EC412B" w:rsidRDefault="008B09B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B6B45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proofErr w:type="gramEnd"/>
      <w:r w:rsidRPr="009B6B45">
        <w:rPr>
          <w:rFonts w:ascii="Arial" w:hAnsi="Arial" w:cs="Arial"/>
          <w:sz w:val="18"/>
          <w:szCs w:val="18"/>
        </w:rPr>
        <w:t xml:space="preserve"> Adjusted for maternal race (white, black, Hispanic, and other), birth weight as a continuous variable, and the matching variable: year of birth</w:t>
      </w:r>
    </w:p>
    <w:p w:rsidR="00EC412B" w:rsidRPr="009B6B45" w:rsidRDefault="00EC412B" w:rsidP="00EC412B">
      <w:pPr>
        <w:rPr>
          <w:rFonts w:ascii="Arial" w:hAnsi="Arial" w:cs="Arial"/>
          <w:sz w:val="18"/>
          <w:szCs w:val="18"/>
        </w:rPr>
      </w:pPr>
      <w:r w:rsidRPr="00282EC9">
        <w:rPr>
          <w:rFonts w:ascii="Arial" w:hAnsi="Arial" w:cs="Arial"/>
          <w:sz w:val="18"/>
          <w:szCs w:val="18"/>
          <w:vertAlign w:val="superscript"/>
        </w:rPr>
        <w:t>b</w:t>
      </w:r>
      <w:r>
        <w:rPr>
          <w:rFonts w:ascii="Arial" w:hAnsi="Arial" w:cs="Arial"/>
          <w:sz w:val="18"/>
          <w:szCs w:val="18"/>
        </w:rPr>
        <w:t xml:space="preserve"> Analyses based on interview data (top panel) include data from all </w:t>
      </w:r>
      <w:proofErr w:type="spellStart"/>
      <w:r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 xml:space="preserve"> and AML cases and controls with information on mode of birth; analyses based on medical record data (bottom panel) include data from only Phase I ALL and AML cases and controls</w:t>
      </w:r>
    </w:p>
    <w:p w:rsidR="00EC412B" w:rsidRPr="00EC412B" w:rsidRDefault="00EC412B">
      <w:pPr>
        <w:rPr>
          <w:rFonts w:ascii="Arial" w:hAnsi="Arial" w:cs="Arial"/>
          <w:sz w:val="18"/>
          <w:szCs w:val="18"/>
        </w:rPr>
      </w:pPr>
    </w:p>
    <w:sectPr w:rsidR="00EC412B" w:rsidRPr="00EC412B" w:rsidSect="008B0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1"/>
    <w:rsid w:val="001B2E47"/>
    <w:rsid w:val="00452D4F"/>
    <w:rsid w:val="006F1C90"/>
    <w:rsid w:val="008B09B1"/>
    <w:rsid w:val="00920D0D"/>
    <w:rsid w:val="00DD47A3"/>
    <w:rsid w:val="00E0584B"/>
    <w:rsid w:val="00EC412B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823A5-94B8-4B3B-8501-22078CC6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73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Richardson</dc:creator>
  <cp:lastModifiedBy>erin</cp:lastModifiedBy>
  <cp:revision>4</cp:revision>
  <dcterms:created xsi:type="dcterms:W3CDTF">2017-10-25T16:58:00Z</dcterms:created>
  <dcterms:modified xsi:type="dcterms:W3CDTF">2017-10-25T17:02:00Z</dcterms:modified>
</cp:coreProperties>
</file>