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C6" w:rsidRDefault="004849D6" w:rsidP="006D14C6">
      <w:pPr>
        <w:contextualSpacing/>
        <w:jc w:val="both"/>
        <w:rPr>
          <w:rFonts w:eastAsia="Times New Roman"/>
          <w:b/>
          <w:sz w:val="28"/>
        </w:rPr>
      </w:pPr>
      <w:r>
        <w:rPr>
          <w:rFonts w:eastAsia="Times New Roman"/>
          <w:b/>
          <w:sz w:val="28"/>
        </w:rPr>
        <w:t>Supplemental Data</w:t>
      </w:r>
    </w:p>
    <w:p w:rsidR="006D14C6" w:rsidRDefault="006D14C6" w:rsidP="006D14C6">
      <w:pPr>
        <w:contextualSpacing/>
        <w:jc w:val="both"/>
        <w:rPr>
          <w:b/>
          <w:sz w:val="28"/>
        </w:rPr>
      </w:pPr>
      <w:r w:rsidRPr="006D14C6">
        <w:t xml:space="preserve"> </w:t>
      </w:r>
      <w:r w:rsidRPr="006D14C6">
        <w:drawing>
          <wp:inline distT="0" distB="0" distL="0" distR="0">
            <wp:extent cx="5568950" cy="8494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0" cy="8494395"/>
                    </a:xfrm>
                    <a:prstGeom prst="rect">
                      <a:avLst/>
                    </a:prstGeom>
                    <a:noFill/>
                    <a:ln>
                      <a:noFill/>
                    </a:ln>
                  </pic:spPr>
                </pic:pic>
              </a:graphicData>
            </a:graphic>
          </wp:inline>
        </w:drawing>
      </w:r>
    </w:p>
    <w:p w:rsidR="006D14C6" w:rsidRPr="00B14177" w:rsidRDefault="006D14C6" w:rsidP="006D14C6">
      <w:pPr>
        <w:contextualSpacing/>
        <w:rPr>
          <w:b/>
        </w:rPr>
      </w:pPr>
      <w:proofErr w:type="gramStart"/>
      <w:r w:rsidRPr="00B14177">
        <w:rPr>
          <w:b/>
        </w:rPr>
        <w:t>Supplementary Table S2.</w:t>
      </w:r>
      <w:proofErr w:type="gramEnd"/>
      <w:r w:rsidRPr="00B14177">
        <w:rPr>
          <w:b/>
        </w:rPr>
        <w:t xml:space="preserve"> </w:t>
      </w:r>
      <w:proofErr w:type="gramStart"/>
      <w:r w:rsidRPr="00B14177">
        <w:t>Guidelines for reporting recommendations for tumour marker prognostic studies (REMARK).</w:t>
      </w:r>
      <w:proofErr w:type="gramEnd"/>
    </w:p>
    <w:p w:rsidR="006D14C6" w:rsidRDefault="006D14C6" w:rsidP="006D14C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8911"/>
      </w:tblGrid>
      <w:tr w:rsidR="006D14C6" w:rsidRPr="00804459" w:rsidTr="00A15F5A">
        <w:tc>
          <w:tcPr>
            <w:tcW w:w="9468" w:type="dxa"/>
            <w:gridSpan w:val="2"/>
            <w:tcBorders>
              <w:top w:val="single" w:sz="4" w:space="0" w:color="auto"/>
              <w:left w:val="single" w:sz="4" w:space="0" w:color="auto"/>
              <w:bottom w:val="nil"/>
              <w:right w:val="single" w:sz="4" w:space="0" w:color="auto"/>
            </w:tcBorders>
            <w:vAlign w:val="center"/>
          </w:tcPr>
          <w:p w:rsidR="006D14C6" w:rsidRPr="00804459" w:rsidRDefault="006D14C6" w:rsidP="00A15F5A">
            <w:pPr>
              <w:spacing w:after="0" w:line="240" w:lineRule="auto"/>
              <w:jc w:val="center"/>
              <w:rPr>
                <w:b/>
                <w:bCs/>
                <w:sz w:val="20"/>
                <w:szCs w:val="18"/>
              </w:rPr>
            </w:pPr>
            <w:r w:rsidRPr="00804459">
              <w:rPr>
                <w:b/>
                <w:bCs/>
                <w:szCs w:val="18"/>
              </w:rPr>
              <w:t>Item to be reported</w:t>
            </w:r>
          </w:p>
        </w:tc>
      </w:tr>
      <w:tr w:rsidR="006D14C6" w:rsidRPr="00804459" w:rsidTr="00A15F5A">
        <w:tc>
          <w:tcPr>
            <w:tcW w:w="9468" w:type="dxa"/>
            <w:gridSpan w:val="2"/>
            <w:tcBorders>
              <w:top w:val="single" w:sz="4" w:space="0" w:color="auto"/>
              <w:left w:val="single" w:sz="4" w:space="0" w:color="auto"/>
              <w:bottom w:val="nil"/>
              <w:right w:val="single" w:sz="4" w:space="0" w:color="auto"/>
            </w:tcBorders>
            <w:shd w:val="clear" w:color="auto" w:fill="E5B8B7" w:themeFill="accent2" w:themeFillTint="66"/>
          </w:tcPr>
          <w:p w:rsidR="006D14C6" w:rsidRPr="00804459" w:rsidRDefault="006D14C6" w:rsidP="00A15F5A">
            <w:pPr>
              <w:spacing w:before="40" w:after="20" w:line="240" w:lineRule="auto"/>
              <w:rPr>
                <w:b/>
                <w:bCs/>
                <w:sz w:val="20"/>
                <w:szCs w:val="18"/>
              </w:rPr>
            </w:pPr>
            <w:r w:rsidRPr="00804459">
              <w:rPr>
                <w:b/>
                <w:bCs/>
                <w:sz w:val="20"/>
                <w:szCs w:val="18"/>
              </w:rPr>
              <w:t>INTRODUCTION</w:t>
            </w: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1</w:t>
            </w:r>
          </w:p>
        </w:tc>
        <w:tc>
          <w:tcPr>
            <w:tcW w:w="8911" w:type="dxa"/>
            <w:tcBorders>
              <w:top w:val="nil"/>
              <w:left w:val="nil"/>
              <w:bottom w:val="nil"/>
              <w:right w:val="single" w:sz="4" w:space="0" w:color="auto"/>
            </w:tcBorders>
          </w:tcPr>
          <w:p w:rsidR="006D14C6" w:rsidRPr="00804459" w:rsidRDefault="006D14C6" w:rsidP="00A15F5A">
            <w:pPr>
              <w:spacing w:before="40" w:after="20" w:line="240" w:lineRule="auto"/>
              <w:rPr>
                <w:i/>
                <w:sz w:val="19"/>
                <w:szCs w:val="19"/>
              </w:rPr>
            </w:pPr>
            <w:r w:rsidRPr="00804459">
              <w:rPr>
                <w:i/>
                <w:sz w:val="19"/>
                <w:szCs w:val="19"/>
              </w:rPr>
              <w:t xml:space="preserve">State the marker examined, the study objectives, and any pre-specified hypotheses. </w:t>
            </w:r>
          </w:p>
          <w:p w:rsidR="006D14C6" w:rsidRPr="00804459" w:rsidRDefault="006D14C6" w:rsidP="00A15F5A">
            <w:pPr>
              <w:spacing w:before="40" w:after="20" w:line="240" w:lineRule="auto"/>
              <w:rPr>
                <w:sz w:val="19"/>
                <w:szCs w:val="19"/>
              </w:rPr>
            </w:pPr>
            <w:r w:rsidRPr="00804459">
              <w:rPr>
                <w:sz w:val="19"/>
                <w:szCs w:val="19"/>
              </w:rPr>
              <w:t>The study objective and hypothesis are stated in the introduction section.</w:t>
            </w:r>
          </w:p>
          <w:p w:rsidR="006D14C6" w:rsidRPr="00804459" w:rsidRDefault="006D14C6" w:rsidP="00A15F5A">
            <w:pPr>
              <w:spacing w:before="40" w:after="20" w:line="240" w:lineRule="auto"/>
              <w:rPr>
                <w:sz w:val="19"/>
                <w:szCs w:val="19"/>
              </w:rPr>
            </w:pPr>
            <w:r w:rsidRPr="00804459">
              <w:rPr>
                <w:sz w:val="19"/>
                <w:szCs w:val="19"/>
              </w:rPr>
              <w:t xml:space="preserve">Examined markers: </w:t>
            </w:r>
          </w:p>
          <w:p w:rsidR="006D14C6" w:rsidRPr="00804459" w:rsidRDefault="006D14C6" w:rsidP="00A15F5A">
            <w:pPr>
              <w:spacing w:before="40" w:after="20" w:line="240" w:lineRule="auto"/>
              <w:ind w:left="720"/>
              <w:rPr>
                <w:sz w:val="19"/>
                <w:szCs w:val="19"/>
              </w:rPr>
            </w:pPr>
            <w:r w:rsidRPr="00804459">
              <w:rPr>
                <w:sz w:val="19"/>
                <w:szCs w:val="19"/>
                <w:u w:val="single"/>
              </w:rPr>
              <w:t>18-marker panel:</w:t>
            </w:r>
            <w:r w:rsidRPr="00804459">
              <w:rPr>
                <w:sz w:val="19"/>
                <w:szCs w:val="19"/>
              </w:rPr>
              <w:t xml:space="preserve"> </w:t>
            </w:r>
            <w:r w:rsidRPr="00804459">
              <w:rPr>
                <w:i/>
                <w:sz w:val="19"/>
                <w:szCs w:val="19"/>
              </w:rPr>
              <w:t>ACAA1</w:t>
            </w:r>
            <w:r w:rsidRPr="00804459">
              <w:rPr>
                <w:sz w:val="19"/>
                <w:szCs w:val="19"/>
              </w:rPr>
              <w:t xml:space="preserve">, </w:t>
            </w:r>
            <w:r w:rsidRPr="00804459">
              <w:rPr>
                <w:i/>
                <w:sz w:val="19"/>
                <w:szCs w:val="19"/>
              </w:rPr>
              <w:t>ADGRG6</w:t>
            </w:r>
            <w:r w:rsidRPr="00804459">
              <w:rPr>
                <w:sz w:val="19"/>
                <w:szCs w:val="19"/>
              </w:rPr>
              <w:t xml:space="preserve">, </w:t>
            </w:r>
            <w:r w:rsidRPr="00804459">
              <w:rPr>
                <w:i/>
                <w:sz w:val="19"/>
                <w:szCs w:val="19"/>
              </w:rPr>
              <w:t>BORCS6</w:t>
            </w:r>
            <w:r w:rsidRPr="00804459">
              <w:rPr>
                <w:sz w:val="19"/>
                <w:szCs w:val="19"/>
              </w:rPr>
              <w:t xml:space="preserve">, </w:t>
            </w:r>
            <w:r w:rsidRPr="00804459">
              <w:rPr>
                <w:i/>
                <w:sz w:val="19"/>
                <w:szCs w:val="19"/>
              </w:rPr>
              <w:t>CCNA2</w:t>
            </w:r>
            <w:r w:rsidRPr="00804459">
              <w:rPr>
                <w:sz w:val="19"/>
                <w:szCs w:val="19"/>
              </w:rPr>
              <w:t xml:space="preserve">, </w:t>
            </w:r>
            <w:r w:rsidRPr="00804459">
              <w:rPr>
                <w:i/>
                <w:sz w:val="19"/>
                <w:szCs w:val="19"/>
              </w:rPr>
              <w:t>CDCA5</w:t>
            </w:r>
            <w:r w:rsidRPr="00804459">
              <w:rPr>
                <w:sz w:val="19"/>
                <w:szCs w:val="19"/>
              </w:rPr>
              <w:t xml:space="preserve">, </w:t>
            </w:r>
            <w:r w:rsidRPr="00804459">
              <w:rPr>
                <w:i/>
                <w:sz w:val="19"/>
                <w:szCs w:val="19"/>
              </w:rPr>
              <w:t>CDKN2A</w:t>
            </w:r>
            <w:r w:rsidRPr="00804459">
              <w:rPr>
                <w:sz w:val="19"/>
                <w:szCs w:val="19"/>
              </w:rPr>
              <w:t xml:space="preserve">, </w:t>
            </w:r>
            <w:r w:rsidRPr="00804459">
              <w:rPr>
                <w:i/>
                <w:sz w:val="19"/>
                <w:szCs w:val="19"/>
              </w:rPr>
              <w:t>FAM91A1</w:t>
            </w:r>
            <w:r w:rsidRPr="00804459">
              <w:rPr>
                <w:sz w:val="19"/>
                <w:szCs w:val="19"/>
              </w:rPr>
              <w:t xml:space="preserve">, </w:t>
            </w:r>
            <w:r w:rsidRPr="00804459">
              <w:rPr>
                <w:i/>
                <w:sz w:val="19"/>
                <w:szCs w:val="19"/>
              </w:rPr>
              <w:t>HJURP</w:t>
            </w:r>
            <w:r w:rsidRPr="00804459">
              <w:rPr>
                <w:sz w:val="19"/>
                <w:szCs w:val="19"/>
              </w:rPr>
              <w:t xml:space="preserve">, </w:t>
            </w:r>
            <w:r w:rsidRPr="00804459">
              <w:rPr>
                <w:i/>
                <w:sz w:val="19"/>
                <w:szCs w:val="19"/>
              </w:rPr>
              <w:t>HSPA14</w:t>
            </w:r>
            <w:r w:rsidRPr="00804459">
              <w:rPr>
                <w:sz w:val="19"/>
                <w:szCs w:val="19"/>
              </w:rPr>
              <w:t xml:space="preserve">, </w:t>
            </w:r>
            <w:r w:rsidRPr="00804459">
              <w:rPr>
                <w:i/>
                <w:sz w:val="19"/>
                <w:szCs w:val="19"/>
              </w:rPr>
              <w:t>KIAA0494</w:t>
            </w:r>
            <w:r w:rsidRPr="00804459">
              <w:rPr>
                <w:sz w:val="19"/>
                <w:szCs w:val="19"/>
              </w:rPr>
              <w:t xml:space="preserve">, </w:t>
            </w:r>
            <w:r w:rsidRPr="00804459">
              <w:rPr>
                <w:i/>
                <w:sz w:val="19"/>
                <w:szCs w:val="19"/>
              </w:rPr>
              <w:t>LRRCC1</w:t>
            </w:r>
            <w:r w:rsidRPr="00804459">
              <w:rPr>
                <w:sz w:val="19"/>
                <w:szCs w:val="19"/>
              </w:rPr>
              <w:t xml:space="preserve">, </w:t>
            </w:r>
            <w:r w:rsidRPr="00804459">
              <w:rPr>
                <w:i/>
                <w:sz w:val="19"/>
                <w:szCs w:val="19"/>
              </w:rPr>
              <w:t>MTURN</w:t>
            </w:r>
            <w:r w:rsidRPr="00804459">
              <w:rPr>
                <w:sz w:val="19"/>
                <w:szCs w:val="19"/>
              </w:rPr>
              <w:t xml:space="preserve">, </w:t>
            </w:r>
            <w:r w:rsidRPr="00804459">
              <w:rPr>
                <w:i/>
                <w:sz w:val="19"/>
                <w:szCs w:val="19"/>
              </w:rPr>
              <w:t>NEIL3</w:t>
            </w:r>
            <w:r w:rsidRPr="00804459">
              <w:rPr>
                <w:sz w:val="19"/>
                <w:szCs w:val="19"/>
              </w:rPr>
              <w:t xml:space="preserve">, </w:t>
            </w:r>
            <w:r w:rsidRPr="00804459">
              <w:rPr>
                <w:i/>
                <w:sz w:val="19"/>
                <w:szCs w:val="19"/>
              </w:rPr>
              <w:t>PRR11</w:t>
            </w:r>
            <w:r w:rsidRPr="00804459">
              <w:rPr>
                <w:sz w:val="19"/>
                <w:szCs w:val="19"/>
              </w:rPr>
              <w:t xml:space="preserve">, </w:t>
            </w:r>
            <w:r w:rsidRPr="00804459">
              <w:rPr>
                <w:i/>
                <w:sz w:val="19"/>
                <w:szCs w:val="19"/>
              </w:rPr>
              <w:t>SKA2</w:t>
            </w:r>
            <w:r w:rsidRPr="00804459">
              <w:rPr>
                <w:sz w:val="19"/>
                <w:szCs w:val="19"/>
              </w:rPr>
              <w:t xml:space="preserve">, </w:t>
            </w:r>
            <w:r w:rsidRPr="00804459">
              <w:rPr>
                <w:i/>
                <w:sz w:val="19"/>
                <w:szCs w:val="19"/>
              </w:rPr>
              <w:t>SNX8</w:t>
            </w:r>
            <w:r w:rsidRPr="00804459">
              <w:rPr>
                <w:sz w:val="19"/>
                <w:szCs w:val="19"/>
              </w:rPr>
              <w:t xml:space="preserve">, </w:t>
            </w:r>
            <w:r w:rsidRPr="00804459">
              <w:rPr>
                <w:i/>
                <w:sz w:val="19"/>
                <w:szCs w:val="19"/>
              </w:rPr>
              <w:t>STAM</w:t>
            </w:r>
            <w:r w:rsidRPr="00804459">
              <w:rPr>
                <w:sz w:val="19"/>
                <w:szCs w:val="19"/>
              </w:rPr>
              <w:t xml:space="preserve">, </w:t>
            </w:r>
            <w:r w:rsidRPr="00804459">
              <w:rPr>
                <w:i/>
                <w:sz w:val="19"/>
                <w:szCs w:val="19"/>
              </w:rPr>
              <w:t>TRIP13</w:t>
            </w:r>
          </w:p>
          <w:p w:rsidR="006D14C6" w:rsidRPr="00804459" w:rsidRDefault="006D14C6" w:rsidP="00A15F5A">
            <w:pPr>
              <w:spacing w:before="40" w:after="20" w:line="240" w:lineRule="auto"/>
              <w:ind w:left="720"/>
              <w:rPr>
                <w:sz w:val="19"/>
                <w:szCs w:val="19"/>
              </w:rPr>
            </w:pPr>
            <w:r w:rsidRPr="00804459">
              <w:rPr>
                <w:sz w:val="19"/>
                <w:szCs w:val="19"/>
                <w:u w:val="single"/>
              </w:rPr>
              <w:t>Established markers:</w:t>
            </w:r>
            <w:r w:rsidRPr="00804459">
              <w:t xml:space="preserve"> </w:t>
            </w:r>
            <w:r w:rsidRPr="00804459">
              <w:rPr>
                <w:sz w:val="19"/>
                <w:szCs w:val="19"/>
              </w:rPr>
              <w:t>Patient age at diagnosis [years], histological grade [I, II, III], number of positive axillary lymph nodes, pathological tumour size [mm], HER2, PR, and ER status [positive, negative]</w:t>
            </w:r>
          </w:p>
        </w:tc>
      </w:tr>
      <w:tr w:rsidR="006D14C6" w:rsidRPr="00804459" w:rsidTr="00A15F5A">
        <w:tc>
          <w:tcPr>
            <w:tcW w:w="9468" w:type="dxa"/>
            <w:gridSpan w:val="2"/>
            <w:tcBorders>
              <w:top w:val="nil"/>
              <w:left w:val="single" w:sz="4" w:space="0" w:color="auto"/>
              <w:bottom w:val="nil"/>
              <w:right w:val="single" w:sz="4" w:space="0" w:color="auto"/>
            </w:tcBorders>
            <w:shd w:val="clear" w:color="auto" w:fill="E5B8B7" w:themeFill="accent2" w:themeFillTint="66"/>
          </w:tcPr>
          <w:p w:rsidR="006D14C6" w:rsidRPr="00804459" w:rsidRDefault="006D14C6" w:rsidP="00A15F5A">
            <w:pPr>
              <w:tabs>
                <w:tab w:val="decimal" w:pos="298"/>
              </w:tabs>
              <w:spacing w:before="40" w:after="20" w:line="240" w:lineRule="auto"/>
              <w:rPr>
                <w:b/>
                <w:bCs/>
                <w:sz w:val="20"/>
                <w:szCs w:val="18"/>
              </w:rPr>
            </w:pPr>
            <w:r w:rsidRPr="00804459">
              <w:rPr>
                <w:b/>
                <w:bCs/>
                <w:sz w:val="20"/>
                <w:szCs w:val="18"/>
              </w:rPr>
              <w:t>MATERIALS AND METHODS</w:t>
            </w:r>
          </w:p>
        </w:tc>
      </w:tr>
      <w:tr w:rsidR="006D14C6" w:rsidRPr="00804459" w:rsidTr="00A15F5A">
        <w:tc>
          <w:tcPr>
            <w:tcW w:w="9468" w:type="dxa"/>
            <w:gridSpan w:val="2"/>
            <w:tcBorders>
              <w:top w:val="nil"/>
              <w:left w:val="single" w:sz="4" w:space="0" w:color="auto"/>
              <w:bottom w:val="nil"/>
              <w:right w:val="single" w:sz="4" w:space="0" w:color="auto"/>
            </w:tcBorders>
            <w:shd w:val="clear" w:color="auto" w:fill="F2DBDB" w:themeFill="accent2" w:themeFillTint="33"/>
          </w:tcPr>
          <w:p w:rsidR="006D14C6" w:rsidRPr="00804459" w:rsidRDefault="006D14C6" w:rsidP="00A15F5A">
            <w:pPr>
              <w:tabs>
                <w:tab w:val="decimal" w:pos="298"/>
              </w:tabs>
              <w:spacing w:before="40" w:after="20" w:line="240" w:lineRule="auto"/>
              <w:rPr>
                <w:i/>
                <w:iCs/>
                <w:sz w:val="20"/>
                <w:szCs w:val="18"/>
              </w:rPr>
            </w:pPr>
            <w:r w:rsidRPr="00804459">
              <w:rPr>
                <w:i/>
                <w:iCs/>
                <w:sz w:val="20"/>
                <w:szCs w:val="18"/>
              </w:rPr>
              <w:t>Patients</w:t>
            </w: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2</w:t>
            </w:r>
          </w:p>
        </w:tc>
        <w:tc>
          <w:tcPr>
            <w:tcW w:w="8911" w:type="dxa"/>
            <w:tcBorders>
              <w:top w:val="nil"/>
              <w:left w:val="nil"/>
              <w:bottom w:val="nil"/>
              <w:right w:val="single" w:sz="4" w:space="0" w:color="auto"/>
            </w:tcBorders>
          </w:tcPr>
          <w:p w:rsidR="006D14C6" w:rsidRPr="00804459" w:rsidRDefault="006D14C6" w:rsidP="00A15F5A">
            <w:pPr>
              <w:spacing w:before="40" w:after="20" w:line="240" w:lineRule="auto"/>
              <w:rPr>
                <w:i/>
                <w:sz w:val="19"/>
                <w:szCs w:val="19"/>
              </w:rPr>
            </w:pPr>
            <w:r w:rsidRPr="00804459">
              <w:rPr>
                <w:i/>
                <w:sz w:val="19"/>
                <w:szCs w:val="19"/>
              </w:rPr>
              <w:t xml:space="preserve">Describe the characteristics (e.g., disease stage or co-morbidities) of the study patients, including their source and inclusion and exclusion criteria.  </w:t>
            </w:r>
          </w:p>
          <w:p w:rsidR="006D14C6" w:rsidRPr="00804459" w:rsidRDefault="006D14C6" w:rsidP="00A15F5A">
            <w:pPr>
              <w:spacing w:before="40" w:after="20" w:line="240" w:lineRule="auto"/>
              <w:rPr>
                <w:sz w:val="19"/>
                <w:szCs w:val="19"/>
              </w:rPr>
            </w:pPr>
            <w:r w:rsidRPr="007753E4">
              <w:rPr>
                <w:sz w:val="19"/>
                <w:szCs w:val="19"/>
              </w:rPr>
              <w:t xml:space="preserve">The characteristics of study patients are detailed </w:t>
            </w:r>
            <w:r>
              <w:rPr>
                <w:sz w:val="19"/>
                <w:szCs w:val="19"/>
              </w:rPr>
              <w:t xml:space="preserve">in </w:t>
            </w:r>
            <w:r w:rsidRPr="00804459">
              <w:rPr>
                <w:sz w:val="19"/>
                <w:szCs w:val="19"/>
              </w:rPr>
              <w:t xml:space="preserve">“Patients and </w:t>
            </w:r>
            <w:proofErr w:type="spellStart"/>
            <w:r w:rsidRPr="00804459">
              <w:rPr>
                <w:sz w:val="19"/>
                <w:szCs w:val="19"/>
              </w:rPr>
              <w:t>clinicopathological</w:t>
            </w:r>
            <w:proofErr w:type="spellEnd"/>
            <w:r w:rsidRPr="00804459">
              <w:rPr>
                <w:sz w:val="19"/>
                <w:szCs w:val="19"/>
              </w:rPr>
              <w:t xml:space="preserve"> data” in Material and Methods section and Table 1</w:t>
            </w:r>
            <w:r>
              <w:rPr>
                <w:sz w:val="19"/>
                <w:szCs w:val="19"/>
              </w:rPr>
              <w:t>.</w:t>
            </w:r>
          </w:p>
          <w:p w:rsidR="006D14C6" w:rsidRPr="00804459" w:rsidRDefault="006D14C6" w:rsidP="00A15F5A">
            <w:pPr>
              <w:spacing w:before="40" w:after="20" w:line="240" w:lineRule="auto"/>
              <w:rPr>
                <w:sz w:val="19"/>
                <w:szCs w:val="19"/>
              </w:rPr>
            </w:pPr>
            <w:r w:rsidRPr="00804459">
              <w:rPr>
                <w:sz w:val="19"/>
                <w:szCs w:val="19"/>
              </w:rPr>
              <w:t>Previous study GEO: GSE20462, GSE97177</w:t>
            </w:r>
          </w:p>
          <w:p w:rsidR="006D14C6" w:rsidRPr="00804459" w:rsidRDefault="006D14C6" w:rsidP="00A15F5A">
            <w:pPr>
              <w:spacing w:before="40" w:after="20" w:line="240" w:lineRule="auto"/>
              <w:rPr>
                <w:sz w:val="19"/>
                <w:szCs w:val="19"/>
              </w:rPr>
            </w:pP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0B7675">
              <w:rPr>
                <w:sz w:val="19"/>
                <w:szCs w:val="19"/>
              </w:rPr>
              <w:t>3</w:t>
            </w:r>
          </w:p>
        </w:tc>
        <w:tc>
          <w:tcPr>
            <w:tcW w:w="8911" w:type="dxa"/>
            <w:tcBorders>
              <w:top w:val="nil"/>
              <w:left w:val="nil"/>
              <w:bottom w:val="nil"/>
              <w:right w:val="single" w:sz="4" w:space="0" w:color="auto"/>
            </w:tcBorders>
          </w:tcPr>
          <w:p w:rsidR="006D14C6" w:rsidRPr="00804459" w:rsidRDefault="006D14C6" w:rsidP="00A15F5A">
            <w:pPr>
              <w:spacing w:before="40" w:after="20" w:line="240" w:lineRule="auto"/>
              <w:rPr>
                <w:i/>
                <w:sz w:val="19"/>
                <w:szCs w:val="19"/>
              </w:rPr>
            </w:pPr>
            <w:r w:rsidRPr="00804459">
              <w:rPr>
                <w:i/>
                <w:sz w:val="19"/>
                <w:szCs w:val="19"/>
              </w:rPr>
              <w:t xml:space="preserve">Describe treatments received and how chosen (e.g., randomized or rule-based). </w:t>
            </w:r>
          </w:p>
          <w:p w:rsidR="006D14C6" w:rsidRPr="00804459" w:rsidRDefault="006D14C6" w:rsidP="00A15F5A">
            <w:pPr>
              <w:spacing w:before="40" w:after="20" w:line="240" w:lineRule="auto"/>
              <w:rPr>
                <w:sz w:val="19"/>
                <w:szCs w:val="19"/>
              </w:rPr>
            </w:pPr>
            <w:r w:rsidRPr="00804459">
              <w:rPr>
                <w:sz w:val="19"/>
                <w:szCs w:val="19"/>
              </w:rPr>
              <w:t xml:space="preserve">Treatment </w:t>
            </w:r>
            <w:r>
              <w:rPr>
                <w:sz w:val="19"/>
                <w:szCs w:val="19"/>
              </w:rPr>
              <w:t>protocols</w:t>
            </w:r>
            <w:r w:rsidRPr="00804459">
              <w:rPr>
                <w:sz w:val="19"/>
                <w:szCs w:val="19"/>
              </w:rPr>
              <w:t xml:space="preserve"> </w:t>
            </w:r>
            <w:r>
              <w:rPr>
                <w:sz w:val="19"/>
                <w:szCs w:val="19"/>
              </w:rPr>
              <w:t xml:space="preserve">were </w:t>
            </w:r>
            <w:r w:rsidRPr="00804459">
              <w:rPr>
                <w:sz w:val="19"/>
                <w:szCs w:val="19"/>
              </w:rPr>
              <w:t xml:space="preserve">based on </w:t>
            </w:r>
            <w:r>
              <w:rPr>
                <w:sz w:val="19"/>
                <w:szCs w:val="19"/>
              </w:rPr>
              <w:t xml:space="preserve">regional </w:t>
            </w:r>
            <w:r w:rsidRPr="00804459">
              <w:rPr>
                <w:sz w:val="19"/>
                <w:szCs w:val="19"/>
              </w:rPr>
              <w:t xml:space="preserve">treatment guidelines and are listed in Table 1. </w:t>
            </w:r>
            <w:r>
              <w:rPr>
                <w:sz w:val="19"/>
                <w:szCs w:val="19"/>
              </w:rPr>
              <w:t xml:space="preserve">Patients were treated with surgery by either mastectomy (69 cases) or lumpectomy (44 cases), with axillary node dissection followed by post-operative breast irradiation (40 cases). Adjuvant therapy with chemotherapy (35 cases) and/or hormone therapy (21 cases) </w:t>
            </w:r>
            <w:proofErr w:type="gramStart"/>
            <w:r>
              <w:rPr>
                <w:sz w:val="19"/>
                <w:szCs w:val="19"/>
              </w:rPr>
              <w:t>was</w:t>
            </w:r>
            <w:proofErr w:type="gramEnd"/>
            <w:r>
              <w:rPr>
                <w:sz w:val="19"/>
                <w:szCs w:val="19"/>
              </w:rPr>
              <w:t xml:space="preserve"> decided according to node status and hormone receptor status. The patients were treated in the years from 1991-1999 before the introduction of </w:t>
            </w:r>
            <w:proofErr w:type="spellStart"/>
            <w:r w:rsidRPr="004501BC">
              <w:rPr>
                <w:sz w:val="19"/>
                <w:szCs w:val="19"/>
              </w:rPr>
              <w:t>Trastuzumab</w:t>
            </w:r>
            <w:proofErr w:type="spellEnd"/>
            <w:r>
              <w:rPr>
                <w:sz w:val="19"/>
                <w:szCs w:val="19"/>
              </w:rPr>
              <w:t xml:space="preserve">. </w:t>
            </w:r>
          </w:p>
        </w:tc>
      </w:tr>
      <w:tr w:rsidR="006D14C6" w:rsidRPr="00804459" w:rsidTr="00A15F5A">
        <w:tc>
          <w:tcPr>
            <w:tcW w:w="9468" w:type="dxa"/>
            <w:gridSpan w:val="2"/>
            <w:tcBorders>
              <w:top w:val="nil"/>
              <w:left w:val="single" w:sz="4" w:space="0" w:color="auto"/>
              <w:bottom w:val="nil"/>
              <w:right w:val="single" w:sz="4" w:space="0" w:color="auto"/>
            </w:tcBorders>
            <w:shd w:val="clear" w:color="auto" w:fill="F2DBDB" w:themeFill="accent2" w:themeFillTint="33"/>
          </w:tcPr>
          <w:p w:rsidR="006D14C6" w:rsidRPr="00804459" w:rsidRDefault="006D14C6" w:rsidP="00A15F5A">
            <w:pPr>
              <w:tabs>
                <w:tab w:val="decimal" w:pos="298"/>
              </w:tabs>
              <w:spacing w:before="40" w:after="20" w:line="240" w:lineRule="auto"/>
              <w:rPr>
                <w:i/>
                <w:iCs/>
                <w:sz w:val="20"/>
                <w:szCs w:val="18"/>
              </w:rPr>
            </w:pPr>
            <w:r w:rsidRPr="00804459">
              <w:rPr>
                <w:i/>
                <w:iCs/>
                <w:sz w:val="20"/>
                <w:szCs w:val="18"/>
              </w:rPr>
              <w:t>Specimen characteristics</w:t>
            </w: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4</w:t>
            </w:r>
          </w:p>
        </w:tc>
        <w:tc>
          <w:tcPr>
            <w:tcW w:w="8911" w:type="dxa"/>
            <w:tcBorders>
              <w:top w:val="nil"/>
              <w:left w:val="nil"/>
              <w:bottom w:val="nil"/>
              <w:right w:val="single" w:sz="4" w:space="0" w:color="auto"/>
            </w:tcBorders>
          </w:tcPr>
          <w:p w:rsidR="006D14C6" w:rsidRPr="00804459" w:rsidRDefault="006D14C6" w:rsidP="00A15F5A">
            <w:pPr>
              <w:spacing w:before="40" w:after="20" w:line="240" w:lineRule="auto"/>
              <w:rPr>
                <w:i/>
                <w:sz w:val="19"/>
                <w:szCs w:val="19"/>
              </w:rPr>
            </w:pPr>
            <w:bookmarkStart w:id="0" w:name="OLE_LINK2"/>
            <w:bookmarkStart w:id="1" w:name="OLE_LINK3"/>
            <w:r w:rsidRPr="00804459">
              <w:rPr>
                <w:i/>
                <w:sz w:val="19"/>
                <w:szCs w:val="19"/>
              </w:rPr>
              <w:t>Describe type of biological material used (including control samples) and methods of preservation and storage.</w:t>
            </w:r>
            <w:bookmarkEnd w:id="0"/>
            <w:bookmarkEnd w:id="1"/>
          </w:p>
          <w:p w:rsidR="006D14C6" w:rsidRPr="00804459" w:rsidRDefault="006D14C6" w:rsidP="00A15F5A">
            <w:pPr>
              <w:spacing w:before="40" w:after="20" w:line="240" w:lineRule="auto"/>
              <w:rPr>
                <w:sz w:val="19"/>
                <w:szCs w:val="19"/>
              </w:rPr>
            </w:pPr>
            <w:r w:rsidRPr="00804459">
              <w:rPr>
                <w:sz w:val="19"/>
                <w:szCs w:val="19"/>
              </w:rPr>
              <w:t>Primary tumour specimen were frozen after surgery and stored at -</w:t>
            </w:r>
            <w:r>
              <w:rPr>
                <w:sz w:val="19"/>
                <w:szCs w:val="19"/>
              </w:rPr>
              <w:t>8</w:t>
            </w:r>
            <w:r w:rsidRPr="00804459">
              <w:rPr>
                <w:sz w:val="19"/>
                <w:szCs w:val="19"/>
              </w:rPr>
              <w:t>0 °C.</w:t>
            </w:r>
          </w:p>
        </w:tc>
      </w:tr>
      <w:tr w:rsidR="006D14C6" w:rsidRPr="00804459" w:rsidTr="00A15F5A">
        <w:tc>
          <w:tcPr>
            <w:tcW w:w="9468" w:type="dxa"/>
            <w:gridSpan w:val="2"/>
            <w:tcBorders>
              <w:top w:val="nil"/>
              <w:left w:val="single" w:sz="4" w:space="0" w:color="auto"/>
              <w:bottom w:val="nil"/>
              <w:right w:val="single" w:sz="4" w:space="0" w:color="auto"/>
            </w:tcBorders>
            <w:shd w:val="clear" w:color="auto" w:fill="F2DBDB" w:themeFill="accent2" w:themeFillTint="33"/>
          </w:tcPr>
          <w:p w:rsidR="006D14C6" w:rsidRPr="00804459" w:rsidRDefault="006D14C6" w:rsidP="00A15F5A">
            <w:pPr>
              <w:tabs>
                <w:tab w:val="decimal" w:pos="298"/>
              </w:tabs>
              <w:spacing w:before="40" w:after="20" w:line="240" w:lineRule="auto"/>
              <w:rPr>
                <w:i/>
                <w:iCs/>
                <w:sz w:val="20"/>
                <w:szCs w:val="18"/>
              </w:rPr>
            </w:pPr>
            <w:r w:rsidRPr="00804459">
              <w:rPr>
                <w:i/>
                <w:iCs/>
                <w:sz w:val="20"/>
                <w:szCs w:val="18"/>
              </w:rPr>
              <w:t>Assay methods</w:t>
            </w: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5</w:t>
            </w:r>
          </w:p>
        </w:tc>
        <w:tc>
          <w:tcPr>
            <w:tcW w:w="8911" w:type="dxa"/>
            <w:tcBorders>
              <w:top w:val="nil"/>
              <w:left w:val="nil"/>
              <w:bottom w:val="nil"/>
              <w:right w:val="single" w:sz="4" w:space="0" w:color="auto"/>
            </w:tcBorders>
          </w:tcPr>
          <w:p w:rsidR="006D14C6" w:rsidRPr="00804459" w:rsidRDefault="006D14C6" w:rsidP="00A15F5A">
            <w:pPr>
              <w:spacing w:before="40" w:after="20" w:line="240" w:lineRule="auto"/>
              <w:rPr>
                <w:i/>
                <w:sz w:val="19"/>
                <w:szCs w:val="19"/>
              </w:rPr>
            </w:pPr>
            <w:r w:rsidRPr="00804459">
              <w:rPr>
                <w:i/>
                <w:sz w:val="19"/>
                <w:szCs w:val="19"/>
              </w:rPr>
              <w:t>Specify the assay method used and provide (or reference) a detailed protocol, including specific reagents or kits used, quality control procedures, reproducibility assessments, quantitation methods, and scoring and reporting protocols. Specify whether and how assays were performed blinded to the study endpoint.</w:t>
            </w:r>
          </w:p>
          <w:p w:rsidR="006D14C6" w:rsidRPr="00804459" w:rsidRDefault="006D14C6" w:rsidP="00A15F5A">
            <w:pPr>
              <w:spacing w:before="40" w:after="20" w:line="240" w:lineRule="auto"/>
              <w:rPr>
                <w:sz w:val="19"/>
                <w:szCs w:val="19"/>
              </w:rPr>
            </w:pPr>
            <w:r w:rsidRPr="00943B0C">
              <w:rPr>
                <w:sz w:val="19"/>
                <w:szCs w:val="19"/>
              </w:rPr>
              <w:t xml:space="preserve">Details of protocols </w:t>
            </w:r>
            <w:r>
              <w:rPr>
                <w:sz w:val="19"/>
                <w:szCs w:val="19"/>
              </w:rPr>
              <w:t>can be found in</w:t>
            </w:r>
            <w:r w:rsidRPr="00943B0C">
              <w:rPr>
                <w:sz w:val="19"/>
                <w:szCs w:val="19"/>
              </w:rPr>
              <w:t xml:space="preserve"> </w:t>
            </w:r>
            <w:r w:rsidRPr="00804459">
              <w:rPr>
                <w:sz w:val="19"/>
                <w:szCs w:val="19"/>
              </w:rPr>
              <w:t>“Gene expression microarray” in Material and Methods section</w:t>
            </w:r>
            <w:r>
              <w:rPr>
                <w:sz w:val="19"/>
                <w:szCs w:val="19"/>
              </w:rPr>
              <w:t>.</w:t>
            </w:r>
            <w:r w:rsidRPr="00804459">
              <w:rPr>
                <w:sz w:val="19"/>
                <w:szCs w:val="19"/>
              </w:rPr>
              <w:t xml:space="preserve"> </w:t>
            </w:r>
            <w:r>
              <w:rPr>
                <w:sz w:val="19"/>
                <w:szCs w:val="19"/>
              </w:rPr>
              <w:t>The samples were given a pseudo number</w:t>
            </w:r>
            <w:r w:rsidRPr="00804459">
              <w:rPr>
                <w:sz w:val="19"/>
                <w:szCs w:val="19"/>
              </w:rPr>
              <w:t>.</w:t>
            </w:r>
          </w:p>
        </w:tc>
      </w:tr>
      <w:tr w:rsidR="006D14C6" w:rsidRPr="00804459" w:rsidTr="00A15F5A">
        <w:tc>
          <w:tcPr>
            <w:tcW w:w="9468" w:type="dxa"/>
            <w:gridSpan w:val="2"/>
            <w:tcBorders>
              <w:top w:val="nil"/>
              <w:left w:val="single" w:sz="4" w:space="0" w:color="auto"/>
              <w:bottom w:val="nil"/>
              <w:right w:val="single" w:sz="4" w:space="0" w:color="auto"/>
            </w:tcBorders>
            <w:shd w:val="clear" w:color="auto" w:fill="F2DBDB" w:themeFill="accent2" w:themeFillTint="33"/>
          </w:tcPr>
          <w:p w:rsidR="006D14C6" w:rsidRPr="00804459" w:rsidRDefault="006D14C6" w:rsidP="00A15F5A">
            <w:pPr>
              <w:tabs>
                <w:tab w:val="decimal" w:pos="298"/>
              </w:tabs>
              <w:spacing w:before="40" w:after="20" w:line="240" w:lineRule="auto"/>
              <w:rPr>
                <w:i/>
                <w:iCs/>
                <w:sz w:val="20"/>
                <w:szCs w:val="18"/>
              </w:rPr>
            </w:pPr>
            <w:r w:rsidRPr="00804459">
              <w:rPr>
                <w:i/>
                <w:iCs/>
                <w:sz w:val="20"/>
                <w:szCs w:val="18"/>
              </w:rPr>
              <w:t>Study design</w:t>
            </w: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6</w:t>
            </w:r>
          </w:p>
        </w:tc>
        <w:tc>
          <w:tcPr>
            <w:tcW w:w="8911" w:type="dxa"/>
            <w:tcBorders>
              <w:top w:val="nil"/>
              <w:left w:val="nil"/>
              <w:bottom w:val="nil"/>
              <w:right w:val="single" w:sz="4" w:space="0" w:color="auto"/>
            </w:tcBorders>
          </w:tcPr>
          <w:p w:rsidR="006D14C6" w:rsidRPr="00804459" w:rsidRDefault="006D14C6" w:rsidP="00A15F5A">
            <w:pPr>
              <w:spacing w:before="40" w:after="20" w:line="240" w:lineRule="auto"/>
              <w:rPr>
                <w:i/>
                <w:sz w:val="19"/>
                <w:szCs w:val="19"/>
              </w:rPr>
            </w:pPr>
            <w:r w:rsidRPr="00804459">
              <w:rPr>
                <w:i/>
                <w:sz w:val="19"/>
                <w:szCs w:val="19"/>
              </w:rPr>
              <w:t xml:space="preserve">State the method of case selection, including whether prospective or retrospective and whether stratification or matching (e.g., by stage of disease or age) was used. Specify the time period from which cases were taken, the end of the follow-up period, and the median follow-up time.  </w:t>
            </w:r>
          </w:p>
          <w:p w:rsidR="006D14C6" w:rsidRPr="00804459" w:rsidRDefault="006D14C6" w:rsidP="00A15F5A">
            <w:pPr>
              <w:spacing w:before="40" w:after="20" w:line="240" w:lineRule="auto"/>
              <w:rPr>
                <w:sz w:val="19"/>
                <w:szCs w:val="19"/>
              </w:rPr>
            </w:pPr>
            <w:r w:rsidRPr="00804459">
              <w:rPr>
                <w:sz w:val="19"/>
                <w:szCs w:val="19"/>
              </w:rPr>
              <w:t xml:space="preserve">The patients were </w:t>
            </w:r>
            <w:r>
              <w:rPr>
                <w:sz w:val="19"/>
                <w:szCs w:val="19"/>
              </w:rPr>
              <w:t>selected</w:t>
            </w:r>
            <w:r w:rsidRPr="00804459">
              <w:rPr>
                <w:sz w:val="19"/>
                <w:szCs w:val="19"/>
              </w:rPr>
              <w:t xml:space="preserve"> retrospectively through a search of tumour material at the </w:t>
            </w:r>
            <w:proofErr w:type="spellStart"/>
            <w:r w:rsidRPr="00804459">
              <w:rPr>
                <w:sz w:val="19"/>
                <w:szCs w:val="19"/>
              </w:rPr>
              <w:t>Sahlgrenska</w:t>
            </w:r>
            <w:proofErr w:type="spellEnd"/>
            <w:r w:rsidRPr="00804459">
              <w:rPr>
                <w:sz w:val="19"/>
                <w:szCs w:val="19"/>
              </w:rPr>
              <w:t xml:space="preserve"> University Hospital Tumour Bank, corresponding information in the Sympathy (Department of Pathology) and </w:t>
            </w:r>
            <w:proofErr w:type="spellStart"/>
            <w:r w:rsidRPr="00804459">
              <w:rPr>
                <w:sz w:val="19"/>
                <w:szCs w:val="19"/>
              </w:rPr>
              <w:t>Melior</w:t>
            </w:r>
            <w:proofErr w:type="spellEnd"/>
            <w:r w:rsidRPr="00804459">
              <w:rPr>
                <w:sz w:val="19"/>
                <w:szCs w:val="19"/>
              </w:rPr>
              <w:t xml:space="preserve"> (Department of Oncology) data bases, and </w:t>
            </w:r>
            <w:r>
              <w:rPr>
                <w:sz w:val="19"/>
                <w:szCs w:val="19"/>
              </w:rPr>
              <w:t>the</w:t>
            </w:r>
            <w:r w:rsidRPr="00804459">
              <w:rPr>
                <w:sz w:val="19"/>
                <w:szCs w:val="19"/>
              </w:rPr>
              <w:t xml:space="preserve"> date of diagnosis between the years 1991-1999 to ensure </w:t>
            </w:r>
            <w:r>
              <w:rPr>
                <w:sz w:val="19"/>
                <w:szCs w:val="19"/>
              </w:rPr>
              <w:t>sufficient</w:t>
            </w:r>
            <w:r w:rsidRPr="00804459">
              <w:rPr>
                <w:sz w:val="19"/>
                <w:szCs w:val="19"/>
              </w:rPr>
              <w:t xml:space="preserve"> follow-up time. The </w:t>
            </w:r>
            <w:r>
              <w:rPr>
                <w:sz w:val="19"/>
                <w:szCs w:val="19"/>
              </w:rPr>
              <w:t xml:space="preserve">gene expression </w:t>
            </w:r>
            <w:r w:rsidRPr="00804459">
              <w:rPr>
                <w:sz w:val="19"/>
                <w:szCs w:val="19"/>
              </w:rPr>
              <w:t xml:space="preserve">measurements </w:t>
            </w:r>
            <w:r>
              <w:rPr>
                <w:sz w:val="19"/>
                <w:szCs w:val="19"/>
              </w:rPr>
              <w:t xml:space="preserve">for each </w:t>
            </w:r>
            <w:r w:rsidRPr="00804459">
              <w:rPr>
                <w:sz w:val="19"/>
                <w:szCs w:val="19"/>
              </w:rPr>
              <w:t xml:space="preserve">marker were extracted retrospectively from existing </w:t>
            </w:r>
            <w:r>
              <w:rPr>
                <w:sz w:val="19"/>
                <w:szCs w:val="19"/>
              </w:rPr>
              <w:t>microarray profiling data</w:t>
            </w:r>
            <w:r w:rsidRPr="00804459">
              <w:rPr>
                <w:sz w:val="19"/>
                <w:szCs w:val="19"/>
              </w:rPr>
              <w:t>. The microarray was part of previous studies performed in 2009-2010. All patients in the study (n = 136) had complete information for date of diagnosis, date and cause of death. Patients without complete information for clinical parameters were removed from the training cohort of the established and combined marker model (n = 79).</w:t>
            </w:r>
          </w:p>
          <w:p w:rsidR="006D14C6" w:rsidRPr="00804459" w:rsidRDefault="006D14C6" w:rsidP="00A15F5A">
            <w:pPr>
              <w:spacing w:before="40" w:after="20" w:line="240" w:lineRule="auto"/>
              <w:rPr>
                <w:sz w:val="19"/>
                <w:szCs w:val="19"/>
              </w:rPr>
            </w:pPr>
            <w:r w:rsidRPr="00804459">
              <w:rPr>
                <w:sz w:val="19"/>
                <w:szCs w:val="19"/>
              </w:rPr>
              <w:t>Time period: 1991-1999</w:t>
            </w:r>
          </w:p>
          <w:p w:rsidR="006D14C6" w:rsidRPr="00804459" w:rsidRDefault="006D14C6" w:rsidP="00A15F5A">
            <w:pPr>
              <w:spacing w:before="40" w:after="20" w:line="240" w:lineRule="auto"/>
              <w:rPr>
                <w:sz w:val="19"/>
                <w:szCs w:val="19"/>
              </w:rPr>
            </w:pPr>
            <w:r w:rsidRPr="00804459">
              <w:rPr>
                <w:sz w:val="19"/>
                <w:szCs w:val="19"/>
              </w:rPr>
              <w:t>End of follow-up period: 01/01/2008</w:t>
            </w:r>
          </w:p>
          <w:p w:rsidR="006D14C6" w:rsidRPr="00804459" w:rsidRDefault="006D14C6" w:rsidP="00A15F5A">
            <w:pPr>
              <w:spacing w:before="40" w:after="20" w:line="240" w:lineRule="auto"/>
              <w:rPr>
                <w:sz w:val="19"/>
                <w:szCs w:val="19"/>
              </w:rPr>
            </w:pPr>
            <w:r w:rsidRPr="00804459">
              <w:rPr>
                <w:sz w:val="19"/>
                <w:szCs w:val="19"/>
              </w:rPr>
              <w:t>Median follow-up time (all patients): 2683.5 days</w:t>
            </w:r>
          </w:p>
          <w:p w:rsidR="006D14C6" w:rsidRPr="00804459" w:rsidRDefault="006D14C6" w:rsidP="00A15F5A">
            <w:pPr>
              <w:spacing w:before="40" w:after="20" w:line="240" w:lineRule="auto"/>
              <w:rPr>
                <w:sz w:val="19"/>
                <w:szCs w:val="19"/>
              </w:rPr>
            </w:pPr>
            <w:r w:rsidRPr="00804459">
              <w:rPr>
                <w:sz w:val="19"/>
                <w:szCs w:val="19"/>
              </w:rPr>
              <w:t>Median follow-up time (patients with DSS-event): 1380 days</w:t>
            </w:r>
          </w:p>
          <w:p w:rsidR="006D14C6" w:rsidRPr="00804459" w:rsidRDefault="006D14C6" w:rsidP="00A15F5A">
            <w:pPr>
              <w:spacing w:before="40" w:after="20" w:line="240" w:lineRule="auto"/>
              <w:rPr>
                <w:sz w:val="19"/>
                <w:szCs w:val="19"/>
              </w:rPr>
            </w:pPr>
            <w:r w:rsidRPr="00804459">
              <w:rPr>
                <w:sz w:val="19"/>
                <w:szCs w:val="19"/>
              </w:rPr>
              <w:t>Median follow-up time (patients without DSS-event): 4494 days</w:t>
            </w:r>
          </w:p>
          <w:p w:rsidR="006D14C6" w:rsidRPr="00804459" w:rsidRDefault="006D14C6" w:rsidP="00A15F5A">
            <w:pPr>
              <w:spacing w:before="40" w:after="20" w:line="240" w:lineRule="auto"/>
              <w:rPr>
                <w:sz w:val="19"/>
                <w:szCs w:val="19"/>
              </w:rPr>
            </w:pPr>
            <w:r w:rsidRPr="00804459">
              <w:rPr>
                <w:sz w:val="19"/>
                <w:szCs w:val="19"/>
              </w:rPr>
              <w:t>Patients with event (DSS): 67</w:t>
            </w:r>
          </w:p>
          <w:p w:rsidR="006D14C6" w:rsidRPr="00804459" w:rsidRDefault="006D14C6" w:rsidP="00A15F5A">
            <w:pPr>
              <w:spacing w:before="40" w:after="20" w:line="240" w:lineRule="auto"/>
              <w:rPr>
                <w:sz w:val="19"/>
                <w:szCs w:val="19"/>
              </w:rPr>
            </w:pPr>
            <w:r w:rsidRPr="00804459">
              <w:rPr>
                <w:sz w:val="19"/>
                <w:szCs w:val="19"/>
              </w:rPr>
              <w:t>Patients with event (OS): 78</w:t>
            </w:r>
          </w:p>
          <w:p w:rsidR="006D14C6" w:rsidRPr="00804459" w:rsidRDefault="006D14C6" w:rsidP="00A15F5A">
            <w:pPr>
              <w:spacing w:before="40" w:after="20" w:line="240" w:lineRule="auto"/>
              <w:rPr>
                <w:sz w:val="19"/>
                <w:szCs w:val="19"/>
              </w:rPr>
            </w:pP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7</w:t>
            </w:r>
          </w:p>
        </w:tc>
        <w:tc>
          <w:tcPr>
            <w:tcW w:w="8911" w:type="dxa"/>
            <w:tcBorders>
              <w:top w:val="nil"/>
              <w:left w:val="nil"/>
              <w:bottom w:val="nil"/>
              <w:right w:val="single" w:sz="4" w:space="0" w:color="auto"/>
            </w:tcBorders>
          </w:tcPr>
          <w:p w:rsidR="006D14C6" w:rsidRPr="00804459" w:rsidRDefault="006D14C6" w:rsidP="00A15F5A">
            <w:pPr>
              <w:spacing w:before="40" w:after="20" w:line="240" w:lineRule="auto"/>
              <w:rPr>
                <w:i/>
                <w:sz w:val="19"/>
                <w:szCs w:val="19"/>
              </w:rPr>
            </w:pPr>
            <w:r w:rsidRPr="00804459">
              <w:rPr>
                <w:i/>
                <w:sz w:val="19"/>
                <w:szCs w:val="19"/>
              </w:rPr>
              <w:t xml:space="preserve">Precisely define all clinical endpoints examined. </w:t>
            </w:r>
          </w:p>
          <w:p w:rsidR="006D14C6" w:rsidRPr="00804459" w:rsidRDefault="006D14C6" w:rsidP="00A15F5A">
            <w:pPr>
              <w:spacing w:before="40" w:after="20" w:line="240" w:lineRule="auto"/>
              <w:rPr>
                <w:sz w:val="19"/>
                <w:szCs w:val="19"/>
              </w:rPr>
            </w:pPr>
            <w:r w:rsidRPr="00804459">
              <w:rPr>
                <w:sz w:val="19"/>
                <w:szCs w:val="19"/>
              </w:rPr>
              <w:t xml:space="preserve">The clinical endpoints used are defined in the </w:t>
            </w:r>
            <w:r>
              <w:rPr>
                <w:sz w:val="19"/>
                <w:szCs w:val="19"/>
              </w:rPr>
              <w:t>Materials and M</w:t>
            </w:r>
            <w:r w:rsidRPr="00804459">
              <w:rPr>
                <w:sz w:val="19"/>
                <w:szCs w:val="19"/>
              </w:rPr>
              <w:t>ethods section.</w:t>
            </w:r>
          </w:p>
          <w:p w:rsidR="006D14C6" w:rsidRPr="00804459" w:rsidRDefault="006D14C6" w:rsidP="00A15F5A">
            <w:pPr>
              <w:spacing w:before="40" w:after="20" w:line="240" w:lineRule="auto"/>
              <w:rPr>
                <w:sz w:val="19"/>
                <w:szCs w:val="19"/>
              </w:rPr>
            </w:pP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8</w:t>
            </w:r>
          </w:p>
        </w:tc>
        <w:tc>
          <w:tcPr>
            <w:tcW w:w="8911" w:type="dxa"/>
            <w:tcBorders>
              <w:top w:val="nil"/>
              <w:left w:val="nil"/>
              <w:bottom w:val="nil"/>
              <w:right w:val="single" w:sz="4" w:space="0" w:color="auto"/>
            </w:tcBorders>
          </w:tcPr>
          <w:p w:rsidR="006D14C6" w:rsidRPr="00804459" w:rsidRDefault="006D14C6" w:rsidP="00A15F5A">
            <w:pPr>
              <w:spacing w:before="40" w:after="20" w:line="240" w:lineRule="auto"/>
              <w:rPr>
                <w:i/>
                <w:sz w:val="19"/>
                <w:szCs w:val="19"/>
              </w:rPr>
            </w:pPr>
            <w:r w:rsidRPr="00804459">
              <w:rPr>
                <w:i/>
                <w:sz w:val="19"/>
                <w:szCs w:val="19"/>
              </w:rPr>
              <w:t xml:space="preserve">List all candidate variables initially examined or considered for inclusion in models. </w:t>
            </w:r>
          </w:p>
          <w:p w:rsidR="006D14C6" w:rsidRPr="00804459" w:rsidRDefault="006D14C6" w:rsidP="00A15F5A">
            <w:pPr>
              <w:spacing w:before="40" w:after="20" w:line="240" w:lineRule="auto"/>
              <w:rPr>
                <w:sz w:val="19"/>
                <w:szCs w:val="19"/>
              </w:rPr>
            </w:pPr>
            <w:r w:rsidRPr="00804459">
              <w:rPr>
                <w:sz w:val="19"/>
                <w:szCs w:val="19"/>
              </w:rPr>
              <w:t xml:space="preserve">All candidate variables considered and included in </w:t>
            </w:r>
            <w:r>
              <w:rPr>
                <w:sz w:val="19"/>
                <w:szCs w:val="19"/>
              </w:rPr>
              <w:t xml:space="preserve">the </w:t>
            </w:r>
            <w:r w:rsidRPr="00804459">
              <w:rPr>
                <w:sz w:val="19"/>
                <w:szCs w:val="19"/>
              </w:rPr>
              <w:t xml:space="preserve">statistical models are specified in the </w:t>
            </w:r>
            <w:r>
              <w:rPr>
                <w:sz w:val="19"/>
                <w:szCs w:val="19"/>
              </w:rPr>
              <w:t>Materials and M</w:t>
            </w:r>
            <w:r w:rsidRPr="00804459">
              <w:rPr>
                <w:sz w:val="19"/>
                <w:szCs w:val="19"/>
              </w:rPr>
              <w:t xml:space="preserve">ethods section.  </w:t>
            </w:r>
          </w:p>
          <w:p w:rsidR="006D14C6" w:rsidRPr="00804459" w:rsidRDefault="006D14C6" w:rsidP="00A15F5A">
            <w:pPr>
              <w:spacing w:before="40" w:after="20" w:line="240" w:lineRule="auto"/>
              <w:rPr>
                <w:sz w:val="19"/>
                <w:szCs w:val="19"/>
              </w:rPr>
            </w:pP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9</w:t>
            </w:r>
          </w:p>
        </w:tc>
        <w:tc>
          <w:tcPr>
            <w:tcW w:w="8911" w:type="dxa"/>
            <w:tcBorders>
              <w:top w:val="nil"/>
              <w:left w:val="nil"/>
              <w:bottom w:val="nil"/>
              <w:right w:val="single" w:sz="4" w:space="0" w:color="auto"/>
            </w:tcBorders>
          </w:tcPr>
          <w:p w:rsidR="006D14C6" w:rsidRPr="00804459" w:rsidRDefault="006D14C6" w:rsidP="00A15F5A">
            <w:pPr>
              <w:spacing w:before="40" w:after="20" w:line="240" w:lineRule="auto"/>
              <w:rPr>
                <w:i/>
                <w:sz w:val="19"/>
                <w:szCs w:val="19"/>
              </w:rPr>
            </w:pPr>
            <w:r w:rsidRPr="00804459">
              <w:rPr>
                <w:i/>
                <w:sz w:val="19"/>
                <w:szCs w:val="19"/>
              </w:rPr>
              <w:t xml:space="preserve">Give rationale for sample size; if the study was designed to detect a specified effect size, give the target power and </w:t>
            </w:r>
            <w:proofErr w:type="gramStart"/>
            <w:r w:rsidRPr="00804459">
              <w:rPr>
                <w:i/>
                <w:sz w:val="19"/>
                <w:szCs w:val="19"/>
              </w:rPr>
              <w:t>effect</w:t>
            </w:r>
            <w:proofErr w:type="gramEnd"/>
            <w:r w:rsidRPr="00804459">
              <w:rPr>
                <w:i/>
                <w:sz w:val="19"/>
                <w:szCs w:val="19"/>
              </w:rPr>
              <w:t xml:space="preserve"> size. </w:t>
            </w:r>
          </w:p>
          <w:p w:rsidR="006D14C6" w:rsidRPr="00804459" w:rsidRDefault="006D14C6" w:rsidP="00A15F5A">
            <w:pPr>
              <w:spacing w:before="40" w:after="20" w:line="240" w:lineRule="auto"/>
              <w:rPr>
                <w:sz w:val="19"/>
                <w:szCs w:val="19"/>
              </w:rPr>
            </w:pPr>
            <w:r w:rsidRPr="00804459">
              <w:rPr>
                <w:sz w:val="19"/>
                <w:szCs w:val="19"/>
              </w:rPr>
              <w:t xml:space="preserve">Gene expression data was available for 150 tumours of which 136 were primary tumours with clinical information. The sample size provided sufficient statistical power.  </w:t>
            </w:r>
          </w:p>
        </w:tc>
      </w:tr>
      <w:tr w:rsidR="006D14C6" w:rsidRPr="00804459" w:rsidTr="00A15F5A">
        <w:tc>
          <w:tcPr>
            <w:tcW w:w="9468" w:type="dxa"/>
            <w:gridSpan w:val="2"/>
            <w:tcBorders>
              <w:top w:val="nil"/>
              <w:left w:val="single" w:sz="4" w:space="0" w:color="auto"/>
              <w:bottom w:val="nil"/>
              <w:right w:val="single" w:sz="4" w:space="0" w:color="auto"/>
            </w:tcBorders>
            <w:shd w:val="clear" w:color="auto" w:fill="F2DBDB" w:themeFill="accent2" w:themeFillTint="33"/>
          </w:tcPr>
          <w:p w:rsidR="006D14C6" w:rsidRPr="00804459" w:rsidRDefault="006D14C6" w:rsidP="00A15F5A">
            <w:pPr>
              <w:tabs>
                <w:tab w:val="decimal" w:pos="298"/>
              </w:tabs>
              <w:spacing w:before="40" w:after="20" w:line="240" w:lineRule="auto"/>
              <w:rPr>
                <w:i/>
                <w:iCs/>
                <w:sz w:val="20"/>
                <w:szCs w:val="18"/>
              </w:rPr>
            </w:pPr>
            <w:r w:rsidRPr="00804459">
              <w:rPr>
                <w:i/>
                <w:iCs/>
                <w:sz w:val="20"/>
                <w:szCs w:val="18"/>
              </w:rPr>
              <w:t>Statistical analysis methods</w:t>
            </w: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10</w:t>
            </w:r>
          </w:p>
        </w:tc>
        <w:tc>
          <w:tcPr>
            <w:tcW w:w="8911" w:type="dxa"/>
            <w:tcBorders>
              <w:top w:val="nil"/>
              <w:left w:val="nil"/>
              <w:bottom w:val="nil"/>
              <w:right w:val="single" w:sz="4" w:space="0" w:color="auto"/>
            </w:tcBorders>
          </w:tcPr>
          <w:p w:rsidR="006D14C6" w:rsidRPr="00804459" w:rsidRDefault="006D14C6" w:rsidP="00A15F5A">
            <w:pPr>
              <w:spacing w:before="40" w:after="20" w:line="240" w:lineRule="auto"/>
              <w:rPr>
                <w:i/>
                <w:sz w:val="19"/>
                <w:szCs w:val="19"/>
              </w:rPr>
            </w:pPr>
            <w:r w:rsidRPr="00804459">
              <w:rPr>
                <w:i/>
                <w:sz w:val="19"/>
                <w:szCs w:val="19"/>
              </w:rPr>
              <w:t xml:space="preserve">Specify all statistical methods, including details of any variable selection procedures and other model-building issues, how model assumptions were verified, and how missing data were handled. </w:t>
            </w:r>
          </w:p>
          <w:p w:rsidR="006D14C6" w:rsidRPr="00804459" w:rsidRDefault="006D14C6" w:rsidP="006D14C6">
            <w:pPr>
              <w:pStyle w:val="ListParagraph"/>
              <w:numPr>
                <w:ilvl w:val="0"/>
                <w:numId w:val="1"/>
              </w:numPr>
              <w:spacing w:before="40" w:after="20" w:line="240" w:lineRule="auto"/>
              <w:rPr>
                <w:rFonts w:asciiTheme="minorHAnsi" w:hAnsiTheme="minorHAnsi"/>
                <w:i/>
                <w:sz w:val="19"/>
                <w:szCs w:val="19"/>
              </w:rPr>
            </w:pPr>
            <w:r w:rsidRPr="00804459">
              <w:rPr>
                <w:rFonts w:asciiTheme="minorHAnsi" w:hAnsiTheme="minorHAnsi"/>
                <w:i/>
                <w:sz w:val="19"/>
                <w:szCs w:val="19"/>
              </w:rPr>
              <w:t>Preliminary data preparation</w:t>
            </w:r>
          </w:p>
          <w:p w:rsidR="006D14C6" w:rsidRPr="00804459" w:rsidRDefault="006D14C6" w:rsidP="00A15F5A">
            <w:pPr>
              <w:pStyle w:val="ListParagraph"/>
              <w:spacing w:before="40" w:after="20" w:line="240" w:lineRule="auto"/>
              <w:rPr>
                <w:rFonts w:asciiTheme="minorHAnsi" w:hAnsiTheme="minorHAnsi"/>
                <w:sz w:val="19"/>
                <w:szCs w:val="19"/>
              </w:rPr>
            </w:pPr>
            <w:r w:rsidRPr="00804459">
              <w:rPr>
                <w:rFonts w:asciiTheme="minorHAnsi" w:hAnsiTheme="minorHAnsi"/>
                <w:sz w:val="19"/>
                <w:szCs w:val="19"/>
              </w:rPr>
              <w:t>The preliminary data preparation is described in “Gene expression microarray” in the Material and Methods section.</w:t>
            </w:r>
          </w:p>
          <w:p w:rsidR="006D14C6" w:rsidRPr="00804459" w:rsidRDefault="006D14C6" w:rsidP="006D14C6">
            <w:pPr>
              <w:pStyle w:val="ListParagraph"/>
              <w:numPr>
                <w:ilvl w:val="0"/>
                <w:numId w:val="1"/>
              </w:numPr>
              <w:spacing w:before="40" w:after="20" w:line="240" w:lineRule="auto"/>
              <w:rPr>
                <w:rFonts w:asciiTheme="minorHAnsi" w:hAnsiTheme="minorHAnsi"/>
                <w:i/>
                <w:sz w:val="19"/>
                <w:szCs w:val="19"/>
              </w:rPr>
            </w:pPr>
            <w:r w:rsidRPr="00804459">
              <w:rPr>
                <w:rFonts w:asciiTheme="minorHAnsi" w:hAnsiTheme="minorHAnsi"/>
                <w:i/>
                <w:sz w:val="19"/>
                <w:szCs w:val="19"/>
              </w:rPr>
              <w:t>Association of marker values with other variables</w:t>
            </w:r>
          </w:p>
          <w:p w:rsidR="006D14C6" w:rsidRPr="00804459" w:rsidRDefault="006D14C6" w:rsidP="00A15F5A">
            <w:pPr>
              <w:pStyle w:val="ListParagraph"/>
              <w:spacing w:before="40" w:after="20" w:line="240" w:lineRule="auto"/>
              <w:rPr>
                <w:rFonts w:asciiTheme="minorHAnsi" w:hAnsiTheme="minorHAnsi"/>
                <w:sz w:val="19"/>
                <w:szCs w:val="19"/>
              </w:rPr>
            </w:pPr>
            <w:r w:rsidRPr="00804459">
              <w:rPr>
                <w:rFonts w:asciiTheme="minorHAnsi" w:hAnsiTheme="minorHAnsi"/>
                <w:sz w:val="19"/>
                <w:szCs w:val="19"/>
              </w:rPr>
              <w:t>Possible confounding factors are described in Table 1 using the R-package {</w:t>
            </w:r>
            <w:proofErr w:type="spellStart"/>
            <w:r w:rsidRPr="00804459">
              <w:rPr>
                <w:rFonts w:asciiTheme="minorHAnsi" w:hAnsiTheme="minorHAnsi"/>
                <w:sz w:val="19"/>
                <w:szCs w:val="19"/>
              </w:rPr>
              <w:t>tableone</w:t>
            </w:r>
            <w:proofErr w:type="spellEnd"/>
            <w:r w:rsidRPr="00804459">
              <w:rPr>
                <w:rFonts w:asciiTheme="minorHAnsi" w:hAnsiTheme="minorHAnsi"/>
                <w:sz w:val="19"/>
                <w:szCs w:val="19"/>
              </w:rPr>
              <w:t>} (v0.8.1.)</w:t>
            </w:r>
          </w:p>
          <w:p w:rsidR="006D14C6" w:rsidRPr="00804459" w:rsidRDefault="006D14C6" w:rsidP="006D14C6">
            <w:pPr>
              <w:pStyle w:val="ListParagraph"/>
              <w:numPr>
                <w:ilvl w:val="0"/>
                <w:numId w:val="1"/>
              </w:numPr>
              <w:spacing w:before="40" w:after="20" w:line="240" w:lineRule="auto"/>
              <w:rPr>
                <w:rFonts w:asciiTheme="minorHAnsi" w:hAnsiTheme="minorHAnsi"/>
                <w:i/>
                <w:sz w:val="19"/>
                <w:szCs w:val="19"/>
              </w:rPr>
            </w:pPr>
            <w:r w:rsidRPr="00804459">
              <w:rPr>
                <w:rFonts w:asciiTheme="minorHAnsi" w:hAnsiTheme="minorHAnsi"/>
                <w:i/>
                <w:sz w:val="19"/>
                <w:szCs w:val="19"/>
              </w:rPr>
              <w:t xml:space="preserve">Methods to evaluate a marker’s </w:t>
            </w:r>
            <w:proofErr w:type="spellStart"/>
            <w:r w:rsidRPr="00804459">
              <w:rPr>
                <w:rFonts w:asciiTheme="minorHAnsi" w:hAnsiTheme="minorHAnsi"/>
                <w:i/>
                <w:sz w:val="19"/>
                <w:szCs w:val="19"/>
              </w:rPr>
              <w:t>univariable</w:t>
            </w:r>
            <w:proofErr w:type="spellEnd"/>
            <w:r w:rsidRPr="00804459">
              <w:rPr>
                <w:rFonts w:asciiTheme="minorHAnsi" w:hAnsiTheme="minorHAnsi"/>
                <w:i/>
                <w:sz w:val="19"/>
                <w:szCs w:val="19"/>
              </w:rPr>
              <w:t xml:space="preserve"> association with clinical outcome</w:t>
            </w:r>
          </w:p>
          <w:p w:rsidR="006D14C6" w:rsidRPr="00804459" w:rsidRDefault="006D14C6" w:rsidP="00A15F5A">
            <w:pPr>
              <w:pStyle w:val="ListParagraph"/>
              <w:spacing w:before="40" w:after="20" w:line="240" w:lineRule="auto"/>
              <w:rPr>
                <w:rFonts w:asciiTheme="minorHAnsi" w:hAnsiTheme="minorHAnsi"/>
                <w:sz w:val="19"/>
                <w:szCs w:val="19"/>
              </w:rPr>
            </w:pPr>
            <w:r w:rsidRPr="00804459">
              <w:rPr>
                <w:rFonts w:asciiTheme="minorHAnsi" w:hAnsiTheme="minorHAnsi"/>
                <w:sz w:val="19"/>
                <w:szCs w:val="19"/>
              </w:rPr>
              <w:t xml:space="preserve">Table 2 describes the </w:t>
            </w:r>
            <w:proofErr w:type="spellStart"/>
            <w:r w:rsidRPr="00804459">
              <w:rPr>
                <w:rFonts w:asciiTheme="minorHAnsi" w:hAnsiTheme="minorHAnsi"/>
                <w:sz w:val="19"/>
                <w:szCs w:val="19"/>
              </w:rPr>
              <w:t>univariable</w:t>
            </w:r>
            <w:proofErr w:type="spellEnd"/>
            <w:r w:rsidRPr="00804459">
              <w:rPr>
                <w:rFonts w:asciiTheme="minorHAnsi" w:hAnsiTheme="minorHAnsi"/>
                <w:sz w:val="19"/>
                <w:szCs w:val="19"/>
              </w:rPr>
              <w:t xml:space="preserve"> Cox proportional hazard models of the </w:t>
            </w:r>
            <w:r>
              <w:rPr>
                <w:rFonts w:asciiTheme="minorHAnsi" w:hAnsiTheme="minorHAnsi"/>
                <w:sz w:val="19"/>
                <w:szCs w:val="19"/>
              </w:rPr>
              <w:t>individual</w:t>
            </w:r>
            <w:r w:rsidRPr="00804459">
              <w:rPr>
                <w:rFonts w:asciiTheme="minorHAnsi" w:hAnsiTheme="minorHAnsi"/>
                <w:sz w:val="19"/>
                <w:szCs w:val="19"/>
              </w:rPr>
              <w:t xml:space="preserve"> markers.</w:t>
            </w:r>
          </w:p>
          <w:p w:rsidR="006D14C6" w:rsidRPr="00623533" w:rsidRDefault="006D14C6" w:rsidP="006D14C6">
            <w:pPr>
              <w:pStyle w:val="ListParagraph"/>
              <w:numPr>
                <w:ilvl w:val="0"/>
                <w:numId w:val="1"/>
              </w:numPr>
              <w:spacing w:before="40" w:after="20" w:line="240" w:lineRule="auto"/>
              <w:rPr>
                <w:rFonts w:asciiTheme="minorHAnsi" w:hAnsiTheme="minorHAnsi"/>
                <w:i/>
                <w:sz w:val="19"/>
                <w:szCs w:val="19"/>
              </w:rPr>
            </w:pPr>
            <w:r w:rsidRPr="00623533">
              <w:rPr>
                <w:rFonts w:asciiTheme="minorHAnsi" w:hAnsiTheme="minorHAnsi"/>
                <w:i/>
                <w:sz w:val="19"/>
                <w:szCs w:val="19"/>
              </w:rPr>
              <w:t>Multivariable analysis</w:t>
            </w:r>
          </w:p>
          <w:p w:rsidR="006D14C6" w:rsidRPr="00623533" w:rsidRDefault="006D14C6" w:rsidP="00A15F5A">
            <w:pPr>
              <w:pStyle w:val="ListParagraph"/>
              <w:spacing w:before="40" w:after="20" w:line="240" w:lineRule="auto"/>
              <w:rPr>
                <w:rFonts w:asciiTheme="minorHAnsi" w:hAnsiTheme="minorHAnsi"/>
                <w:sz w:val="19"/>
                <w:szCs w:val="19"/>
              </w:rPr>
            </w:pPr>
            <w:r w:rsidRPr="00804459">
              <w:rPr>
                <w:rFonts w:asciiTheme="minorHAnsi" w:hAnsiTheme="minorHAnsi"/>
                <w:sz w:val="19"/>
                <w:szCs w:val="19"/>
              </w:rPr>
              <w:t xml:space="preserve">Table </w:t>
            </w:r>
            <w:r>
              <w:rPr>
                <w:rFonts w:asciiTheme="minorHAnsi" w:hAnsiTheme="minorHAnsi"/>
                <w:sz w:val="19"/>
                <w:szCs w:val="19"/>
              </w:rPr>
              <w:t xml:space="preserve">3 and the Material and Methods section describe </w:t>
            </w:r>
            <w:r w:rsidRPr="00804459">
              <w:rPr>
                <w:rFonts w:asciiTheme="minorHAnsi" w:hAnsiTheme="minorHAnsi"/>
                <w:sz w:val="19"/>
                <w:szCs w:val="19"/>
              </w:rPr>
              <w:t xml:space="preserve">the </w:t>
            </w:r>
            <w:r>
              <w:rPr>
                <w:rFonts w:asciiTheme="minorHAnsi" w:hAnsiTheme="minorHAnsi"/>
                <w:sz w:val="19"/>
                <w:szCs w:val="19"/>
              </w:rPr>
              <w:t>multi</w:t>
            </w:r>
            <w:r w:rsidRPr="00804459">
              <w:rPr>
                <w:rFonts w:asciiTheme="minorHAnsi" w:hAnsiTheme="minorHAnsi"/>
                <w:sz w:val="19"/>
                <w:szCs w:val="19"/>
              </w:rPr>
              <w:t>variable Cox proportional hazard models of the markers.</w:t>
            </w:r>
          </w:p>
          <w:p w:rsidR="006D14C6" w:rsidRPr="00606CC9" w:rsidRDefault="006D14C6" w:rsidP="006D14C6">
            <w:pPr>
              <w:pStyle w:val="ListParagraph"/>
              <w:numPr>
                <w:ilvl w:val="0"/>
                <w:numId w:val="1"/>
              </w:numPr>
              <w:spacing w:before="40" w:after="20" w:line="240" w:lineRule="auto"/>
              <w:rPr>
                <w:rFonts w:asciiTheme="minorHAnsi" w:hAnsiTheme="minorHAnsi"/>
                <w:i/>
                <w:sz w:val="19"/>
                <w:szCs w:val="19"/>
              </w:rPr>
            </w:pPr>
            <w:r w:rsidRPr="00606CC9">
              <w:rPr>
                <w:rFonts w:asciiTheme="minorHAnsi" w:hAnsiTheme="minorHAnsi"/>
                <w:i/>
                <w:sz w:val="19"/>
                <w:szCs w:val="19"/>
              </w:rPr>
              <w:t>Missing data</w:t>
            </w:r>
          </w:p>
          <w:p w:rsidR="006D14C6" w:rsidRDefault="006D14C6" w:rsidP="00A15F5A">
            <w:pPr>
              <w:pStyle w:val="ListParagraph"/>
              <w:spacing w:before="40" w:after="20" w:line="240" w:lineRule="auto"/>
              <w:rPr>
                <w:rFonts w:asciiTheme="minorHAnsi" w:hAnsiTheme="minorHAnsi"/>
                <w:sz w:val="19"/>
                <w:szCs w:val="19"/>
              </w:rPr>
            </w:pPr>
            <w:r>
              <w:rPr>
                <w:rFonts w:asciiTheme="minorHAnsi" w:hAnsiTheme="minorHAnsi"/>
                <w:sz w:val="19"/>
                <w:szCs w:val="19"/>
              </w:rPr>
              <w:t>Item 6 and the Material and Methods section describe the handling of missing data.</w:t>
            </w:r>
          </w:p>
          <w:p w:rsidR="006D14C6" w:rsidRPr="00606CC9" w:rsidRDefault="006D14C6" w:rsidP="006D14C6">
            <w:pPr>
              <w:pStyle w:val="ListParagraph"/>
              <w:numPr>
                <w:ilvl w:val="0"/>
                <w:numId w:val="1"/>
              </w:numPr>
              <w:spacing w:before="40" w:after="20" w:line="240" w:lineRule="auto"/>
              <w:rPr>
                <w:rFonts w:asciiTheme="minorHAnsi" w:hAnsiTheme="minorHAnsi"/>
                <w:i/>
                <w:sz w:val="19"/>
                <w:szCs w:val="19"/>
              </w:rPr>
            </w:pPr>
            <w:r w:rsidRPr="00606CC9">
              <w:rPr>
                <w:rFonts w:asciiTheme="minorHAnsi" w:hAnsiTheme="minorHAnsi"/>
                <w:i/>
                <w:sz w:val="19"/>
                <w:szCs w:val="19"/>
              </w:rPr>
              <w:t>Variable selection</w:t>
            </w:r>
          </w:p>
          <w:p w:rsidR="006D14C6" w:rsidRDefault="006D14C6" w:rsidP="00A15F5A">
            <w:pPr>
              <w:pStyle w:val="ListParagraph"/>
              <w:spacing w:before="40" w:after="20" w:line="240" w:lineRule="auto"/>
              <w:rPr>
                <w:rFonts w:asciiTheme="minorHAnsi" w:hAnsiTheme="minorHAnsi"/>
                <w:sz w:val="19"/>
                <w:szCs w:val="19"/>
              </w:rPr>
            </w:pPr>
            <w:r>
              <w:rPr>
                <w:rFonts w:asciiTheme="minorHAnsi" w:hAnsiTheme="minorHAnsi"/>
                <w:sz w:val="19"/>
                <w:szCs w:val="19"/>
              </w:rPr>
              <w:t>“</w:t>
            </w:r>
            <w:r w:rsidRPr="00623533">
              <w:rPr>
                <w:rFonts w:asciiTheme="minorHAnsi" w:hAnsiTheme="minorHAnsi"/>
                <w:sz w:val="19"/>
                <w:szCs w:val="19"/>
              </w:rPr>
              <w:t>Selection of prognostic panel</w:t>
            </w:r>
            <w:r>
              <w:rPr>
                <w:rFonts w:asciiTheme="minorHAnsi" w:hAnsiTheme="minorHAnsi"/>
                <w:sz w:val="19"/>
                <w:szCs w:val="19"/>
              </w:rPr>
              <w:t>” in</w:t>
            </w:r>
            <w:r w:rsidRPr="00623533">
              <w:rPr>
                <w:rFonts w:asciiTheme="minorHAnsi" w:hAnsiTheme="minorHAnsi"/>
                <w:sz w:val="19"/>
                <w:szCs w:val="19"/>
              </w:rPr>
              <w:t xml:space="preserve"> </w:t>
            </w:r>
            <w:r>
              <w:rPr>
                <w:rFonts w:asciiTheme="minorHAnsi" w:hAnsiTheme="minorHAnsi"/>
                <w:sz w:val="19"/>
                <w:szCs w:val="19"/>
              </w:rPr>
              <w:t>the Material and Methods section describes the selection of the 18-marker panel.</w:t>
            </w:r>
          </w:p>
          <w:p w:rsidR="006D14C6" w:rsidRPr="00606CC9" w:rsidRDefault="006D14C6" w:rsidP="006D14C6">
            <w:pPr>
              <w:pStyle w:val="ListParagraph"/>
              <w:numPr>
                <w:ilvl w:val="0"/>
                <w:numId w:val="1"/>
              </w:numPr>
              <w:spacing w:before="40" w:after="20" w:line="240" w:lineRule="auto"/>
              <w:rPr>
                <w:rFonts w:asciiTheme="minorHAnsi" w:hAnsiTheme="minorHAnsi"/>
                <w:i/>
                <w:sz w:val="19"/>
                <w:szCs w:val="19"/>
              </w:rPr>
            </w:pPr>
            <w:r w:rsidRPr="00606CC9">
              <w:rPr>
                <w:rFonts w:asciiTheme="minorHAnsi" w:hAnsiTheme="minorHAnsi"/>
                <w:i/>
                <w:sz w:val="19"/>
                <w:szCs w:val="19"/>
              </w:rPr>
              <w:t>Checking model assumptions</w:t>
            </w:r>
          </w:p>
          <w:p w:rsidR="006D14C6" w:rsidRDefault="006D14C6" w:rsidP="00A15F5A">
            <w:pPr>
              <w:pStyle w:val="ListParagraph"/>
              <w:spacing w:before="40" w:after="20" w:line="240" w:lineRule="auto"/>
              <w:rPr>
                <w:rFonts w:asciiTheme="minorHAnsi" w:hAnsiTheme="minorHAnsi"/>
                <w:sz w:val="19"/>
                <w:szCs w:val="19"/>
              </w:rPr>
            </w:pPr>
            <w:r>
              <w:rPr>
                <w:rFonts w:asciiTheme="minorHAnsi" w:hAnsiTheme="minorHAnsi"/>
                <w:sz w:val="19"/>
                <w:szCs w:val="19"/>
              </w:rPr>
              <w:t>T</w:t>
            </w:r>
            <w:r w:rsidRPr="00E97E1A">
              <w:rPr>
                <w:rFonts w:asciiTheme="minorHAnsi" w:hAnsiTheme="minorHAnsi"/>
                <w:sz w:val="19"/>
                <w:szCs w:val="19"/>
              </w:rPr>
              <w:t xml:space="preserve">he </w:t>
            </w:r>
            <w:r>
              <w:rPr>
                <w:rFonts w:asciiTheme="minorHAnsi" w:hAnsiTheme="minorHAnsi"/>
                <w:sz w:val="19"/>
                <w:szCs w:val="19"/>
              </w:rPr>
              <w:t>p</w:t>
            </w:r>
            <w:r w:rsidRPr="00E97E1A">
              <w:rPr>
                <w:rFonts w:asciiTheme="minorHAnsi" w:hAnsiTheme="minorHAnsi"/>
                <w:sz w:val="19"/>
                <w:szCs w:val="19"/>
              </w:rPr>
              <w:t xml:space="preserve">roportional </w:t>
            </w:r>
            <w:r>
              <w:rPr>
                <w:rFonts w:asciiTheme="minorHAnsi" w:hAnsiTheme="minorHAnsi"/>
                <w:sz w:val="19"/>
                <w:szCs w:val="19"/>
              </w:rPr>
              <w:t>h</w:t>
            </w:r>
            <w:r w:rsidRPr="00E97E1A">
              <w:rPr>
                <w:rFonts w:asciiTheme="minorHAnsi" w:hAnsiTheme="minorHAnsi"/>
                <w:sz w:val="19"/>
                <w:szCs w:val="19"/>
              </w:rPr>
              <w:t xml:space="preserve">azards </w:t>
            </w:r>
            <w:r>
              <w:rPr>
                <w:rFonts w:asciiTheme="minorHAnsi" w:hAnsiTheme="minorHAnsi"/>
                <w:sz w:val="19"/>
                <w:szCs w:val="19"/>
              </w:rPr>
              <w:t>a</w:t>
            </w:r>
            <w:r w:rsidRPr="00E97E1A">
              <w:rPr>
                <w:rFonts w:asciiTheme="minorHAnsi" w:hAnsiTheme="minorHAnsi"/>
                <w:sz w:val="19"/>
                <w:szCs w:val="19"/>
              </w:rPr>
              <w:t xml:space="preserve">ssumption of </w:t>
            </w:r>
            <w:r>
              <w:rPr>
                <w:rFonts w:asciiTheme="minorHAnsi" w:hAnsiTheme="minorHAnsi"/>
                <w:sz w:val="19"/>
                <w:szCs w:val="19"/>
              </w:rPr>
              <w:t>the</w:t>
            </w:r>
            <w:r w:rsidRPr="00E97E1A">
              <w:rPr>
                <w:rFonts w:asciiTheme="minorHAnsi" w:hAnsiTheme="minorHAnsi"/>
                <w:sz w:val="19"/>
                <w:szCs w:val="19"/>
              </w:rPr>
              <w:t xml:space="preserve"> Cox </w:t>
            </w:r>
            <w:r>
              <w:rPr>
                <w:rFonts w:asciiTheme="minorHAnsi" w:hAnsiTheme="minorHAnsi"/>
                <w:sz w:val="19"/>
                <w:szCs w:val="19"/>
              </w:rPr>
              <w:t>r</w:t>
            </w:r>
            <w:r w:rsidRPr="00E97E1A">
              <w:rPr>
                <w:rFonts w:asciiTheme="minorHAnsi" w:hAnsiTheme="minorHAnsi"/>
                <w:sz w:val="19"/>
                <w:szCs w:val="19"/>
              </w:rPr>
              <w:t>egression</w:t>
            </w:r>
            <w:r>
              <w:rPr>
                <w:rFonts w:asciiTheme="minorHAnsi" w:hAnsiTheme="minorHAnsi"/>
                <w:sz w:val="19"/>
                <w:szCs w:val="19"/>
              </w:rPr>
              <w:t xml:space="preserve"> was tested using the dedicated functions of the R-packages </w:t>
            </w:r>
            <w:r w:rsidRPr="004E66B7">
              <w:rPr>
                <w:rFonts w:asciiTheme="minorHAnsi" w:hAnsiTheme="minorHAnsi"/>
                <w:sz w:val="19"/>
                <w:szCs w:val="19"/>
              </w:rPr>
              <w:t>{survival}</w:t>
            </w:r>
            <w:r>
              <w:rPr>
                <w:rFonts w:asciiTheme="minorHAnsi" w:hAnsiTheme="minorHAnsi"/>
                <w:sz w:val="19"/>
                <w:szCs w:val="19"/>
              </w:rPr>
              <w:t xml:space="preserve"> </w:t>
            </w:r>
            <w:r w:rsidRPr="004E66B7">
              <w:rPr>
                <w:rFonts w:asciiTheme="minorHAnsi" w:hAnsiTheme="minorHAnsi"/>
                <w:sz w:val="19"/>
                <w:szCs w:val="19"/>
              </w:rPr>
              <w:t>(v2.40-1)</w:t>
            </w:r>
            <w:r>
              <w:rPr>
                <w:rFonts w:asciiTheme="minorHAnsi" w:hAnsiTheme="minorHAnsi"/>
                <w:sz w:val="19"/>
                <w:szCs w:val="19"/>
              </w:rPr>
              <w:t xml:space="preserve"> and </w:t>
            </w:r>
            <w:r w:rsidRPr="00606CC9">
              <w:rPr>
                <w:rFonts w:asciiTheme="minorHAnsi" w:hAnsiTheme="minorHAnsi"/>
                <w:sz w:val="19"/>
                <w:szCs w:val="19"/>
              </w:rPr>
              <w:t>{</w:t>
            </w:r>
            <w:proofErr w:type="spellStart"/>
            <w:r w:rsidRPr="00606CC9">
              <w:rPr>
                <w:rFonts w:asciiTheme="minorHAnsi" w:hAnsiTheme="minorHAnsi"/>
                <w:sz w:val="19"/>
                <w:szCs w:val="19"/>
              </w:rPr>
              <w:t>survminer</w:t>
            </w:r>
            <w:proofErr w:type="spellEnd"/>
            <w:r w:rsidRPr="00606CC9">
              <w:rPr>
                <w:rFonts w:asciiTheme="minorHAnsi" w:hAnsiTheme="minorHAnsi"/>
                <w:sz w:val="19"/>
                <w:szCs w:val="19"/>
              </w:rPr>
              <w:t xml:space="preserve">} (v0.2.2) </w:t>
            </w:r>
            <w:r>
              <w:rPr>
                <w:rFonts w:asciiTheme="minorHAnsi" w:hAnsiTheme="minorHAnsi"/>
                <w:sz w:val="19"/>
                <w:szCs w:val="19"/>
              </w:rPr>
              <w:t>confirming the assumption of</w:t>
            </w:r>
            <w:r w:rsidRPr="004E66B7">
              <w:rPr>
                <w:rFonts w:asciiTheme="minorHAnsi" w:hAnsiTheme="minorHAnsi"/>
                <w:sz w:val="19"/>
                <w:szCs w:val="19"/>
              </w:rPr>
              <w:t xml:space="preserve"> proportional hazards.</w:t>
            </w:r>
          </w:p>
          <w:p w:rsidR="006D14C6" w:rsidRPr="00606CC9" w:rsidRDefault="006D14C6" w:rsidP="006D14C6">
            <w:pPr>
              <w:pStyle w:val="ListParagraph"/>
              <w:numPr>
                <w:ilvl w:val="0"/>
                <w:numId w:val="1"/>
              </w:numPr>
              <w:spacing w:before="40" w:after="20" w:line="240" w:lineRule="auto"/>
              <w:rPr>
                <w:rFonts w:asciiTheme="minorHAnsi" w:hAnsiTheme="minorHAnsi"/>
                <w:i/>
                <w:sz w:val="19"/>
                <w:szCs w:val="19"/>
              </w:rPr>
            </w:pPr>
            <w:r w:rsidRPr="00606CC9">
              <w:rPr>
                <w:rFonts w:asciiTheme="minorHAnsi" w:hAnsiTheme="minorHAnsi"/>
                <w:i/>
                <w:sz w:val="19"/>
                <w:szCs w:val="19"/>
              </w:rPr>
              <w:t>Model validation</w:t>
            </w:r>
          </w:p>
          <w:p w:rsidR="006D14C6" w:rsidRDefault="006D14C6" w:rsidP="00A15F5A">
            <w:pPr>
              <w:pStyle w:val="ListParagraph"/>
              <w:spacing w:before="40" w:after="20" w:line="240" w:lineRule="auto"/>
              <w:rPr>
                <w:rFonts w:asciiTheme="minorHAnsi" w:hAnsiTheme="minorHAnsi"/>
                <w:sz w:val="19"/>
                <w:szCs w:val="19"/>
              </w:rPr>
            </w:pPr>
            <w:r>
              <w:rPr>
                <w:rFonts w:asciiTheme="minorHAnsi" w:hAnsiTheme="minorHAnsi"/>
                <w:sz w:val="19"/>
                <w:szCs w:val="19"/>
              </w:rPr>
              <w:t xml:space="preserve">For internal validation of the multivariate models, 1,000 bootstrap samples were created. Cox regression and </w:t>
            </w:r>
            <w:proofErr w:type="gramStart"/>
            <w:r>
              <w:rPr>
                <w:rFonts w:asciiTheme="minorHAnsi" w:hAnsiTheme="minorHAnsi"/>
                <w:sz w:val="19"/>
                <w:szCs w:val="19"/>
              </w:rPr>
              <w:t>AUC(</w:t>
            </w:r>
            <w:proofErr w:type="gramEnd"/>
            <w:r>
              <w:rPr>
                <w:rFonts w:asciiTheme="minorHAnsi" w:hAnsiTheme="minorHAnsi"/>
                <w:sz w:val="19"/>
                <w:szCs w:val="19"/>
              </w:rPr>
              <w:t>t) analyses were applied to each sample. External validation was performed in three independent cohorts.</w:t>
            </w:r>
          </w:p>
          <w:p w:rsidR="006D14C6" w:rsidRPr="00804459" w:rsidRDefault="006D14C6" w:rsidP="00A15F5A">
            <w:pPr>
              <w:pStyle w:val="ListParagraph"/>
              <w:spacing w:before="40" w:after="20" w:line="240" w:lineRule="auto"/>
              <w:rPr>
                <w:rFonts w:asciiTheme="minorHAnsi" w:hAnsiTheme="minorHAnsi"/>
                <w:sz w:val="19"/>
                <w:szCs w:val="19"/>
              </w:rPr>
            </w:pP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11</w:t>
            </w:r>
          </w:p>
        </w:tc>
        <w:tc>
          <w:tcPr>
            <w:tcW w:w="8911" w:type="dxa"/>
            <w:tcBorders>
              <w:top w:val="nil"/>
              <w:left w:val="nil"/>
              <w:bottom w:val="nil"/>
              <w:right w:val="single" w:sz="4" w:space="0" w:color="auto"/>
            </w:tcBorders>
          </w:tcPr>
          <w:p w:rsidR="006D14C6" w:rsidRPr="00BC677F" w:rsidRDefault="006D14C6" w:rsidP="00A15F5A">
            <w:pPr>
              <w:spacing w:before="40" w:after="20" w:line="240" w:lineRule="auto"/>
              <w:rPr>
                <w:i/>
                <w:sz w:val="19"/>
                <w:szCs w:val="19"/>
              </w:rPr>
            </w:pPr>
            <w:r w:rsidRPr="00BC677F">
              <w:rPr>
                <w:i/>
                <w:sz w:val="19"/>
                <w:szCs w:val="19"/>
              </w:rPr>
              <w:t xml:space="preserve">Clarify how marker values were handled in the analyses; if relevant, describe methods used for </w:t>
            </w:r>
            <w:proofErr w:type="spellStart"/>
            <w:r w:rsidRPr="00BC677F">
              <w:rPr>
                <w:i/>
                <w:sz w:val="19"/>
                <w:szCs w:val="19"/>
              </w:rPr>
              <w:t>cutpoint</w:t>
            </w:r>
            <w:proofErr w:type="spellEnd"/>
            <w:r w:rsidRPr="00BC677F">
              <w:rPr>
                <w:i/>
                <w:sz w:val="19"/>
                <w:szCs w:val="19"/>
              </w:rPr>
              <w:t xml:space="preserve"> determination.</w:t>
            </w:r>
          </w:p>
          <w:p w:rsidR="006D14C6" w:rsidRPr="00804459" w:rsidRDefault="006D14C6" w:rsidP="00A15F5A">
            <w:pPr>
              <w:spacing w:before="40" w:after="20" w:line="240" w:lineRule="auto"/>
              <w:rPr>
                <w:sz w:val="19"/>
                <w:szCs w:val="19"/>
              </w:rPr>
            </w:pPr>
            <w:r w:rsidRPr="00606CC9">
              <w:rPr>
                <w:sz w:val="19"/>
                <w:szCs w:val="19"/>
              </w:rPr>
              <w:t xml:space="preserve">Details of how marker values were handled and </w:t>
            </w:r>
            <w:proofErr w:type="spellStart"/>
            <w:r w:rsidRPr="00606CC9">
              <w:rPr>
                <w:sz w:val="19"/>
                <w:szCs w:val="19"/>
              </w:rPr>
              <w:t>cutpoints</w:t>
            </w:r>
            <w:proofErr w:type="spellEnd"/>
            <w:r w:rsidRPr="00606CC9">
              <w:rPr>
                <w:sz w:val="19"/>
                <w:szCs w:val="19"/>
              </w:rPr>
              <w:t xml:space="preserve"> determined are provided in </w:t>
            </w:r>
            <w:r>
              <w:rPr>
                <w:sz w:val="19"/>
                <w:szCs w:val="19"/>
              </w:rPr>
              <w:t>“</w:t>
            </w:r>
            <w:r w:rsidRPr="00BC677F">
              <w:rPr>
                <w:sz w:val="19"/>
                <w:szCs w:val="19"/>
              </w:rPr>
              <w:t>Statistical analysis</w:t>
            </w:r>
            <w:r>
              <w:rPr>
                <w:sz w:val="19"/>
                <w:szCs w:val="19"/>
              </w:rPr>
              <w:t xml:space="preserve">” in </w:t>
            </w:r>
            <w:r w:rsidRPr="00606CC9">
              <w:rPr>
                <w:sz w:val="19"/>
                <w:szCs w:val="19"/>
              </w:rPr>
              <w:t xml:space="preserve">the </w:t>
            </w:r>
            <w:r>
              <w:rPr>
                <w:sz w:val="19"/>
                <w:szCs w:val="19"/>
              </w:rPr>
              <w:t>Material and M</w:t>
            </w:r>
            <w:r w:rsidRPr="00606CC9">
              <w:rPr>
                <w:sz w:val="19"/>
                <w:szCs w:val="19"/>
              </w:rPr>
              <w:t>ethods section</w:t>
            </w:r>
            <w:r>
              <w:rPr>
                <w:sz w:val="19"/>
                <w:szCs w:val="19"/>
              </w:rPr>
              <w:t>.</w:t>
            </w:r>
          </w:p>
        </w:tc>
      </w:tr>
      <w:tr w:rsidR="006D14C6" w:rsidRPr="00804459" w:rsidTr="00A15F5A">
        <w:tc>
          <w:tcPr>
            <w:tcW w:w="9468" w:type="dxa"/>
            <w:gridSpan w:val="2"/>
            <w:tcBorders>
              <w:top w:val="nil"/>
              <w:left w:val="single" w:sz="4" w:space="0" w:color="auto"/>
              <w:bottom w:val="nil"/>
              <w:right w:val="single" w:sz="4" w:space="0" w:color="auto"/>
            </w:tcBorders>
            <w:shd w:val="clear" w:color="auto" w:fill="E5B8B7" w:themeFill="accent2" w:themeFillTint="66"/>
          </w:tcPr>
          <w:p w:rsidR="006D14C6" w:rsidRPr="00804459" w:rsidRDefault="006D14C6" w:rsidP="00A15F5A">
            <w:pPr>
              <w:tabs>
                <w:tab w:val="decimal" w:pos="298"/>
              </w:tabs>
              <w:spacing w:before="40" w:after="20" w:line="240" w:lineRule="auto"/>
              <w:rPr>
                <w:b/>
                <w:bCs/>
                <w:sz w:val="20"/>
                <w:szCs w:val="18"/>
              </w:rPr>
            </w:pPr>
            <w:r w:rsidRPr="00804459">
              <w:rPr>
                <w:b/>
                <w:bCs/>
                <w:sz w:val="20"/>
                <w:szCs w:val="18"/>
              </w:rPr>
              <w:t>RESULTS</w:t>
            </w:r>
          </w:p>
        </w:tc>
      </w:tr>
      <w:tr w:rsidR="006D14C6" w:rsidRPr="00804459" w:rsidTr="00A15F5A">
        <w:tc>
          <w:tcPr>
            <w:tcW w:w="9468" w:type="dxa"/>
            <w:gridSpan w:val="2"/>
            <w:tcBorders>
              <w:top w:val="nil"/>
              <w:left w:val="single" w:sz="4" w:space="0" w:color="auto"/>
              <w:bottom w:val="nil"/>
              <w:right w:val="single" w:sz="4" w:space="0" w:color="auto"/>
            </w:tcBorders>
            <w:shd w:val="clear" w:color="auto" w:fill="F2DBDB" w:themeFill="accent2" w:themeFillTint="33"/>
          </w:tcPr>
          <w:p w:rsidR="006D14C6" w:rsidRPr="00804459" w:rsidRDefault="006D14C6" w:rsidP="00A15F5A">
            <w:pPr>
              <w:tabs>
                <w:tab w:val="decimal" w:pos="298"/>
              </w:tabs>
              <w:spacing w:before="40" w:after="20" w:line="240" w:lineRule="auto"/>
              <w:rPr>
                <w:i/>
                <w:iCs/>
                <w:sz w:val="20"/>
                <w:szCs w:val="18"/>
              </w:rPr>
            </w:pPr>
            <w:r w:rsidRPr="00804459">
              <w:rPr>
                <w:i/>
                <w:iCs/>
                <w:sz w:val="20"/>
                <w:szCs w:val="18"/>
              </w:rPr>
              <w:t>Data</w:t>
            </w:r>
            <w:r w:rsidRPr="00804459">
              <w:rPr>
                <w:sz w:val="20"/>
                <w:szCs w:val="18"/>
              </w:rPr>
              <w:t xml:space="preserve"> </w:t>
            </w: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12</w:t>
            </w:r>
          </w:p>
        </w:tc>
        <w:tc>
          <w:tcPr>
            <w:tcW w:w="8911" w:type="dxa"/>
            <w:tcBorders>
              <w:top w:val="nil"/>
              <w:left w:val="nil"/>
              <w:bottom w:val="nil"/>
              <w:right w:val="single" w:sz="4" w:space="0" w:color="auto"/>
            </w:tcBorders>
          </w:tcPr>
          <w:p w:rsidR="006D14C6" w:rsidRPr="00BC677F" w:rsidRDefault="006D14C6" w:rsidP="00A15F5A">
            <w:pPr>
              <w:spacing w:before="40" w:after="20" w:line="240" w:lineRule="auto"/>
              <w:rPr>
                <w:i/>
                <w:sz w:val="19"/>
                <w:szCs w:val="19"/>
              </w:rPr>
            </w:pPr>
            <w:r w:rsidRPr="00BC677F">
              <w:rPr>
                <w:i/>
                <w:sz w:val="19"/>
                <w:szCs w:val="19"/>
              </w:rPr>
              <w:t>Describe the flow of patients through the study, including the number of patients included in each stage of the analysis (a diagram may be helpful) and reasons for dropout. Specifically, both overall and for each subgroup extensively examined report the numbers of patients and the number of events.</w:t>
            </w:r>
          </w:p>
          <w:p w:rsidR="006D14C6" w:rsidRDefault="006D14C6" w:rsidP="00A15F5A">
            <w:pPr>
              <w:spacing w:before="40" w:after="20" w:line="240" w:lineRule="auto"/>
              <w:rPr>
                <w:sz w:val="19"/>
                <w:szCs w:val="19"/>
              </w:rPr>
            </w:pPr>
            <w:r>
              <w:rPr>
                <w:sz w:val="19"/>
                <w:szCs w:val="19"/>
              </w:rPr>
              <w:t>The number of events and patients can be found in Item 6, Table 1 and Supplementary Table S1.</w:t>
            </w:r>
          </w:p>
          <w:p w:rsidR="006D14C6" w:rsidRPr="00804459" w:rsidRDefault="006D14C6" w:rsidP="00A15F5A">
            <w:pPr>
              <w:spacing w:before="40" w:after="20" w:line="240" w:lineRule="auto"/>
              <w:rPr>
                <w:sz w:val="19"/>
                <w:szCs w:val="19"/>
              </w:rPr>
            </w:pP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13</w:t>
            </w:r>
          </w:p>
        </w:tc>
        <w:tc>
          <w:tcPr>
            <w:tcW w:w="8911" w:type="dxa"/>
            <w:tcBorders>
              <w:top w:val="nil"/>
              <w:left w:val="nil"/>
              <w:bottom w:val="nil"/>
              <w:right w:val="single" w:sz="4" w:space="0" w:color="auto"/>
            </w:tcBorders>
          </w:tcPr>
          <w:p w:rsidR="006D14C6" w:rsidRPr="00BC677F" w:rsidRDefault="006D14C6" w:rsidP="00A15F5A">
            <w:pPr>
              <w:spacing w:before="40" w:after="20" w:line="240" w:lineRule="auto"/>
              <w:rPr>
                <w:i/>
                <w:sz w:val="19"/>
                <w:szCs w:val="19"/>
              </w:rPr>
            </w:pPr>
            <w:r w:rsidRPr="00BC677F">
              <w:rPr>
                <w:i/>
                <w:sz w:val="19"/>
                <w:szCs w:val="19"/>
              </w:rPr>
              <w:t>Report distributions of basic demographic characteristics (at least age and sex), standard (disease-specific) prognostic variables, and tumo</w:t>
            </w:r>
            <w:r>
              <w:rPr>
                <w:i/>
                <w:sz w:val="19"/>
                <w:szCs w:val="19"/>
              </w:rPr>
              <w:t>u</w:t>
            </w:r>
            <w:r w:rsidRPr="00BC677F">
              <w:rPr>
                <w:i/>
                <w:sz w:val="19"/>
                <w:szCs w:val="19"/>
              </w:rPr>
              <w:t xml:space="preserve">r marker, including numbers of missing values. </w:t>
            </w:r>
          </w:p>
          <w:p w:rsidR="006D14C6" w:rsidRPr="00804459" w:rsidRDefault="006D14C6" w:rsidP="00A15F5A">
            <w:pPr>
              <w:spacing w:before="40" w:after="20" w:line="240" w:lineRule="auto"/>
              <w:rPr>
                <w:sz w:val="19"/>
                <w:szCs w:val="19"/>
              </w:rPr>
            </w:pPr>
            <w:r w:rsidRPr="00BC677F">
              <w:rPr>
                <w:sz w:val="19"/>
                <w:szCs w:val="19"/>
              </w:rPr>
              <w:t>Characteristics of study participants including numbers of missing values are detailed in Table 1</w:t>
            </w:r>
            <w:r>
              <w:rPr>
                <w:sz w:val="19"/>
                <w:szCs w:val="19"/>
              </w:rPr>
              <w:t xml:space="preserve"> and Supplementary Table S1</w:t>
            </w:r>
            <w:r w:rsidRPr="00BC677F">
              <w:rPr>
                <w:sz w:val="19"/>
                <w:szCs w:val="19"/>
              </w:rPr>
              <w:t>.</w:t>
            </w:r>
          </w:p>
        </w:tc>
      </w:tr>
      <w:tr w:rsidR="006D14C6" w:rsidRPr="00804459" w:rsidTr="00A15F5A">
        <w:tc>
          <w:tcPr>
            <w:tcW w:w="9468" w:type="dxa"/>
            <w:gridSpan w:val="2"/>
            <w:tcBorders>
              <w:top w:val="nil"/>
              <w:left w:val="single" w:sz="4" w:space="0" w:color="auto"/>
              <w:bottom w:val="nil"/>
              <w:right w:val="single" w:sz="4" w:space="0" w:color="auto"/>
            </w:tcBorders>
            <w:shd w:val="clear" w:color="auto" w:fill="F2DBDB" w:themeFill="accent2" w:themeFillTint="33"/>
          </w:tcPr>
          <w:p w:rsidR="006D14C6" w:rsidRPr="00804459" w:rsidRDefault="006D14C6" w:rsidP="00A15F5A">
            <w:pPr>
              <w:tabs>
                <w:tab w:val="decimal" w:pos="298"/>
              </w:tabs>
              <w:spacing w:before="40" w:after="20" w:line="240" w:lineRule="auto"/>
              <w:rPr>
                <w:i/>
                <w:iCs/>
                <w:sz w:val="20"/>
                <w:szCs w:val="18"/>
              </w:rPr>
            </w:pPr>
            <w:r w:rsidRPr="00804459">
              <w:rPr>
                <w:i/>
                <w:iCs/>
                <w:sz w:val="20"/>
                <w:szCs w:val="18"/>
              </w:rPr>
              <w:t xml:space="preserve">Analysis and presentation </w:t>
            </w: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14</w:t>
            </w:r>
          </w:p>
        </w:tc>
        <w:tc>
          <w:tcPr>
            <w:tcW w:w="8911" w:type="dxa"/>
            <w:tcBorders>
              <w:top w:val="nil"/>
              <w:left w:val="nil"/>
              <w:bottom w:val="nil"/>
              <w:right w:val="single" w:sz="4" w:space="0" w:color="auto"/>
            </w:tcBorders>
          </w:tcPr>
          <w:p w:rsidR="006D14C6" w:rsidRPr="00BC677F" w:rsidRDefault="006D14C6" w:rsidP="00A15F5A">
            <w:pPr>
              <w:spacing w:before="40" w:after="20" w:line="240" w:lineRule="auto"/>
              <w:rPr>
                <w:i/>
                <w:sz w:val="19"/>
                <w:szCs w:val="19"/>
              </w:rPr>
            </w:pPr>
            <w:r w:rsidRPr="00BC677F">
              <w:rPr>
                <w:i/>
                <w:sz w:val="19"/>
                <w:szCs w:val="19"/>
              </w:rPr>
              <w:t>Show the relation of the marker to standard prognostic variables.</w:t>
            </w:r>
          </w:p>
          <w:p w:rsidR="006D14C6" w:rsidRDefault="006D14C6" w:rsidP="00A15F5A">
            <w:pPr>
              <w:spacing w:before="40" w:after="20" w:line="240" w:lineRule="auto"/>
              <w:rPr>
                <w:sz w:val="19"/>
                <w:szCs w:val="19"/>
              </w:rPr>
            </w:pPr>
            <w:r w:rsidRPr="00BC677F">
              <w:rPr>
                <w:sz w:val="19"/>
                <w:szCs w:val="19"/>
              </w:rPr>
              <w:t xml:space="preserve">The relationship of </w:t>
            </w:r>
            <w:r>
              <w:rPr>
                <w:sz w:val="19"/>
                <w:szCs w:val="19"/>
              </w:rPr>
              <w:t xml:space="preserve">the 18-marker panel </w:t>
            </w:r>
            <w:r w:rsidRPr="00BC677F">
              <w:rPr>
                <w:sz w:val="19"/>
                <w:szCs w:val="19"/>
              </w:rPr>
              <w:t xml:space="preserve">to </w:t>
            </w:r>
            <w:r>
              <w:rPr>
                <w:sz w:val="19"/>
                <w:szCs w:val="19"/>
              </w:rPr>
              <w:t>established</w:t>
            </w:r>
            <w:r w:rsidRPr="00BC677F">
              <w:rPr>
                <w:sz w:val="19"/>
                <w:szCs w:val="19"/>
              </w:rPr>
              <w:t xml:space="preserve"> prognostic variables</w:t>
            </w:r>
            <w:r>
              <w:rPr>
                <w:sz w:val="19"/>
                <w:szCs w:val="19"/>
              </w:rPr>
              <w:t xml:space="preserve"> and the </w:t>
            </w:r>
            <w:proofErr w:type="spellStart"/>
            <w:r>
              <w:rPr>
                <w:sz w:val="19"/>
                <w:szCs w:val="19"/>
              </w:rPr>
              <w:t>Oncotype</w:t>
            </w:r>
            <w:proofErr w:type="spellEnd"/>
            <w:r>
              <w:rPr>
                <w:sz w:val="19"/>
                <w:szCs w:val="19"/>
              </w:rPr>
              <w:t>-based gene panel</w:t>
            </w:r>
            <w:r w:rsidRPr="00BC677F">
              <w:rPr>
                <w:sz w:val="19"/>
                <w:szCs w:val="19"/>
              </w:rPr>
              <w:t xml:space="preserve"> is detailed in the results section (</w:t>
            </w:r>
            <w:r>
              <w:rPr>
                <w:sz w:val="19"/>
                <w:szCs w:val="19"/>
              </w:rPr>
              <w:t>Figure</w:t>
            </w:r>
            <w:r w:rsidRPr="00BC677F">
              <w:rPr>
                <w:sz w:val="19"/>
                <w:szCs w:val="19"/>
              </w:rPr>
              <w:t xml:space="preserve"> </w:t>
            </w:r>
            <w:r>
              <w:rPr>
                <w:sz w:val="19"/>
                <w:szCs w:val="19"/>
              </w:rPr>
              <w:t xml:space="preserve">3, Table 3, </w:t>
            </w:r>
            <w:r w:rsidRPr="00BC677F">
              <w:rPr>
                <w:sz w:val="19"/>
                <w:szCs w:val="19"/>
              </w:rPr>
              <w:t xml:space="preserve">Supplementary </w:t>
            </w:r>
            <w:r>
              <w:rPr>
                <w:sz w:val="19"/>
                <w:szCs w:val="19"/>
              </w:rPr>
              <w:t>Figure</w:t>
            </w:r>
            <w:r w:rsidRPr="00BC677F">
              <w:rPr>
                <w:sz w:val="19"/>
                <w:szCs w:val="19"/>
              </w:rPr>
              <w:t xml:space="preserve"> </w:t>
            </w:r>
            <w:r>
              <w:rPr>
                <w:sz w:val="19"/>
                <w:szCs w:val="19"/>
              </w:rPr>
              <w:t>S2 and S3</w:t>
            </w:r>
            <w:r w:rsidRPr="00BC677F">
              <w:rPr>
                <w:sz w:val="19"/>
                <w:szCs w:val="19"/>
              </w:rPr>
              <w:t>).</w:t>
            </w:r>
          </w:p>
          <w:p w:rsidR="006D14C6" w:rsidRPr="00804459" w:rsidRDefault="006D14C6" w:rsidP="00A15F5A">
            <w:pPr>
              <w:spacing w:before="40" w:after="20" w:line="240" w:lineRule="auto"/>
              <w:rPr>
                <w:sz w:val="19"/>
                <w:szCs w:val="19"/>
              </w:rPr>
            </w:pP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15</w:t>
            </w:r>
          </w:p>
        </w:tc>
        <w:tc>
          <w:tcPr>
            <w:tcW w:w="8911" w:type="dxa"/>
            <w:tcBorders>
              <w:top w:val="nil"/>
              <w:left w:val="nil"/>
              <w:bottom w:val="nil"/>
              <w:right w:val="single" w:sz="4" w:space="0" w:color="auto"/>
            </w:tcBorders>
          </w:tcPr>
          <w:p w:rsidR="006D14C6" w:rsidRPr="00E706CF" w:rsidRDefault="006D14C6" w:rsidP="00A15F5A">
            <w:pPr>
              <w:spacing w:before="40" w:after="20" w:line="240" w:lineRule="auto"/>
              <w:rPr>
                <w:i/>
                <w:sz w:val="19"/>
                <w:szCs w:val="19"/>
              </w:rPr>
            </w:pPr>
            <w:r w:rsidRPr="00E706CF">
              <w:rPr>
                <w:i/>
                <w:sz w:val="19"/>
                <w:szCs w:val="19"/>
              </w:rPr>
              <w:t xml:space="preserve">Present </w:t>
            </w:r>
            <w:proofErr w:type="spellStart"/>
            <w:r w:rsidRPr="00E706CF">
              <w:rPr>
                <w:i/>
                <w:sz w:val="19"/>
                <w:szCs w:val="19"/>
              </w:rPr>
              <w:t>univariable</w:t>
            </w:r>
            <w:proofErr w:type="spellEnd"/>
            <w:r w:rsidRPr="00E706CF">
              <w:rPr>
                <w:i/>
                <w:sz w:val="19"/>
                <w:szCs w:val="19"/>
              </w:rPr>
              <w:t xml:space="preserve"> analyses showing the relation between the marker and outcome, with the estimated effect (e.g., hazard ratio and survival probability). Preferably provide similar analyses for all other variables being analysed. For the effect of a tumour marker on a time-to-event outcome, a Kaplan-Meier plot is recommended.</w:t>
            </w:r>
          </w:p>
          <w:p w:rsidR="006D14C6" w:rsidRDefault="006D14C6" w:rsidP="00A15F5A">
            <w:pPr>
              <w:spacing w:before="40" w:after="20" w:line="240" w:lineRule="auto"/>
              <w:rPr>
                <w:sz w:val="19"/>
                <w:szCs w:val="19"/>
              </w:rPr>
            </w:pPr>
            <w:proofErr w:type="spellStart"/>
            <w:r w:rsidRPr="00BC677F">
              <w:rPr>
                <w:sz w:val="19"/>
                <w:szCs w:val="19"/>
              </w:rPr>
              <w:t>Univaria</w:t>
            </w:r>
            <w:r>
              <w:rPr>
                <w:sz w:val="19"/>
                <w:szCs w:val="19"/>
              </w:rPr>
              <w:t>bl</w:t>
            </w:r>
            <w:r w:rsidRPr="00BC677F">
              <w:rPr>
                <w:sz w:val="19"/>
                <w:szCs w:val="19"/>
              </w:rPr>
              <w:t>e</w:t>
            </w:r>
            <w:proofErr w:type="spellEnd"/>
            <w:r w:rsidRPr="00BC677F">
              <w:rPr>
                <w:sz w:val="19"/>
                <w:szCs w:val="19"/>
              </w:rPr>
              <w:t xml:space="preserve"> analyses for </w:t>
            </w:r>
            <w:r>
              <w:rPr>
                <w:sz w:val="19"/>
                <w:szCs w:val="19"/>
              </w:rPr>
              <w:t>the 18 markers</w:t>
            </w:r>
            <w:r w:rsidRPr="00BC677F">
              <w:rPr>
                <w:sz w:val="19"/>
                <w:szCs w:val="19"/>
              </w:rPr>
              <w:t xml:space="preserve"> including </w:t>
            </w:r>
            <w:r>
              <w:rPr>
                <w:sz w:val="19"/>
                <w:szCs w:val="19"/>
              </w:rPr>
              <w:t>their Cox coefficient</w:t>
            </w:r>
            <w:r w:rsidRPr="00BC677F">
              <w:rPr>
                <w:sz w:val="19"/>
                <w:szCs w:val="19"/>
              </w:rPr>
              <w:t xml:space="preserve"> are stated in the results and </w:t>
            </w:r>
            <w:r>
              <w:rPr>
                <w:sz w:val="19"/>
                <w:szCs w:val="19"/>
              </w:rPr>
              <w:t>Table 2</w:t>
            </w:r>
            <w:r w:rsidRPr="00BC677F">
              <w:rPr>
                <w:sz w:val="19"/>
                <w:szCs w:val="19"/>
              </w:rPr>
              <w:t>.</w:t>
            </w:r>
          </w:p>
          <w:p w:rsidR="006D14C6" w:rsidRPr="00804459" w:rsidRDefault="006D14C6" w:rsidP="00A15F5A">
            <w:pPr>
              <w:spacing w:before="40" w:after="20" w:line="240" w:lineRule="auto"/>
              <w:rPr>
                <w:sz w:val="19"/>
                <w:szCs w:val="19"/>
              </w:rPr>
            </w:pP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16</w:t>
            </w:r>
          </w:p>
        </w:tc>
        <w:tc>
          <w:tcPr>
            <w:tcW w:w="8911" w:type="dxa"/>
            <w:tcBorders>
              <w:top w:val="nil"/>
              <w:left w:val="nil"/>
              <w:bottom w:val="nil"/>
              <w:right w:val="single" w:sz="4" w:space="0" w:color="auto"/>
            </w:tcBorders>
          </w:tcPr>
          <w:p w:rsidR="006D14C6" w:rsidRPr="00E706CF" w:rsidRDefault="006D14C6" w:rsidP="00A15F5A">
            <w:pPr>
              <w:spacing w:before="40" w:after="20" w:line="240" w:lineRule="auto"/>
              <w:rPr>
                <w:i/>
                <w:sz w:val="19"/>
                <w:szCs w:val="19"/>
              </w:rPr>
            </w:pPr>
            <w:r w:rsidRPr="00E706CF">
              <w:rPr>
                <w:i/>
                <w:sz w:val="19"/>
                <w:szCs w:val="19"/>
              </w:rPr>
              <w:t xml:space="preserve">For key multivariable analyses, report estimated effects (e.g., hazard ratio) with confidence intervals for the marker and, at least for the final model, all other variables in the model. </w:t>
            </w:r>
          </w:p>
          <w:p w:rsidR="006D14C6" w:rsidRDefault="006D14C6" w:rsidP="00A15F5A">
            <w:pPr>
              <w:spacing w:before="40" w:after="20" w:line="240" w:lineRule="auto"/>
              <w:rPr>
                <w:sz w:val="19"/>
                <w:szCs w:val="19"/>
              </w:rPr>
            </w:pPr>
            <w:r w:rsidRPr="00E706CF">
              <w:rPr>
                <w:sz w:val="19"/>
                <w:szCs w:val="19"/>
              </w:rPr>
              <w:t>Multivaria</w:t>
            </w:r>
            <w:r>
              <w:rPr>
                <w:sz w:val="19"/>
                <w:szCs w:val="19"/>
              </w:rPr>
              <w:t>bl</w:t>
            </w:r>
            <w:r w:rsidRPr="00E706CF">
              <w:rPr>
                <w:sz w:val="19"/>
                <w:szCs w:val="19"/>
              </w:rPr>
              <w:t xml:space="preserve">e analyses are stated in </w:t>
            </w:r>
            <w:r>
              <w:rPr>
                <w:sz w:val="19"/>
                <w:szCs w:val="19"/>
              </w:rPr>
              <w:t>Figure 1</w:t>
            </w:r>
            <w:r w:rsidRPr="00E706CF">
              <w:rPr>
                <w:sz w:val="19"/>
                <w:szCs w:val="19"/>
              </w:rPr>
              <w:t xml:space="preserve"> and Table </w:t>
            </w:r>
            <w:r>
              <w:rPr>
                <w:sz w:val="19"/>
                <w:szCs w:val="19"/>
              </w:rPr>
              <w:t>3</w:t>
            </w:r>
            <w:r w:rsidRPr="00E706CF">
              <w:rPr>
                <w:sz w:val="19"/>
                <w:szCs w:val="19"/>
              </w:rPr>
              <w:t>.</w:t>
            </w:r>
          </w:p>
          <w:p w:rsidR="006D14C6" w:rsidRPr="00804459" w:rsidRDefault="006D14C6" w:rsidP="00A15F5A">
            <w:pPr>
              <w:spacing w:before="40" w:after="20" w:line="240" w:lineRule="auto"/>
              <w:rPr>
                <w:sz w:val="19"/>
                <w:szCs w:val="19"/>
              </w:rPr>
            </w:pP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17</w:t>
            </w:r>
          </w:p>
        </w:tc>
        <w:tc>
          <w:tcPr>
            <w:tcW w:w="8911" w:type="dxa"/>
            <w:tcBorders>
              <w:top w:val="nil"/>
              <w:left w:val="nil"/>
              <w:bottom w:val="nil"/>
              <w:right w:val="single" w:sz="4" w:space="0" w:color="auto"/>
            </w:tcBorders>
          </w:tcPr>
          <w:p w:rsidR="006D14C6" w:rsidRPr="00D079B0" w:rsidRDefault="006D14C6" w:rsidP="00A15F5A">
            <w:pPr>
              <w:spacing w:before="40" w:after="20" w:line="240" w:lineRule="auto"/>
              <w:rPr>
                <w:i/>
                <w:sz w:val="19"/>
                <w:szCs w:val="19"/>
              </w:rPr>
            </w:pPr>
            <w:r w:rsidRPr="00D079B0">
              <w:rPr>
                <w:i/>
                <w:sz w:val="19"/>
                <w:szCs w:val="19"/>
              </w:rPr>
              <w:t xml:space="preserve">Among reported results, provide estimated effects with confidence intervals from an analysis in which the marker and standard prognostic variables are included, regardless of their statistical significance. </w:t>
            </w:r>
          </w:p>
          <w:p w:rsidR="006D14C6" w:rsidRDefault="006D14C6" w:rsidP="00A15F5A">
            <w:pPr>
              <w:spacing w:before="40" w:after="20" w:line="240" w:lineRule="auto"/>
              <w:rPr>
                <w:sz w:val="19"/>
                <w:szCs w:val="19"/>
              </w:rPr>
            </w:pPr>
            <w:r w:rsidRPr="00D079B0">
              <w:rPr>
                <w:sz w:val="19"/>
                <w:szCs w:val="19"/>
              </w:rPr>
              <w:t>Multivaria</w:t>
            </w:r>
            <w:r>
              <w:rPr>
                <w:sz w:val="19"/>
                <w:szCs w:val="19"/>
              </w:rPr>
              <w:t>ble</w:t>
            </w:r>
            <w:r w:rsidRPr="00D079B0">
              <w:rPr>
                <w:sz w:val="19"/>
                <w:szCs w:val="19"/>
              </w:rPr>
              <w:t xml:space="preserve"> analyses including </w:t>
            </w:r>
            <w:r>
              <w:rPr>
                <w:sz w:val="19"/>
                <w:szCs w:val="19"/>
              </w:rPr>
              <w:t>established clinical</w:t>
            </w:r>
            <w:r w:rsidRPr="00D079B0">
              <w:rPr>
                <w:sz w:val="19"/>
                <w:szCs w:val="19"/>
              </w:rPr>
              <w:t xml:space="preserve"> variables (</w:t>
            </w:r>
            <w:r w:rsidRPr="00804459">
              <w:rPr>
                <w:sz w:val="19"/>
                <w:szCs w:val="19"/>
              </w:rPr>
              <w:t>Patient age at diagnosis, histological grade, number of positive axillary lymph nodes, pathological tumour size, HER2, PR, and ER status</w:t>
            </w:r>
            <w:r w:rsidRPr="00D079B0">
              <w:rPr>
                <w:sz w:val="19"/>
                <w:szCs w:val="19"/>
              </w:rPr>
              <w:t xml:space="preserve">) </w:t>
            </w:r>
            <w:r>
              <w:rPr>
                <w:sz w:val="19"/>
                <w:szCs w:val="19"/>
              </w:rPr>
              <w:t>are outlined in Table</w:t>
            </w:r>
            <w:r w:rsidRPr="00D079B0">
              <w:rPr>
                <w:sz w:val="19"/>
                <w:szCs w:val="19"/>
              </w:rPr>
              <w:t xml:space="preserve"> 3</w:t>
            </w:r>
            <w:r>
              <w:rPr>
                <w:sz w:val="19"/>
                <w:szCs w:val="19"/>
              </w:rPr>
              <w:t>.</w:t>
            </w:r>
          </w:p>
          <w:p w:rsidR="006D14C6" w:rsidRPr="00804459" w:rsidRDefault="006D14C6" w:rsidP="00A15F5A">
            <w:pPr>
              <w:spacing w:before="40" w:after="20" w:line="240" w:lineRule="auto"/>
              <w:rPr>
                <w:sz w:val="19"/>
                <w:szCs w:val="19"/>
              </w:rPr>
            </w:pP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18</w:t>
            </w:r>
          </w:p>
        </w:tc>
        <w:tc>
          <w:tcPr>
            <w:tcW w:w="8911" w:type="dxa"/>
            <w:tcBorders>
              <w:top w:val="nil"/>
              <w:left w:val="nil"/>
              <w:bottom w:val="nil"/>
              <w:right w:val="single" w:sz="4" w:space="0" w:color="auto"/>
            </w:tcBorders>
          </w:tcPr>
          <w:p w:rsidR="006D14C6" w:rsidRPr="00D079B0" w:rsidRDefault="006D14C6" w:rsidP="00A15F5A">
            <w:pPr>
              <w:spacing w:before="40" w:after="20" w:line="240" w:lineRule="auto"/>
              <w:rPr>
                <w:i/>
                <w:sz w:val="19"/>
                <w:szCs w:val="19"/>
              </w:rPr>
            </w:pPr>
            <w:r w:rsidRPr="00D079B0">
              <w:rPr>
                <w:i/>
                <w:sz w:val="19"/>
                <w:szCs w:val="19"/>
              </w:rPr>
              <w:t>If done, report results of further investigations, such as checking assumptions, sensitivity analyses, and internal validation.</w:t>
            </w:r>
          </w:p>
          <w:p w:rsidR="006D14C6" w:rsidRPr="00804459" w:rsidRDefault="006D14C6" w:rsidP="00A15F5A">
            <w:pPr>
              <w:spacing w:before="40" w:after="20" w:line="240" w:lineRule="auto"/>
              <w:rPr>
                <w:sz w:val="19"/>
                <w:szCs w:val="19"/>
              </w:rPr>
            </w:pPr>
            <w:r w:rsidRPr="00D079B0">
              <w:rPr>
                <w:sz w:val="19"/>
                <w:szCs w:val="19"/>
              </w:rPr>
              <w:t xml:space="preserve">The results of </w:t>
            </w:r>
            <w:r>
              <w:rPr>
                <w:sz w:val="19"/>
                <w:szCs w:val="19"/>
              </w:rPr>
              <w:t>the internal and</w:t>
            </w:r>
            <w:r w:rsidRPr="00D079B0">
              <w:rPr>
                <w:sz w:val="19"/>
                <w:szCs w:val="19"/>
              </w:rPr>
              <w:t xml:space="preserve"> external validation are detailed in </w:t>
            </w:r>
            <w:r>
              <w:rPr>
                <w:sz w:val="19"/>
                <w:szCs w:val="19"/>
              </w:rPr>
              <w:t>the Results section</w:t>
            </w:r>
            <w:r w:rsidRPr="00D079B0">
              <w:rPr>
                <w:sz w:val="19"/>
                <w:szCs w:val="19"/>
              </w:rPr>
              <w:t>.</w:t>
            </w:r>
          </w:p>
        </w:tc>
      </w:tr>
      <w:tr w:rsidR="006D14C6" w:rsidRPr="00804459" w:rsidTr="00A15F5A">
        <w:tc>
          <w:tcPr>
            <w:tcW w:w="9468" w:type="dxa"/>
            <w:gridSpan w:val="2"/>
            <w:tcBorders>
              <w:top w:val="nil"/>
              <w:left w:val="single" w:sz="4" w:space="0" w:color="auto"/>
              <w:bottom w:val="nil"/>
              <w:right w:val="single" w:sz="4" w:space="0" w:color="auto"/>
            </w:tcBorders>
            <w:shd w:val="clear" w:color="auto" w:fill="E5B8B7" w:themeFill="accent2" w:themeFillTint="66"/>
          </w:tcPr>
          <w:p w:rsidR="006D14C6" w:rsidRPr="00804459" w:rsidRDefault="006D14C6" w:rsidP="00A15F5A">
            <w:pPr>
              <w:tabs>
                <w:tab w:val="decimal" w:pos="298"/>
              </w:tabs>
              <w:spacing w:before="40" w:after="20" w:line="240" w:lineRule="auto"/>
              <w:rPr>
                <w:b/>
                <w:bCs/>
                <w:sz w:val="20"/>
                <w:szCs w:val="18"/>
              </w:rPr>
            </w:pPr>
            <w:r w:rsidRPr="00804459">
              <w:rPr>
                <w:b/>
                <w:bCs/>
                <w:sz w:val="20"/>
                <w:szCs w:val="18"/>
              </w:rPr>
              <w:t>DISCUSSION</w:t>
            </w:r>
          </w:p>
        </w:tc>
      </w:tr>
      <w:tr w:rsidR="006D14C6" w:rsidRPr="00804459" w:rsidTr="00A15F5A">
        <w:tc>
          <w:tcPr>
            <w:tcW w:w="557" w:type="dxa"/>
            <w:tcBorders>
              <w:top w:val="nil"/>
              <w:left w:val="single" w:sz="4" w:space="0" w:color="auto"/>
              <w:bottom w:val="nil"/>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19</w:t>
            </w:r>
          </w:p>
        </w:tc>
        <w:tc>
          <w:tcPr>
            <w:tcW w:w="8911" w:type="dxa"/>
            <w:tcBorders>
              <w:top w:val="nil"/>
              <w:left w:val="nil"/>
              <w:bottom w:val="nil"/>
              <w:right w:val="single" w:sz="4" w:space="0" w:color="auto"/>
            </w:tcBorders>
          </w:tcPr>
          <w:p w:rsidR="006D14C6" w:rsidRPr="00D079B0" w:rsidRDefault="006D14C6" w:rsidP="00A15F5A">
            <w:pPr>
              <w:spacing w:before="40" w:after="20" w:line="240" w:lineRule="auto"/>
              <w:rPr>
                <w:i/>
                <w:sz w:val="19"/>
                <w:szCs w:val="19"/>
              </w:rPr>
            </w:pPr>
            <w:r w:rsidRPr="00D079B0">
              <w:rPr>
                <w:i/>
                <w:sz w:val="19"/>
                <w:szCs w:val="19"/>
              </w:rPr>
              <w:t>Interpret the results in the context of the pre-specified hypotheses and other relevant studies; include a discussion of limitations of the study.</w:t>
            </w:r>
          </w:p>
          <w:p w:rsidR="006D14C6" w:rsidRDefault="006D14C6" w:rsidP="00A15F5A">
            <w:pPr>
              <w:spacing w:before="40" w:after="20" w:line="240" w:lineRule="auto"/>
              <w:rPr>
                <w:sz w:val="19"/>
                <w:szCs w:val="19"/>
              </w:rPr>
            </w:pPr>
            <w:r w:rsidRPr="00D079B0">
              <w:rPr>
                <w:sz w:val="19"/>
                <w:szCs w:val="19"/>
              </w:rPr>
              <w:t>The study results were discussed in the context of pre-specified hypotheses and other relevant studies</w:t>
            </w:r>
            <w:r>
              <w:rPr>
                <w:sz w:val="19"/>
                <w:szCs w:val="19"/>
              </w:rPr>
              <w:t xml:space="preserve"> in the Discussion section</w:t>
            </w:r>
            <w:r w:rsidRPr="00D079B0">
              <w:rPr>
                <w:sz w:val="19"/>
                <w:szCs w:val="19"/>
              </w:rPr>
              <w:t xml:space="preserve">.  </w:t>
            </w:r>
          </w:p>
          <w:p w:rsidR="006D14C6" w:rsidRPr="00804459" w:rsidRDefault="006D14C6" w:rsidP="00A15F5A">
            <w:pPr>
              <w:spacing w:before="40" w:after="20" w:line="240" w:lineRule="auto"/>
              <w:rPr>
                <w:sz w:val="19"/>
                <w:szCs w:val="19"/>
              </w:rPr>
            </w:pPr>
          </w:p>
        </w:tc>
      </w:tr>
      <w:tr w:rsidR="006D14C6" w:rsidRPr="00804459" w:rsidTr="00A15F5A">
        <w:tc>
          <w:tcPr>
            <w:tcW w:w="557" w:type="dxa"/>
            <w:tcBorders>
              <w:top w:val="nil"/>
              <w:left w:val="single" w:sz="4" w:space="0" w:color="auto"/>
              <w:bottom w:val="single" w:sz="4" w:space="0" w:color="auto"/>
              <w:right w:val="nil"/>
            </w:tcBorders>
          </w:tcPr>
          <w:p w:rsidR="006D14C6" w:rsidRPr="00804459" w:rsidRDefault="006D14C6" w:rsidP="00A15F5A">
            <w:pPr>
              <w:tabs>
                <w:tab w:val="decimal" w:pos="298"/>
              </w:tabs>
              <w:spacing w:before="40" w:after="20" w:line="240" w:lineRule="auto"/>
              <w:rPr>
                <w:sz w:val="19"/>
                <w:szCs w:val="19"/>
              </w:rPr>
            </w:pPr>
            <w:r w:rsidRPr="00804459">
              <w:rPr>
                <w:sz w:val="19"/>
                <w:szCs w:val="19"/>
              </w:rPr>
              <w:t>20</w:t>
            </w:r>
          </w:p>
        </w:tc>
        <w:tc>
          <w:tcPr>
            <w:tcW w:w="8911" w:type="dxa"/>
            <w:tcBorders>
              <w:top w:val="nil"/>
              <w:left w:val="nil"/>
              <w:bottom w:val="single" w:sz="4" w:space="0" w:color="auto"/>
              <w:right w:val="single" w:sz="4" w:space="0" w:color="auto"/>
            </w:tcBorders>
          </w:tcPr>
          <w:p w:rsidR="006D14C6" w:rsidRPr="00D079B0" w:rsidRDefault="006D14C6" w:rsidP="00A15F5A">
            <w:pPr>
              <w:spacing w:before="40" w:after="20" w:line="240" w:lineRule="auto"/>
              <w:rPr>
                <w:i/>
                <w:sz w:val="19"/>
                <w:szCs w:val="19"/>
              </w:rPr>
            </w:pPr>
            <w:r w:rsidRPr="00D079B0">
              <w:rPr>
                <w:i/>
                <w:sz w:val="19"/>
                <w:szCs w:val="19"/>
              </w:rPr>
              <w:t xml:space="preserve">Discuss implications for future research and clinical value. </w:t>
            </w:r>
          </w:p>
          <w:p w:rsidR="006D14C6" w:rsidRPr="00804459" w:rsidRDefault="006D14C6" w:rsidP="00A15F5A">
            <w:pPr>
              <w:spacing w:before="40" w:after="20" w:line="240" w:lineRule="auto"/>
              <w:rPr>
                <w:sz w:val="19"/>
                <w:szCs w:val="19"/>
              </w:rPr>
            </w:pPr>
            <w:r>
              <w:rPr>
                <w:sz w:val="19"/>
                <w:szCs w:val="19"/>
              </w:rPr>
              <w:t>R</w:t>
            </w:r>
            <w:r w:rsidRPr="00D079B0">
              <w:rPr>
                <w:sz w:val="19"/>
                <w:szCs w:val="19"/>
              </w:rPr>
              <w:t>everse-transcriptase</w:t>
            </w:r>
            <w:r>
              <w:rPr>
                <w:sz w:val="19"/>
                <w:szCs w:val="19"/>
              </w:rPr>
              <w:t>-</w:t>
            </w:r>
            <w:r w:rsidRPr="00D079B0">
              <w:rPr>
                <w:sz w:val="19"/>
                <w:szCs w:val="19"/>
              </w:rPr>
              <w:t>polymerase-chain-reaction (RT-PCR)</w:t>
            </w:r>
            <w:r>
              <w:rPr>
                <w:sz w:val="19"/>
                <w:szCs w:val="19"/>
              </w:rPr>
              <w:t xml:space="preserve"> for the specific genes instead of whole-transcriptome gene expression microarrays could improve the clinical utility and be more cost-effective. The 18-marker panel needs to be studied in other population cohorts.</w:t>
            </w:r>
          </w:p>
        </w:tc>
      </w:tr>
    </w:tbl>
    <w:p w:rsidR="006D14C6" w:rsidRDefault="006D14C6"/>
    <w:p w:rsidR="006D14C6" w:rsidRDefault="006D14C6">
      <w:r>
        <w:br w:type="page"/>
      </w:r>
    </w:p>
    <w:p w:rsidR="006D14C6" w:rsidRDefault="006D14C6" w:rsidP="006D14C6">
      <w:pPr>
        <w:contextualSpacing/>
      </w:pPr>
      <w:proofErr w:type="gramStart"/>
      <w:r w:rsidRPr="00C47AC4">
        <w:rPr>
          <w:b/>
        </w:rPr>
        <w:t>Supplementary Table S</w:t>
      </w:r>
      <w:r>
        <w:rPr>
          <w:b/>
        </w:rPr>
        <w:t>3</w:t>
      </w:r>
      <w:r w:rsidRPr="007D29EA">
        <w:rPr>
          <w:b/>
        </w:rPr>
        <w:t>.</w:t>
      </w:r>
      <w:proofErr w:type="gramEnd"/>
      <w:r w:rsidRPr="007D29EA">
        <w:rPr>
          <w:b/>
        </w:rPr>
        <w:t xml:space="preserve"> </w:t>
      </w:r>
      <w:proofErr w:type="gramStart"/>
      <w:r w:rsidRPr="00256784">
        <w:t xml:space="preserve">Overview of the 18 genes, their biological functions and </w:t>
      </w:r>
      <w:r>
        <w:t>association with</w:t>
      </w:r>
      <w:r w:rsidRPr="00256784">
        <w:t xml:space="preserve"> cancer and clinical outcome.</w:t>
      </w:r>
      <w:proofErr w:type="gramEnd"/>
    </w:p>
    <w:p w:rsidR="006D14C6" w:rsidRDefault="006D14C6" w:rsidP="006D14C6">
      <w:pPr>
        <w:contextualSpacing/>
      </w:pPr>
    </w:p>
    <w:tbl>
      <w:tblPr>
        <w:tblStyle w:val="TableGrid"/>
        <w:tblW w:w="0" w:type="auto"/>
        <w:tblLook w:val="04A0" w:firstRow="1" w:lastRow="0" w:firstColumn="1" w:lastColumn="0" w:noHBand="0" w:noVBand="1"/>
      </w:tblPr>
      <w:tblGrid>
        <w:gridCol w:w="1101"/>
        <w:gridCol w:w="1978"/>
        <w:gridCol w:w="6209"/>
      </w:tblGrid>
      <w:tr w:rsidR="006D14C6" w:rsidRPr="00982E07" w:rsidTr="00A15F5A">
        <w:tc>
          <w:tcPr>
            <w:tcW w:w="1101" w:type="dxa"/>
          </w:tcPr>
          <w:p w:rsidR="006D14C6" w:rsidRPr="00982E07" w:rsidRDefault="006D14C6" w:rsidP="00A15F5A">
            <w:pPr>
              <w:rPr>
                <w:b/>
                <w:sz w:val="24"/>
              </w:rPr>
            </w:pPr>
            <w:r w:rsidRPr="00982E07">
              <w:rPr>
                <w:b/>
                <w:sz w:val="24"/>
              </w:rPr>
              <w:t>Gene</w:t>
            </w:r>
          </w:p>
        </w:tc>
        <w:tc>
          <w:tcPr>
            <w:tcW w:w="1984" w:type="dxa"/>
          </w:tcPr>
          <w:p w:rsidR="006D14C6" w:rsidRPr="00982E07" w:rsidRDefault="006D14C6" w:rsidP="00A15F5A">
            <w:pPr>
              <w:rPr>
                <w:b/>
                <w:sz w:val="24"/>
              </w:rPr>
            </w:pPr>
            <w:r>
              <w:rPr>
                <w:b/>
                <w:sz w:val="24"/>
              </w:rPr>
              <w:t>Alias</w:t>
            </w:r>
          </w:p>
        </w:tc>
        <w:tc>
          <w:tcPr>
            <w:tcW w:w="6311" w:type="dxa"/>
          </w:tcPr>
          <w:p w:rsidR="006D14C6" w:rsidRPr="00982E07" w:rsidRDefault="006D14C6" w:rsidP="00A15F5A">
            <w:pPr>
              <w:rPr>
                <w:b/>
                <w:sz w:val="24"/>
              </w:rPr>
            </w:pPr>
            <w:r w:rsidRPr="00982E07">
              <w:rPr>
                <w:b/>
                <w:sz w:val="24"/>
              </w:rPr>
              <w:t>Function</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ACAA1</w:t>
            </w:r>
          </w:p>
        </w:tc>
        <w:tc>
          <w:tcPr>
            <w:tcW w:w="1984" w:type="dxa"/>
            <w:vAlign w:val="bottom"/>
          </w:tcPr>
          <w:p w:rsidR="006D14C6" w:rsidRPr="0030332A" w:rsidRDefault="006D14C6" w:rsidP="00A15F5A">
            <w:pPr>
              <w:rPr>
                <w:rFonts w:ascii="Calibri" w:hAnsi="Calibri"/>
                <w:color w:val="000000"/>
              </w:rPr>
            </w:pPr>
            <w:r w:rsidRPr="0030332A">
              <w:rPr>
                <w:rFonts w:ascii="Calibri" w:hAnsi="Calibri"/>
                <w:color w:val="000000"/>
              </w:rPr>
              <w:t>Acetyl-CoA Acyltransferase 1</w:t>
            </w:r>
          </w:p>
        </w:tc>
        <w:tc>
          <w:tcPr>
            <w:tcW w:w="6311" w:type="dxa"/>
            <w:vAlign w:val="bottom"/>
          </w:tcPr>
          <w:p w:rsidR="006D14C6" w:rsidRPr="0030332A" w:rsidRDefault="006D14C6" w:rsidP="00A15F5A">
            <w:pPr>
              <w:rPr>
                <w:rFonts w:ascii="Calibri" w:hAnsi="Calibri"/>
                <w:bCs/>
                <w:color w:val="000000"/>
              </w:rPr>
            </w:pPr>
            <w:r>
              <w:rPr>
                <w:rFonts w:ascii="Calibri" w:hAnsi="Calibri"/>
                <w:bCs/>
                <w:color w:val="000000"/>
              </w:rPr>
              <w:t>E</w:t>
            </w:r>
            <w:r w:rsidRPr="0030332A">
              <w:rPr>
                <w:rFonts w:ascii="Calibri" w:hAnsi="Calibri"/>
                <w:bCs/>
                <w:color w:val="000000"/>
              </w:rPr>
              <w:t>ncodes an enzyme operative in the beta-oxidation system of the peroxisomes.</w:t>
            </w:r>
            <w:r>
              <w:rPr>
                <w:rFonts w:ascii="Calibri" w:hAnsi="Calibri"/>
                <w:bCs/>
                <w:color w:val="000000"/>
              </w:rPr>
              <w:t xml:space="preserve"> </w:t>
            </w:r>
            <w:r>
              <w:t>Associated with early stages of c</w:t>
            </w:r>
            <w:r w:rsidRPr="00972168">
              <w:t xml:space="preserve">ervical </w:t>
            </w:r>
            <w:r>
              <w:t>c</w:t>
            </w:r>
            <w:r w:rsidRPr="00972168">
              <w:t>arcinogenesis</w:t>
            </w:r>
            <w:r>
              <w:t xml:space="preserve"> and absent in the later cancer stages </w:t>
            </w:r>
            <w:r>
              <w:fldChar w:fldCharType="begin"/>
            </w:r>
            <w:r>
              <w:instrText xml:space="preserve"> ADDIN EN.CITE &lt;EndNote&gt;&lt;Cite&gt;&lt;Author&gt;Gius&lt;/Author&gt;&lt;Year&gt;2007&lt;/Year&gt;&lt;RecNum&gt;869&lt;/RecNum&gt;&lt;DisplayText&gt;(1)&lt;/DisplayText&gt;&lt;record&gt;&lt;rec-number&gt;869&lt;/rec-number&gt;&lt;foreign-keys&gt;&lt;key app="EN" db-id="stttesaftr0zpqere5vxx5ept0wvpww5dtvx" timestamp="1486987817"&gt;869&lt;/key&gt;&lt;/foreign-keys&gt;&lt;ref-type name="Journal Article"&gt;17&lt;/ref-type&gt;&lt;contributors&gt;&lt;authors&gt;&lt;author&gt;Gius, David&lt;/author&gt;&lt;author&gt;Funk, Margo C.&lt;/author&gt;&lt;author&gt;Chuang, Eric Y.&lt;/author&gt;&lt;author&gt;Feng, Sheng&lt;/author&gt;&lt;author&gt;Huettner, Phyllis C.&lt;/author&gt;&lt;author&gt;Nguyen, Loan&lt;/author&gt;&lt;author&gt;Bradbury, C. Matthew&lt;/author&gt;&lt;author&gt;Mishra, Mark&lt;/author&gt;&lt;author&gt;Gao, Shuping&lt;/author&gt;&lt;author&gt;Buttin, Barbara M.&lt;/author&gt;&lt;author&gt;Cohn, David E.&lt;/author&gt;&lt;author&gt;Powell, Matthew A.&lt;/author&gt;&lt;author&gt;Horowitz, Neil S.&lt;/author&gt;&lt;author&gt;Whitcomb, Bradford P.&lt;/author&gt;&lt;author&gt;Rader, Janet S.&lt;/author&gt;&lt;/authors&gt;&lt;/contributors&gt;&lt;titles&gt;&lt;title&gt;Profiling Microdissected Epithelium and Stroma to Model Genomic Signatures for Cervical Carcinogenesis Accommodating for Covariates&lt;/title&gt;&lt;secondary-title&gt;Cancer Research&lt;/secondary-title&gt;&lt;/titles&gt;&lt;periodical&gt;&lt;full-title&gt;Cancer Research&lt;/full-title&gt;&lt;/periodical&gt;&lt;pages&gt;7113&lt;/pages&gt;&lt;volume&gt;67&lt;/volume&gt;&lt;number&gt;15&lt;/number&gt;&lt;dates&gt;&lt;year&gt;2007&lt;/year&gt;&lt;/dates&gt;&lt;work-type&gt;10.1158/0008-5472.CAN-07-0260&lt;/work-type&gt;&lt;urls&gt;&lt;related-urls&gt;&lt;url&gt;http://cancerres.aacrjournals.org/content/67/15/7113.abstract&lt;/url&gt;&lt;/related-urls&gt;&lt;/urls&gt;&lt;/record&gt;&lt;/Cite&gt;&lt;/EndNote&gt;</w:instrText>
            </w:r>
            <w:r>
              <w:fldChar w:fldCharType="separate"/>
            </w:r>
            <w:r>
              <w:rPr>
                <w:noProof/>
              </w:rPr>
              <w:t>(1)</w:t>
            </w:r>
            <w:r>
              <w:fldChar w:fldCharType="end"/>
            </w:r>
            <w:r>
              <w:t>. Cross-talk</w:t>
            </w:r>
            <w:r w:rsidRPr="00DE0BA1">
              <w:t xml:space="preserve"> between PPARα and ER </w:t>
            </w:r>
            <w:r>
              <w:t xml:space="preserve">has been reported to influence the effect of </w:t>
            </w:r>
            <w:r w:rsidRPr="00DE0BA1">
              <w:t>PPARα</w:t>
            </w:r>
            <w:r>
              <w:t xml:space="preserve"> on obesity and lipid metabolism </w:t>
            </w:r>
            <w:r>
              <w:fldChar w:fldCharType="begin"/>
            </w:r>
            <w:r>
              <w:instrText xml:space="preserve"> ADDIN EN.CITE &lt;EndNote&gt;&lt;Cite&gt;&lt;Author&gt;Jeong&lt;/Author&gt;&lt;Year&gt;2007&lt;/Year&gt;&lt;RecNum&gt;880&lt;/RecNum&gt;&lt;DisplayText&gt;(2)&lt;/DisplayText&gt;&lt;record&gt;&lt;rec-number&gt;880&lt;/rec-number&gt;&lt;foreign-keys&gt;&lt;key app="EN" db-id="stttesaftr0zpqere5vxx5ept0wvpww5dtvx" timestamp="1490345828"&gt;880&lt;/key&gt;&lt;/foreign-keys&gt;&lt;ref-type name="Journal Article"&gt;17&lt;/ref-type&gt;&lt;contributors&gt;&lt;authors&gt;&lt;author&gt;Jeong, Sunhyo&lt;/author&gt;&lt;author&gt;Yoon, Michung&lt;/author&gt;&lt;/authors&gt;&lt;/contributors&gt;&lt;titles&gt;&lt;title&gt;Inhibition of the Actions of Peroxisome Proliferator-activated Receptor α on Obesity by Estrogen&lt;/title&gt;&lt;secondary-title&gt;Obesity&lt;/secondary-title&gt;&lt;/titles&gt;&lt;periodical&gt;&lt;full-title&gt;Obesity&lt;/full-title&gt;&lt;/periodical&gt;&lt;pages&gt;1430-1440&lt;/pages&gt;&lt;volume&gt;15&lt;/volume&gt;&lt;number&gt;6&lt;/number&gt;&lt;keywords&gt;&lt;keyword&gt;peroxisome proliferator-activated&lt;/keyword&gt;&lt;keyword&gt;lipid metabolism&lt;/keyword&gt;&lt;keyword&gt;estrogen&lt;/keyword&gt;&lt;keyword&gt;women&lt;/keyword&gt;&lt;/keywords&gt;&lt;dates&gt;&lt;year&gt;2007&lt;/year&gt;&lt;/dates&gt;&lt;publisher&gt;Blackwell Publishing Ltd&lt;/publisher&gt;&lt;isbn&gt;1930-739X&lt;/isbn&gt;&lt;urls&gt;&lt;related-urls&gt;&lt;url&gt;http://dx.doi.org/10.1038/oby.2007.171&lt;/url&gt;&lt;/related-urls&gt;&lt;/urls&gt;&lt;electronic-resource-num&gt;10.1038/oby.2007.171&lt;/electronic-resource-num&gt;&lt;/record&gt;&lt;/Cite&gt;&lt;/EndNote&gt;</w:instrText>
            </w:r>
            <w:r>
              <w:fldChar w:fldCharType="separate"/>
            </w:r>
            <w:r>
              <w:rPr>
                <w:noProof/>
              </w:rPr>
              <w:t>(2)</w:t>
            </w:r>
            <w:r>
              <w:fldChar w:fldCharType="end"/>
            </w:r>
            <w:r>
              <w:t>.</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ADGRG6</w:t>
            </w:r>
          </w:p>
        </w:tc>
        <w:tc>
          <w:tcPr>
            <w:tcW w:w="1984" w:type="dxa"/>
            <w:vAlign w:val="bottom"/>
          </w:tcPr>
          <w:p w:rsidR="006D14C6" w:rsidRPr="0030332A" w:rsidRDefault="006D14C6" w:rsidP="00A15F5A">
            <w:pPr>
              <w:rPr>
                <w:rFonts w:ascii="Calibri" w:hAnsi="Calibri"/>
                <w:color w:val="000000"/>
              </w:rPr>
            </w:pPr>
            <w:r>
              <w:rPr>
                <w:rFonts w:ascii="Calibri" w:hAnsi="Calibri"/>
                <w:color w:val="000000"/>
              </w:rPr>
              <w:t>A</w:t>
            </w:r>
            <w:r w:rsidRPr="0030332A">
              <w:rPr>
                <w:rFonts w:ascii="Calibri" w:hAnsi="Calibri"/>
                <w:color w:val="000000"/>
              </w:rPr>
              <w:t>dhesion G Protein-Coupled Receptor G6</w:t>
            </w:r>
            <w:r>
              <w:rPr>
                <w:rFonts w:ascii="Calibri" w:hAnsi="Calibri"/>
                <w:color w:val="000000"/>
              </w:rPr>
              <w:t xml:space="preserve">; </w:t>
            </w:r>
            <w:r w:rsidRPr="005E0A67">
              <w:rPr>
                <w:rFonts w:ascii="Calibri" w:hAnsi="Calibri"/>
                <w:i/>
                <w:color w:val="000000"/>
              </w:rPr>
              <w:t>GPR126</w:t>
            </w:r>
          </w:p>
        </w:tc>
        <w:tc>
          <w:tcPr>
            <w:tcW w:w="6311" w:type="dxa"/>
            <w:vAlign w:val="bottom"/>
          </w:tcPr>
          <w:p w:rsidR="006D14C6" w:rsidRPr="0030332A" w:rsidRDefault="006D14C6" w:rsidP="00A15F5A">
            <w:pPr>
              <w:rPr>
                <w:rFonts w:ascii="Calibri" w:hAnsi="Calibri"/>
                <w:bCs/>
                <w:color w:val="000000"/>
              </w:rPr>
            </w:pPr>
            <w:r w:rsidRPr="0030332A">
              <w:rPr>
                <w:rFonts w:ascii="Calibri" w:hAnsi="Calibri"/>
                <w:bCs/>
                <w:color w:val="000000"/>
              </w:rPr>
              <w:t xml:space="preserve">G-protein coupled receptor which is activated by type IV collagen, a major constituent of the basement membrane. </w:t>
            </w:r>
            <w:r>
              <w:t>The a</w:t>
            </w:r>
            <w:r w:rsidRPr="0031797B">
              <w:t>dhesion G-protein coupled receptor G6</w:t>
            </w:r>
            <w:r>
              <w:t xml:space="preserve"> is associated with </w:t>
            </w:r>
            <w:r w:rsidRPr="0031797B">
              <w:t>angiogenesis by regulating endothelial cell proliferation, migration, and tube formation</w:t>
            </w:r>
            <w:r>
              <w:t xml:space="preserve"> </w:t>
            </w:r>
            <w:r>
              <w:fldChar w:fldCharType="begin"/>
            </w:r>
            <w:r>
              <w:instrText xml:space="preserve"> ADDIN EN.CITE &lt;EndNote&gt;&lt;Cite&gt;&lt;Author&gt;Cui&lt;/Author&gt;&lt;Year&gt;2014&lt;/Year&gt;&lt;RecNum&gt;871&lt;/RecNum&gt;&lt;DisplayText&gt;(3)&lt;/DisplayText&gt;&lt;record&gt;&lt;rec-number&gt;871&lt;/rec-number&gt;&lt;foreign-keys&gt;&lt;key app="EN" db-id="stttesaftr0zpqere5vxx5ept0wvpww5dtvx" timestamp="1487159008"&gt;871&lt;/key&gt;&lt;/foreign-keys&gt;&lt;ref-type name="Journal Article"&gt;17&lt;/ref-type&gt;&lt;contributors&gt;&lt;authors&gt;&lt;author&gt;Cui, Hengxiang&lt;/author&gt;&lt;author&gt;Wang, Yeqi&lt;/author&gt;&lt;author&gt;Huang, Huizhe&lt;/author&gt;&lt;author&gt;Yu, Wenjie&lt;/author&gt;&lt;author&gt;Bai, Min&lt;/author&gt;&lt;author&gt;Zhang, Long&lt;/author&gt;&lt;author&gt;Bryan, Brad A.&lt;/author&gt;&lt;author&gt;Wang, Yuan&lt;/author&gt;&lt;author&gt;Luo, Jian&lt;/author&gt;&lt;author&gt;Li, Dali&lt;/author&gt;&lt;author&gt;Ma, Yanlin&lt;/author&gt;&lt;author&gt;Liu, Mingyao&lt;/author&gt;&lt;/authors&gt;&lt;/contributors&gt;&lt;titles&gt;&lt;title&gt;GPR126 Protein Regulates Developmental and Pathological Angiogenesis through Modulation of VEGFR2 Receptor Signaling&lt;/title&gt;&lt;secondary-title&gt;The Journal of Biological Chemistry&lt;/secondary-title&gt;&lt;/titles&gt;&lt;periodical&gt;&lt;full-title&gt;The Journal of Biological Chemistry&lt;/full-title&gt;&lt;/periodical&gt;&lt;pages&gt;34871-34885&lt;/pages&gt;&lt;volume&gt;289&lt;/volume&gt;&lt;number&gt;50&lt;/number&gt;&lt;dates&gt;&lt;year&gt;2014&lt;/year&gt;&lt;pub-dates&gt;&lt;date&gt;09/12&amp;#xD;04/07/received&amp;#xD;08/30/revised&lt;/date&gt;&lt;/pub-dates&gt;&lt;/dates&gt;&lt;pub-location&gt;9650 Rockville Pike, Bethesda, MD 20814, U.S.A.&lt;/pub-location&gt;&lt;publisher&gt;American Society for Biochemistry and Molecular Biology&lt;/publisher&gt;&lt;isbn&gt;0021-9258&amp;#xD;1083-351X&lt;/isbn&gt;&lt;accession-num&gt;PMC4263886&lt;/accession-num&gt;&lt;urls&gt;&lt;related-urls&gt;&lt;url&gt;http://www.ncbi.nlm.nih.gov/pmc/articles/PMC4263886/&lt;/url&gt;&lt;/related-urls&gt;&lt;/urls&gt;&lt;electronic-resource-num&gt;10.1074/jbc.M114.571000&lt;/electronic-resource-num&gt;&lt;remote-database-name&gt;PMC&lt;/remote-database-name&gt;&lt;/record&gt;&lt;/Cite&gt;&lt;/EndNote&gt;</w:instrText>
            </w:r>
            <w:r>
              <w:fldChar w:fldCharType="separate"/>
            </w:r>
            <w:r>
              <w:rPr>
                <w:noProof/>
              </w:rPr>
              <w:t>(3)</w:t>
            </w:r>
            <w:r>
              <w:fldChar w:fldCharType="end"/>
            </w:r>
            <w:r>
              <w:t xml:space="preserve">. </w:t>
            </w:r>
            <w:r w:rsidRPr="001F6FC7">
              <w:rPr>
                <w:i/>
              </w:rPr>
              <w:t>ADGRG6</w:t>
            </w:r>
            <w:r>
              <w:t xml:space="preserve"> is part of the </w:t>
            </w:r>
            <w:proofErr w:type="spellStart"/>
            <w:r w:rsidRPr="001F6FC7">
              <w:t>M</w:t>
            </w:r>
            <w:r>
              <w:t>ammaprint</w:t>
            </w:r>
            <w:proofErr w:type="spellEnd"/>
            <w:r w:rsidRPr="001F6FC7">
              <w:t>®</w:t>
            </w:r>
            <w:r>
              <w:t xml:space="preserve"> gene signature </w:t>
            </w:r>
            <w:r>
              <w:fldChar w:fldCharType="begin">
                <w:fldData xml:space="preserve">PEVuZE5vdGU+PENpdGU+PEF1dGhvcj52YW4gJmFwb3M7dCBWZWVyPC9BdXRob3I+PFllYXI+MjAw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=
</w:fldData>
              </w:fldChar>
            </w:r>
            <w:r>
              <w:instrText xml:space="preserve"> ADDIN EN.CITE </w:instrText>
            </w:r>
            <w:r>
              <w:fldChar w:fldCharType="begin">
                <w:fldData xml:space="preserve">PEVuZE5vdGU+PENpdGU+PEF1dGhvcj52YW4gJmFwb3M7dCBWZWVyPC9BdXRob3I+PFllYXI+MjAw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=
</w:fldData>
              </w:fldChar>
            </w:r>
            <w:r>
              <w:instrText xml:space="preserve"> ADDIN EN.CITE.DATA </w:instrText>
            </w:r>
            <w:r>
              <w:fldChar w:fldCharType="end"/>
            </w:r>
            <w:r>
              <w:fldChar w:fldCharType="separate"/>
            </w:r>
            <w:r>
              <w:rPr>
                <w:noProof/>
              </w:rPr>
              <w:t>(4)</w:t>
            </w:r>
            <w:r>
              <w:fldChar w:fldCharType="end"/>
            </w:r>
            <w:r>
              <w:t>.</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BORCS6</w:t>
            </w:r>
          </w:p>
        </w:tc>
        <w:tc>
          <w:tcPr>
            <w:tcW w:w="1984" w:type="dxa"/>
            <w:vAlign w:val="bottom"/>
          </w:tcPr>
          <w:p w:rsidR="006D14C6" w:rsidRPr="0030332A" w:rsidRDefault="006D14C6" w:rsidP="00A15F5A">
            <w:pPr>
              <w:rPr>
                <w:rFonts w:ascii="Calibri" w:hAnsi="Calibri"/>
                <w:color w:val="000000"/>
              </w:rPr>
            </w:pPr>
            <w:r w:rsidRPr="0030332A">
              <w:rPr>
                <w:rFonts w:ascii="Calibri" w:hAnsi="Calibri"/>
                <w:color w:val="000000"/>
              </w:rPr>
              <w:t>BLOC-1 Related Complex Subunit 6</w:t>
            </w:r>
            <w:r>
              <w:rPr>
                <w:rFonts w:ascii="Calibri" w:hAnsi="Calibri"/>
                <w:color w:val="000000"/>
              </w:rPr>
              <w:t xml:space="preserve">; </w:t>
            </w:r>
            <w:r w:rsidRPr="00BA30F8">
              <w:rPr>
                <w:rFonts w:ascii="Calibri" w:hAnsi="Calibri"/>
                <w:i/>
                <w:color w:val="000000"/>
              </w:rPr>
              <w:t>C17orf59</w:t>
            </w:r>
          </w:p>
        </w:tc>
        <w:tc>
          <w:tcPr>
            <w:tcW w:w="6311" w:type="dxa"/>
            <w:vAlign w:val="bottom"/>
          </w:tcPr>
          <w:p w:rsidR="006D14C6" w:rsidRPr="0030332A" w:rsidRDefault="006D14C6" w:rsidP="00A15F5A">
            <w:pPr>
              <w:rPr>
                <w:rFonts w:ascii="Calibri" w:hAnsi="Calibri"/>
                <w:bCs/>
                <w:color w:val="000000"/>
              </w:rPr>
            </w:pPr>
            <w:r w:rsidRPr="0030332A">
              <w:rPr>
                <w:rFonts w:ascii="Calibri" w:hAnsi="Calibri"/>
                <w:bCs/>
                <w:color w:val="000000"/>
              </w:rPr>
              <w:t>Component of the BLOC-one-related complex (BORC)</w:t>
            </w:r>
            <w:r>
              <w:rPr>
                <w:rFonts w:ascii="Calibri" w:hAnsi="Calibri"/>
                <w:bCs/>
                <w:color w:val="000000"/>
              </w:rPr>
              <w:t xml:space="preserve"> which </w:t>
            </w:r>
            <w:r w:rsidRPr="0030332A">
              <w:rPr>
                <w:rFonts w:ascii="Calibri" w:hAnsi="Calibri"/>
                <w:bCs/>
                <w:color w:val="000000"/>
              </w:rPr>
              <w:t>may play a role in lysosomes movement and localization at the cell periphery.</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CCNA2</w:t>
            </w:r>
          </w:p>
        </w:tc>
        <w:tc>
          <w:tcPr>
            <w:tcW w:w="1984" w:type="dxa"/>
            <w:vAlign w:val="bottom"/>
          </w:tcPr>
          <w:p w:rsidR="006D14C6" w:rsidRPr="0030332A" w:rsidRDefault="006D14C6" w:rsidP="00A15F5A">
            <w:pPr>
              <w:rPr>
                <w:rFonts w:ascii="Calibri" w:hAnsi="Calibri"/>
                <w:color w:val="000000"/>
              </w:rPr>
            </w:pPr>
            <w:r w:rsidRPr="0004107B">
              <w:rPr>
                <w:rFonts w:ascii="Calibri" w:hAnsi="Calibri"/>
                <w:color w:val="000000"/>
              </w:rPr>
              <w:t>Cyclin A2</w:t>
            </w:r>
          </w:p>
        </w:tc>
        <w:tc>
          <w:tcPr>
            <w:tcW w:w="6311" w:type="dxa"/>
            <w:vAlign w:val="bottom"/>
          </w:tcPr>
          <w:p w:rsidR="006D14C6" w:rsidRPr="0030332A" w:rsidRDefault="006D14C6" w:rsidP="00A15F5A">
            <w:pPr>
              <w:rPr>
                <w:rFonts w:ascii="Calibri" w:hAnsi="Calibri"/>
                <w:color w:val="000000"/>
              </w:rPr>
            </w:pPr>
            <w:r>
              <w:rPr>
                <w:rFonts w:ascii="Calibri" w:hAnsi="Calibri"/>
                <w:color w:val="000000"/>
              </w:rPr>
              <w:t>B</w:t>
            </w:r>
            <w:r w:rsidRPr="0004107B">
              <w:rPr>
                <w:rFonts w:ascii="Calibri" w:hAnsi="Calibri"/>
                <w:color w:val="000000"/>
              </w:rPr>
              <w:t>inds and activates cyclin-dependent kinase 2 and thus promotes transition through G1/S and G2/M.</w:t>
            </w:r>
            <w:r>
              <w:rPr>
                <w:rFonts w:ascii="Calibri" w:hAnsi="Calibri"/>
                <w:color w:val="000000"/>
              </w:rPr>
              <w:t xml:space="preserve"> </w:t>
            </w:r>
            <w:r>
              <w:t>Over</w:t>
            </w:r>
            <w:r w:rsidRPr="00EF6155">
              <w:t xml:space="preserve">expression </w:t>
            </w:r>
            <w:r>
              <w:t>has been</w:t>
            </w:r>
            <w:r w:rsidRPr="00EF6155">
              <w:t xml:space="preserve"> associated with </w:t>
            </w:r>
            <w:proofErr w:type="spellStart"/>
            <w:r>
              <w:t>unfavourable</w:t>
            </w:r>
            <w:proofErr w:type="spellEnd"/>
            <w:r w:rsidRPr="00EF6155">
              <w:t xml:space="preserve"> survival </w:t>
            </w:r>
            <w:r>
              <w:t xml:space="preserve">in </w:t>
            </w:r>
            <w:r w:rsidRPr="00EF6155">
              <w:t>ER</w:t>
            </w:r>
            <w:r>
              <w:t>-positive</w:t>
            </w:r>
            <w:r w:rsidRPr="00EF6155">
              <w:t xml:space="preserve"> </w:t>
            </w:r>
            <w:r>
              <w:t>b</w:t>
            </w:r>
            <w:r w:rsidRPr="00EF6155">
              <w:t xml:space="preserve">reast </w:t>
            </w:r>
            <w:r>
              <w:t>c</w:t>
            </w:r>
            <w:r w:rsidRPr="00EF6155">
              <w:t>ancer</w:t>
            </w:r>
            <w:r>
              <w:t xml:space="preserve"> </w:t>
            </w:r>
            <w:r>
              <w:fldChar w:fldCharType="begin"/>
            </w:r>
            <w:r>
              <w:instrText xml:space="preserve"> ADDIN EN.CITE &lt;EndNote&gt;&lt;Cite&gt;&lt;Author&gt;Gao&lt;/Author&gt;&lt;Year&gt;2014&lt;/Year&gt;&lt;RecNum&gt;863&lt;/RecNum&gt;&lt;DisplayText&gt;(5)&lt;/DisplayText&gt;&lt;record&gt;&lt;rec-number&gt;863&lt;/rec-number&gt;&lt;foreign-keys&gt;&lt;key app="EN" db-id="stttesaftr0zpqere5vxx5ept0wvpww5dtvx" timestamp="1485872276"&gt;863&lt;/key&gt;&lt;/foreign-keys&gt;&lt;ref-type name="Journal Article"&gt;17&lt;/ref-type&gt;&lt;contributors&gt;&lt;authors&gt;&lt;author&gt;Gao, Tian&lt;/author&gt;&lt;author&gt;Han, Yong&lt;/author&gt;&lt;author&gt;Yu, Ling&lt;/author&gt;&lt;author&gt;Ao, Sheng&lt;/author&gt;&lt;author&gt;Li, Ziyu&lt;/author&gt;&lt;author&gt;Ji, Jiafu&lt;/author&gt;&lt;/authors&gt;&lt;/contributors&gt;&lt;titles&gt;&lt;title&gt;CCNA2 Is a Prognostic Biomarker for ER+ Breast Cancer and Tamoxifen Resistance&lt;/title&gt;&lt;secondary-title&gt;PLoS ONE&lt;/secondary-title&gt;&lt;/titles&gt;&lt;periodical&gt;&lt;full-title&gt;PLoS One&lt;/full-title&gt;&lt;/periodical&gt;&lt;pages&gt;e91771&lt;/pages&gt;&lt;volume&gt;9&lt;/volume&gt;&lt;number&gt;3&lt;/number&gt;&lt;dates&gt;&lt;year&gt;2014&lt;/year&gt;&lt;pub-dates&gt;&lt;date&gt;03/12&amp;#xD;10/01/received&amp;#xD;02/13/accepted&lt;/date&gt;&lt;/pub-dates&gt;&lt;/dates&gt;&lt;pub-location&gt;San Francisco, USA&lt;/pub-location&gt;&lt;publisher&gt;Public Library of Science&lt;/publisher&gt;&lt;isbn&gt;1932-6203&lt;/isbn&gt;&lt;accession-num&gt;PMC3951414&lt;/accession-num&gt;&lt;urls&gt;&lt;related-urls&gt;&lt;url&gt;http://www.ncbi.nlm.nih.gov/pmc/articles/PMC3951414/&lt;/url&gt;&lt;/related-urls&gt;&lt;/urls&gt;&lt;electronic-resource-num&gt;10.1371/journal.pone.0091771&lt;/electronic-resource-num&gt;&lt;remote-database-name&gt;PMC&lt;/remote-database-name&gt;&lt;/record&gt;&lt;/Cite&gt;&lt;/EndNote&gt;</w:instrText>
            </w:r>
            <w:r>
              <w:fldChar w:fldCharType="separate"/>
            </w:r>
            <w:r>
              <w:rPr>
                <w:noProof/>
              </w:rPr>
              <w:t>(5)</w:t>
            </w:r>
            <w:r>
              <w:fldChar w:fldCharType="end"/>
            </w:r>
            <w:r>
              <w:t>.</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CDCA5</w:t>
            </w:r>
          </w:p>
        </w:tc>
        <w:tc>
          <w:tcPr>
            <w:tcW w:w="1984" w:type="dxa"/>
            <w:vAlign w:val="bottom"/>
          </w:tcPr>
          <w:p w:rsidR="006D14C6" w:rsidRPr="0030332A" w:rsidRDefault="006D14C6" w:rsidP="00A15F5A">
            <w:pPr>
              <w:rPr>
                <w:rFonts w:ascii="Calibri" w:hAnsi="Calibri"/>
                <w:color w:val="000000"/>
              </w:rPr>
            </w:pPr>
            <w:r w:rsidRPr="0004107B">
              <w:rPr>
                <w:rFonts w:ascii="Calibri" w:hAnsi="Calibri"/>
                <w:color w:val="000000"/>
              </w:rPr>
              <w:t>Cell Division Cycle Associated 5</w:t>
            </w:r>
          </w:p>
        </w:tc>
        <w:tc>
          <w:tcPr>
            <w:tcW w:w="6311" w:type="dxa"/>
            <w:vAlign w:val="bottom"/>
          </w:tcPr>
          <w:p w:rsidR="006D14C6" w:rsidRPr="0030332A" w:rsidRDefault="006D14C6" w:rsidP="00A15F5A">
            <w:pPr>
              <w:rPr>
                <w:rFonts w:ascii="Calibri" w:hAnsi="Calibri"/>
                <w:color w:val="000000"/>
              </w:rPr>
            </w:pPr>
            <w:r w:rsidRPr="0004107B">
              <w:rPr>
                <w:rFonts w:ascii="Calibri" w:hAnsi="Calibri"/>
                <w:color w:val="000000"/>
              </w:rPr>
              <w:t xml:space="preserve">Regulator of sister chromatid cohesion in mitosis stabilizing </w:t>
            </w:r>
            <w:proofErr w:type="spellStart"/>
            <w:r w:rsidRPr="0004107B">
              <w:rPr>
                <w:rFonts w:ascii="Calibri" w:hAnsi="Calibri"/>
                <w:color w:val="000000"/>
              </w:rPr>
              <w:t>cohesin</w:t>
            </w:r>
            <w:proofErr w:type="spellEnd"/>
            <w:r w:rsidRPr="0004107B">
              <w:rPr>
                <w:rFonts w:ascii="Calibri" w:hAnsi="Calibri"/>
                <w:color w:val="000000"/>
              </w:rPr>
              <w:t xml:space="preserve"> complex association with chromatin. May antagonize the action of WAPL which stimulates </w:t>
            </w:r>
            <w:proofErr w:type="spellStart"/>
            <w:r w:rsidRPr="0004107B">
              <w:rPr>
                <w:rFonts w:ascii="Calibri" w:hAnsi="Calibri"/>
                <w:color w:val="000000"/>
              </w:rPr>
              <w:t>cohesin</w:t>
            </w:r>
            <w:proofErr w:type="spellEnd"/>
            <w:r w:rsidRPr="0004107B">
              <w:rPr>
                <w:rFonts w:ascii="Calibri" w:hAnsi="Calibri"/>
                <w:color w:val="000000"/>
              </w:rPr>
              <w:t xml:space="preserve"> dissociation from chromatin. Cohesion ensures that chromosome partitioning is accurate in both meiotic and mitotic cells and plays an important role in DNA repair. Required for efficient DNA double-stranded break repair</w:t>
            </w:r>
            <w:r>
              <w:rPr>
                <w:rFonts w:ascii="Calibri" w:hAnsi="Calibri"/>
                <w:color w:val="000000"/>
              </w:rPr>
              <w:t xml:space="preserve"> </w:t>
            </w:r>
            <w:r>
              <w:fldChar w:fldCharType="begin">
                <w:fldData xml:space="preserve">PEVuZE5vdGU+PENpdGU+PEF1dGhvcj5SYW5raW48L0F1dGhvcj48WWVhcj4yMDA1PC9ZZWFyPjxS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</w:fldData>
              </w:fldChar>
            </w:r>
            <w:r>
              <w:instrText xml:space="preserve"> ADDIN EN.CITE </w:instrText>
            </w:r>
            <w:r>
              <w:fldChar w:fldCharType="begin">
                <w:fldData xml:space="preserve">PEVuZE5vdGU+PENpdGU+PEF1dGhvcj5SYW5raW48L0F1dGhvcj48WWVhcj4yMDA1PC9ZZWFyPjxS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</w:fldData>
              </w:fldChar>
            </w:r>
            <w:r>
              <w:instrText xml:space="preserve"> ADDIN EN.CITE.DATA </w:instrText>
            </w:r>
            <w:r>
              <w:fldChar w:fldCharType="end"/>
            </w:r>
            <w:r>
              <w:fldChar w:fldCharType="separate"/>
            </w:r>
            <w:r>
              <w:rPr>
                <w:noProof/>
              </w:rPr>
              <w:t>(6)</w:t>
            </w:r>
            <w:r>
              <w:fldChar w:fldCharType="end"/>
            </w:r>
            <w:r w:rsidRPr="0004107B">
              <w:rPr>
                <w:rFonts w:ascii="Calibri" w:hAnsi="Calibri"/>
                <w:color w:val="000000"/>
              </w:rPr>
              <w:t>.</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CDKN2A</w:t>
            </w:r>
          </w:p>
        </w:tc>
        <w:tc>
          <w:tcPr>
            <w:tcW w:w="1984" w:type="dxa"/>
            <w:vAlign w:val="bottom"/>
          </w:tcPr>
          <w:p w:rsidR="006D14C6" w:rsidRPr="0030332A" w:rsidRDefault="006D14C6" w:rsidP="00A15F5A">
            <w:pPr>
              <w:rPr>
                <w:rFonts w:ascii="Calibri" w:hAnsi="Calibri"/>
                <w:color w:val="000000"/>
              </w:rPr>
            </w:pPr>
            <w:r w:rsidRPr="0004107B">
              <w:rPr>
                <w:rFonts w:ascii="Calibri" w:hAnsi="Calibri"/>
                <w:color w:val="000000"/>
              </w:rPr>
              <w:t>Cyclin Dependent Kinase Inhibitor 2A</w:t>
            </w:r>
          </w:p>
        </w:tc>
        <w:tc>
          <w:tcPr>
            <w:tcW w:w="6311" w:type="dxa"/>
            <w:vAlign w:val="bottom"/>
          </w:tcPr>
          <w:p w:rsidR="006D14C6" w:rsidRPr="0030332A" w:rsidRDefault="006D14C6" w:rsidP="00A15F5A">
            <w:pPr>
              <w:rPr>
                <w:rFonts w:ascii="Calibri" w:hAnsi="Calibri"/>
                <w:color w:val="000000"/>
              </w:rPr>
            </w:pPr>
            <w:r w:rsidRPr="00DB7A7C">
              <w:rPr>
                <w:rFonts w:ascii="Calibri" w:hAnsi="Calibri"/>
                <w:color w:val="000000"/>
              </w:rPr>
              <w:t>Capable of inducing cell cycle arrest in G1 and G2 phases. Acts as a tumor suppressor. Binds to MDM2 and blocks its nucleocytoplasmic shuttling by sequestering it in the nucleolus.</w:t>
            </w:r>
            <w:r>
              <w:t xml:space="preserve"> </w:t>
            </w:r>
            <w:r w:rsidRPr="00DB7A7C">
              <w:rPr>
                <w:rFonts w:ascii="Calibri" w:hAnsi="Calibri"/>
                <w:color w:val="000000"/>
              </w:rPr>
              <w:t>Also induces G2 arrest and apoptosis in a p53-independent manner by preventing the activation of cyclin B1/CDC2 complexes.</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FAM91A1</w:t>
            </w:r>
          </w:p>
        </w:tc>
        <w:tc>
          <w:tcPr>
            <w:tcW w:w="1984" w:type="dxa"/>
            <w:vAlign w:val="bottom"/>
          </w:tcPr>
          <w:p w:rsidR="006D14C6" w:rsidRPr="0030332A" w:rsidRDefault="006D14C6" w:rsidP="00A15F5A">
            <w:pPr>
              <w:rPr>
                <w:rFonts w:ascii="Calibri" w:hAnsi="Calibri"/>
                <w:color w:val="000000"/>
              </w:rPr>
            </w:pPr>
            <w:r w:rsidRPr="00DB7A7C">
              <w:rPr>
                <w:rFonts w:ascii="Calibri" w:hAnsi="Calibri"/>
                <w:color w:val="000000"/>
              </w:rPr>
              <w:t>Family With Sequence Similarity 91 Member A1</w:t>
            </w:r>
          </w:p>
        </w:tc>
        <w:tc>
          <w:tcPr>
            <w:tcW w:w="6311" w:type="dxa"/>
            <w:vAlign w:val="bottom"/>
          </w:tcPr>
          <w:p w:rsidR="006D14C6" w:rsidRPr="0030332A" w:rsidRDefault="006D14C6" w:rsidP="00A15F5A">
            <w:pPr>
              <w:rPr>
                <w:rFonts w:ascii="Calibri" w:hAnsi="Calibri"/>
                <w:bCs/>
                <w:color w:val="000000"/>
              </w:rPr>
            </w:pPr>
            <w:r w:rsidRPr="00FB3217">
              <w:rPr>
                <w:rFonts w:ascii="Calibri" w:hAnsi="Calibri"/>
                <w:bCs/>
                <w:i/>
                <w:color w:val="000000"/>
              </w:rPr>
              <w:t>FAM91A1</w:t>
            </w:r>
            <w:r w:rsidRPr="00DB7A7C">
              <w:rPr>
                <w:rFonts w:ascii="Calibri" w:hAnsi="Calibri"/>
                <w:bCs/>
                <w:color w:val="000000"/>
              </w:rPr>
              <w:t xml:space="preserve"> is a </w:t>
            </w:r>
            <w:r>
              <w:rPr>
                <w:rFonts w:ascii="Calibri" w:hAnsi="Calibri"/>
                <w:bCs/>
                <w:color w:val="000000"/>
              </w:rPr>
              <w:t>p</w:t>
            </w:r>
            <w:r w:rsidRPr="00DB7A7C">
              <w:rPr>
                <w:rFonts w:ascii="Calibri" w:hAnsi="Calibri"/>
                <w:bCs/>
                <w:color w:val="000000"/>
              </w:rPr>
              <w:t xml:space="preserve">rotein </w:t>
            </w:r>
            <w:r>
              <w:rPr>
                <w:rFonts w:ascii="Calibri" w:hAnsi="Calibri"/>
                <w:bCs/>
                <w:color w:val="000000"/>
              </w:rPr>
              <w:t>c</w:t>
            </w:r>
            <w:r w:rsidRPr="00DB7A7C">
              <w:rPr>
                <w:rFonts w:ascii="Calibri" w:hAnsi="Calibri"/>
                <w:bCs/>
                <w:color w:val="000000"/>
              </w:rPr>
              <w:t xml:space="preserve">oding gene. Among its related pathways </w:t>
            </w:r>
            <w:proofErr w:type="gramStart"/>
            <w:r w:rsidRPr="00DB7A7C">
              <w:rPr>
                <w:rFonts w:ascii="Calibri" w:hAnsi="Calibri"/>
                <w:bCs/>
                <w:color w:val="000000"/>
              </w:rPr>
              <w:t>are Gastric cancer network</w:t>
            </w:r>
            <w:proofErr w:type="gramEnd"/>
            <w:r w:rsidRPr="00DB7A7C">
              <w:rPr>
                <w:rFonts w:ascii="Calibri" w:hAnsi="Calibri"/>
                <w:bCs/>
                <w:color w:val="000000"/>
              </w:rPr>
              <w:t xml:space="preserve"> 2.</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HJURP</w:t>
            </w:r>
          </w:p>
        </w:tc>
        <w:tc>
          <w:tcPr>
            <w:tcW w:w="1984" w:type="dxa"/>
            <w:vAlign w:val="bottom"/>
          </w:tcPr>
          <w:p w:rsidR="006D14C6" w:rsidRPr="0030332A" w:rsidRDefault="006D14C6" w:rsidP="00A15F5A">
            <w:pPr>
              <w:rPr>
                <w:rFonts w:ascii="Calibri" w:hAnsi="Calibri"/>
                <w:color w:val="000000"/>
              </w:rPr>
            </w:pPr>
            <w:r w:rsidRPr="00DF385B">
              <w:t>Holliday Junction Recognition Protein</w:t>
            </w:r>
            <w:r>
              <w:t xml:space="preserve">; </w:t>
            </w:r>
            <w:r w:rsidRPr="00BA30F8">
              <w:rPr>
                <w:i/>
              </w:rPr>
              <w:t>DKFZp762E1312</w:t>
            </w:r>
            <w:r>
              <w:t xml:space="preserve">; </w:t>
            </w:r>
            <w:r w:rsidRPr="00BA30F8">
              <w:rPr>
                <w:i/>
              </w:rPr>
              <w:t>FAKTS</w:t>
            </w:r>
            <w:r>
              <w:t xml:space="preserve">; </w:t>
            </w:r>
            <w:r w:rsidRPr="00BA30F8">
              <w:rPr>
                <w:i/>
              </w:rPr>
              <w:t>URLC9</w:t>
            </w:r>
            <w:r>
              <w:t xml:space="preserve">; </w:t>
            </w:r>
            <w:r w:rsidRPr="00BA30F8">
              <w:rPr>
                <w:i/>
              </w:rPr>
              <w:t>hFLEG1</w:t>
            </w:r>
          </w:p>
        </w:tc>
        <w:tc>
          <w:tcPr>
            <w:tcW w:w="6311" w:type="dxa"/>
            <w:vAlign w:val="bottom"/>
          </w:tcPr>
          <w:p w:rsidR="006D14C6" w:rsidRPr="0032101B" w:rsidRDefault="006D14C6" w:rsidP="00A15F5A">
            <w:proofErr w:type="spellStart"/>
            <w:r w:rsidRPr="00DF385B">
              <w:t>Centromeric</w:t>
            </w:r>
            <w:proofErr w:type="spellEnd"/>
            <w:r w:rsidRPr="00DF385B">
              <w:t xml:space="preserve"> protein that plays a central role in the incorporation and maintenance of histone H3-like variant CENPA at centromeres.</w:t>
            </w:r>
            <w:r>
              <w:t xml:space="preserve"> </w:t>
            </w:r>
            <w:r w:rsidRPr="00DB7A7C">
              <w:t xml:space="preserve">Acts as a specific chaperone for CENPA and is required for the incorporation of newly synthesized CENPA molecules into nucleosomes at replicated centromeres. Prevents CENPA-H4 </w:t>
            </w:r>
            <w:proofErr w:type="spellStart"/>
            <w:r w:rsidRPr="00DB7A7C">
              <w:t>tetramerization</w:t>
            </w:r>
            <w:proofErr w:type="spellEnd"/>
            <w:r w:rsidRPr="00DB7A7C">
              <w:t xml:space="preserve"> and prevents premature DNA binding by the CENPA-H4 tetramer. Directly binds Holliday junctions.</w:t>
            </w:r>
            <w:r>
              <w:t xml:space="preserve"> Elevated expression levels have been connected to </w:t>
            </w:r>
            <w:proofErr w:type="spellStart"/>
            <w:r>
              <w:t>unfavourable</w:t>
            </w:r>
            <w:proofErr w:type="spellEnd"/>
            <w:r>
              <w:t xml:space="preserve"> prognosis in breast cancer </w:t>
            </w:r>
            <w:r>
              <w:fldChar w:fldCharType="begin">
                <w:fldData xml:space="preserve">PEVuZE5vdGU+PENpdGU+PEF1dGhvcj5IdTwvQXV0aG9yPjxZZWFyPjIwMTA8L1llYXI+PFJlY051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</w:fldData>
              </w:fldChar>
            </w:r>
            <w:r>
              <w:instrText xml:space="preserve"> ADDIN EN.CITE </w:instrText>
            </w:r>
            <w:r>
              <w:fldChar w:fldCharType="begin">
                <w:fldData xml:space="preserve">PEVuZE5vdGU+PENpdGU+PEF1dGhvcj5IdTwvQXV0aG9yPjxZZWFyPjIwMTA8L1llYXI+PFJlY051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</w:fldData>
              </w:fldChar>
            </w:r>
            <w:r>
              <w:instrText xml:space="preserve"> ADDIN EN.CITE.DATA </w:instrText>
            </w:r>
            <w:r>
              <w:fldChar w:fldCharType="end"/>
            </w:r>
            <w:r>
              <w:fldChar w:fldCharType="separate"/>
            </w:r>
            <w:r>
              <w:rPr>
                <w:noProof/>
              </w:rPr>
              <w:t>(7,8)</w:t>
            </w:r>
            <w:r>
              <w:fldChar w:fldCharType="end"/>
            </w:r>
            <w:r>
              <w:t xml:space="preserve">. Involved in </w:t>
            </w:r>
            <w:r w:rsidRPr="00DF25FA">
              <w:t xml:space="preserve">homologous recombination </w:t>
            </w:r>
            <w:r>
              <w:t>with</w:t>
            </w:r>
            <w:r w:rsidRPr="00DF25FA">
              <w:t xml:space="preserve">in the </w:t>
            </w:r>
            <w:r w:rsidRPr="00B56497">
              <w:t xml:space="preserve">DNA double-strand break repair pathway </w:t>
            </w:r>
            <w:r>
              <w:t>and</w:t>
            </w:r>
            <w:r w:rsidRPr="00DF25FA">
              <w:t xml:space="preserve"> </w:t>
            </w:r>
            <w:r>
              <w:t xml:space="preserve">might be an important </w:t>
            </w:r>
            <w:r w:rsidRPr="00DF25FA">
              <w:t>factor for chromosomal stability in cancer cells</w:t>
            </w:r>
            <w:r>
              <w:t xml:space="preserve"> </w:t>
            </w:r>
            <w:r>
              <w:fldChar w:fldCharType="begin">
                <w:fldData xml:space="preserve">PEVuZE5vdGU+PENpdGU+PEF1dGhvcj5LYXRvPC9BdXRob3I+PFllYXI+MjAwNzwvWWVhcj48UmVj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</w:fldData>
              </w:fldChar>
            </w:r>
            <w:r>
              <w:instrText xml:space="preserve"> ADDIN EN.CITE </w:instrText>
            </w:r>
            <w:r>
              <w:fldChar w:fldCharType="begin">
                <w:fldData xml:space="preserve">PEVuZE5vdGU+PENpdGU+PEF1dGhvcj5LYXRvPC9BdXRob3I+PFllYXI+MjAwNzwvWWVhcj48UmVj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</w:fldData>
              </w:fldChar>
            </w:r>
            <w:r>
              <w:instrText xml:space="preserve"> ADDIN EN.CITE.DATA </w:instrText>
            </w:r>
            <w:r>
              <w:fldChar w:fldCharType="end"/>
            </w:r>
            <w:r>
              <w:fldChar w:fldCharType="separate"/>
            </w:r>
            <w:r>
              <w:rPr>
                <w:noProof/>
              </w:rPr>
              <w:t>(9)</w:t>
            </w:r>
            <w:r>
              <w:fldChar w:fldCharType="end"/>
            </w:r>
            <w:r>
              <w:t>.</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HSPA14</w:t>
            </w:r>
          </w:p>
        </w:tc>
        <w:tc>
          <w:tcPr>
            <w:tcW w:w="1984" w:type="dxa"/>
            <w:vAlign w:val="bottom"/>
          </w:tcPr>
          <w:p w:rsidR="006D14C6" w:rsidRPr="0030332A" w:rsidRDefault="006D14C6" w:rsidP="00A15F5A">
            <w:pPr>
              <w:rPr>
                <w:rFonts w:ascii="Calibri" w:hAnsi="Calibri"/>
                <w:color w:val="000000"/>
              </w:rPr>
            </w:pPr>
            <w:r w:rsidRPr="00DB7A7C">
              <w:rPr>
                <w:rFonts w:ascii="Calibri" w:hAnsi="Calibri"/>
                <w:color w:val="000000"/>
              </w:rPr>
              <w:t>Heat Shock Protein Family A (Hsp70) Member 14</w:t>
            </w:r>
          </w:p>
        </w:tc>
        <w:tc>
          <w:tcPr>
            <w:tcW w:w="6311" w:type="dxa"/>
            <w:vAlign w:val="bottom"/>
          </w:tcPr>
          <w:p w:rsidR="006D14C6" w:rsidRPr="0030332A" w:rsidRDefault="006D14C6" w:rsidP="00A15F5A">
            <w:pPr>
              <w:rPr>
                <w:rFonts w:ascii="Calibri" w:hAnsi="Calibri"/>
                <w:bCs/>
                <w:color w:val="000000"/>
              </w:rPr>
            </w:pPr>
            <w:r w:rsidRPr="00DB7A7C">
              <w:rPr>
                <w:rFonts w:ascii="Calibri" w:hAnsi="Calibri"/>
                <w:bCs/>
                <w:color w:val="000000"/>
              </w:rPr>
              <w:t>Component of the ribosome-associated complex (RAC), a complex involved in folding or maintaining nascent polypeptides in a folding-competent state. In the RAC complex, binds to the nascent polypeptide chain, while DNAJC2 stimulates its ATPase activity.</w:t>
            </w:r>
            <w:r>
              <w:t xml:space="preserve"> The</w:t>
            </w:r>
            <w:r w:rsidRPr="00407928">
              <w:rPr>
                <w:i/>
              </w:rPr>
              <w:t xml:space="preserve"> </w:t>
            </w:r>
            <w:r w:rsidRPr="00362CBA">
              <w:rPr>
                <w:i/>
              </w:rPr>
              <w:t>HSPA14</w:t>
            </w:r>
            <w:r w:rsidRPr="00C90E1B">
              <w:t xml:space="preserve"> </w:t>
            </w:r>
            <w:r>
              <w:t xml:space="preserve">encoded heat shock protein is connected to chromosomal instability in </w:t>
            </w:r>
            <w:r w:rsidRPr="00077AF6">
              <w:t>Nijmegen breakage syndrome</w:t>
            </w:r>
            <w:r>
              <w:t xml:space="preserve"> as a part of a pathway to</w:t>
            </w:r>
            <w:r w:rsidRPr="00077AF6">
              <w:t xml:space="preserve"> </w:t>
            </w:r>
            <w:r>
              <w:t>i</w:t>
            </w:r>
            <w:r w:rsidRPr="00077AF6">
              <w:t>nduce migration, invasion, and transformation</w:t>
            </w:r>
            <w:r>
              <w:t xml:space="preserve"> </w:t>
            </w:r>
            <w:r>
              <w:fldChar w:fldCharType="begin">
                <w:fldData xml:space="preserve">PEVuZE5vdGU+PENpdGU+PEF1dGhvcj5XdTwvQXV0aG9yPjxZZWFyPjIwMTE8L1llYXI+PFJlY051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</w:fldData>
              </w:fldChar>
            </w:r>
            <w:r>
              <w:instrText xml:space="preserve"> ADDIN EN.CITE </w:instrText>
            </w:r>
            <w:r>
              <w:fldChar w:fldCharType="begin">
                <w:fldData xml:space="preserve">PEVuZE5vdGU+PENpdGU+PEF1dGhvcj5XdTwvQXV0aG9yPjxZZWFyPjIwMTE8L1llYXI+PFJlY051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</w:fldData>
              </w:fldChar>
            </w:r>
            <w:r>
              <w:instrText xml:space="preserve"> ADDIN EN.CITE.DATA </w:instrText>
            </w:r>
            <w:r>
              <w:fldChar w:fldCharType="end"/>
            </w:r>
            <w:r>
              <w:fldChar w:fldCharType="separate"/>
            </w:r>
            <w:r>
              <w:rPr>
                <w:noProof/>
              </w:rPr>
              <w:t>(10)</w:t>
            </w:r>
            <w:r>
              <w:fldChar w:fldCharType="end"/>
            </w:r>
            <w:r>
              <w:t>.</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KIAA0494</w:t>
            </w:r>
          </w:p>
        </w:tc>
        <w:tc>
          <w:tcPr>
            <w:tcW w:w="1984" w:type="dxa"/>
            <w:vAlign w:val="bottom"/>
          </w:tcPr>
          <w:p w:rsidR="006D14C6" w:rsidRPr="0030332A" w:rsidRDefault="006D14C6" w:rsidP="00A15F5A">
            <w:pPr>
              <w:rPr>
                <w:rFonts w:ascii="Calibri" w:hAnsi="Calibri"/>
                <w:color w:val="000000"/>
              </w:rPr>
            </w:pPr>
            <w:r w:rsidRPr="00BA30F8">
              <w:rPr>
                <w:i/>
              </w:rPr>
              <w:t>EFCAB14</w:t>
            </w:r>
            <w:r>
              <w:t xml:space="preserve">; </w:t>
            </w:r>
            <w:r w:rsidRPr="00F91843">
              <w:t>EF-Hand Calcium Binding Domain 14</w:t>
            </w:r>
          </w:p>
        </w:tc>
        <w:tc>
          <w:tcPr>
            <w:tcW w:w="6311" w:type="dxa"/>
            <w:vAlign w:val="bottom"/>
          </w:tcPr>
          <w:p w:rsidR="006D14C6" w:rsidRPr="0030332A" w:rsidRDefault="006D14C6" w:rsidP="00A15F5A">
            <w:pPr>
              <w:rPr>
                <w:rFonts w:ascii="Calibri" w:hAnsi="Calibri"/>
                <w:color w:val="000000"/>
              </w:rPr>
            </w:pPr>
            <w:r w:rsidRPr="00F91843">
              <w:t>GO annotations related to this gene include calcium ion binding.</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LRRCC1</w:t>
            </w:r>
          </w:p>
        </w:tc>
        <w:tc>
          <w:tcPr>
            <w:tcW w:w="1984" w:type="dxa"/>
            <w:vAlign w:val="bottom"/>
          </w:tcPr>
          <w:p w:rsidR="006D14C6" w:rsidRPr="0030332A" w:rsidRDefault="006D14C6" w:rsidP="00A15F5A">
            <w:pPr>
              <w:rPr>
                <w:rFonts w:ascii="Calibri" w:hAnsi="Calibri"/>
                <w:color w:val="000000"/>
              </w:rPr>
            </w:pPr>
            <w:r w:rsidRPr="00DB7A7C">
              <w:rPr>
                <w:rFonts w:ascii="Calibri" w:hAnsi="Calibri"/>
                <w:color w:val="000000"/>
              </w:rPr>
              <w:t xml:space="preserve">Leucine Rich Repeat And Coiled-Coil </w:t>
            </w:r>
            <w:proofErr w:type="spellStart"/>
            <w:r w:rsidRPr="00DB7A7C">
              <w:rPr>
                <w:rFonts w:ascii="Calibri" w:hAnsi="Calibri"/>
                <w:color w:val="000000"/>
              </w:rPr>
              <w:t>Centrosomal</w:t>
            </w:r>
            <w:proofErr w:type="spellEnd"/>
            <w:r w:rsidRPr="00DB7A7C">
              <w:rPr>
                <w:rFonts w:ascii="Calibri" w:hAnsi="Calibri"/>
                <w:color w:val="000000"/>
              </w:rPr>
              <w:t xml:space="preserve"> Protein 1</w:t>
            </w:r>
          </w:p>
        </w:tc>
        <w:tc>
          <w:tcPr>
            <w:tcW w:w="6311" w:type="dxa"/>
            <w:vAlign w:val="bottom"/>
          </w:tcPr>
          <w:p w:rsidR="006D14C6" w:rsidRPr="0030332A" w:rsidRDefault="006D14C6" w:rsidP="00A15F5A">
            <w:pPr>
              <w:rPr>
                <w:rFonts w:ascii="Calibri" w:hAnsi="Calibri"/>
                <w:bCs/>
                <w:color w:val="000000"/>
              </w:rPr>
            </w:pPr>
            <w:r w:rsidRPr="005C5BC1">
              <w:rPr>
                <w:rFonts w:ascii="Calibri" w:hAnsi="Calibri"/>
                <w:bCs/>
                <w:color w:val="000000"/>
              </w:rPr>
              <w:t>Required for the organization of the mitotic spindle. Maintains the structural integrity of centrosomes during mitosis.</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MTURN</w:t>
            </w:r>
          </w:p>
        </w:tc>
        <w:tc>
          <w:tcPr>
            <w:tcW w:w="1984" w:type="dxa"/>
            <w:vAlign w:val="bottom"/>
          </w:tcPr>
          <w:p w:rsidR="006D14C6" w:rsidRPr="0030332A" w:rsidRDefault="006D14C6" w:rsidP="00A15F5A">
            <w:pPr>
              <w:rPr>
                <w:rFonts w:ascii="Calibri" w:hAnsi="Calibri"/>
                <w:color w:val="000000"/>
              </w:rPr>
            </w:pPr>
            <w:r w:rsidRPr="005C5BC1">
              <w:rPr>
                <w:rFonts w:ascii="Calibri" w:hAnsi="Calibri"/>
                <w:color w:val="000000"/>
              </w:rPr>
              <w:t>Maturin</w:t>
            </w:r>
            <w:r>
              <w:rPr>
                <w:rFonts w:ascii="Calibri" w:hAnsi="Calibri"/>
                <w:color w:val="000000"/>
              </w:rPr>
              <w:t xml:space="preserve">; </w:t>
            </w:r>
            <w:r w:rsidRPr="00BA30F8">
              <w:rPr>
                <w:rFonts w:ascii="Calibri" w:hAnsi="Calibri"/>
                <w:i/>
                <w:color w:val="000000"/>
              </w:rPr>
              <w:t>C7orf41</w:t>
            </w:r>
          </w:p>
        </w:tc>
        <w:tc>
          <w:tcPr>
            <w:tcW w:w="6311" w:type="dxa"/>
            <w:vAlign w:val="bottom"/>
          </w:tcPr>
          <w:p w:rsidR="006D14C6" w:rsidRPr="0030332A" w:rsidRDefault="006D14C6" w:rsidP="00A15F5A">
            <w:pPr>
              <w:rPr>
                <w:rFonts w:ascii="Calibri" w:hAnsi="Calibri"/>
                <w:color w:val="000000"/>
              </w:rPr>
            </w:pPr>
            <w:r w:rsidRPr="005C5BC1">
              <w:rPr>
                <w:rFonts w:ascii="Calibri" w:hAnsi="Calibri"/>
                <w:color w:val="000000"/>
              </w:rPr>
              <w:t>May be involved in early neuronal development.</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NEIL3</w:t>
            </w:r>
          </w:p>
        </w:tc>
        <w:tc>
          <w:tcPr>
            <w:tcW w:w="1984" w:type="dxa"/>
            <w:vAlign w:val="bottom"/>
          </w:tcPr>
          <w:p w:rsidR="006D14C6" w:rsidRPr="0030332A" w:rsidRDefault="006D14C6" w:rsidP="00A15F5A">
            <w:pPr>
              <w:rPr>
                <w:rFonts w:ascii="Calibri" w:hAnsi="Calibri"/>
                <w:color w:val="000000"/>
              </w:rPr>
            </w:pPr>
            <w:proofErr w:type="spellStart"/>
            <w:r w:rsidRPr="005C5BC1">
              <w:rPr>
                <w:rFonts w:ascii="Calibri" w:hAnsi="Calibri"/>
                <w:color w:val="000000"/>
              </w:rPr>
              <w:t>Nei</w:t>
            </w:r>
            <w:proofErr w:type="spellEnd"/>
            <w:r w:rsidRPr="005C5BC1">
              <w:rPr>
                <w:rFonts w:ascii="Calibri" w:hAnsi="Calibri"/>
                <w:color w:val="000000"/>
              </w:rPr>
              <w:t xml:space="preserve"> Like DNA Glycosylase 3</w:t>
            </w:r>
          </w:p>
        </w:tc>
        <w:tc>
          <w:tcPr>
            <w:tcW w:w="6311" w:type="dxa"/>
            <w:vAlign w:val="bottom"/>
          </w:tcPr>
          <w:p w:rsidR="006D14C6" w:rsidRPr="0030332A" w:rsidRDefault="006D14C6" w:rsidP="00A15F5A">
            <w:pPr>
              <w:rPr>
                <w:rFonts w:ascii="Calibri" w:hAnsi="Calibri"/>
                <w:color w:val="000000"/>
              </w:rPr>
            </w:pPr>
            <w:r w:rsidRPr="005C5BC1">
              <w:rPr>
                <w:rFonts w:ascii="Calibri" w:hAnsi="Calibri"/>
                <w:color w:val="000000"/>
              </w:rPr>
              <w:t xml:space="preserve">NEIL3 belongs to a class of DNA glycosylases homologous to the bacterial </w:t>
            </w:r>
            <w:proofErr w:type="spellStart"/>
            <w:r w:rsidRPr="005C5BC1">
              <w:rPr>
                <w:rFonts w:ascii="Calibri" w:hAnsi="Calibri"/>
                <w:color w:val="000000"/>
              </w:rPr>
              <w:t>Fpg</w:t>
            </w:r>
            <w:proofErr w:type="spellEnd"/>
            <w:r w:rsidRPr="005C5BC1">
              <w:rPr>
                <w:rFonts w:ascii="Calibri" w:hAnsi="Calibri"/>
                <w:color w:val="000000"/>
              </w:rPr>
              <w:t>/</w:t>
            </w:r>
            <w:proofErr w:type="spellStart"/>
            <w:r w:rsidRPr="005C5BC1">
              <w:rPr>
                <w:rFonts w:ascii="Calibri" w:hAnsi="Calibri"/>
                <w:color w:val="000000"/>
              </w:rPr>
              <w:t>Nei</w:t>
            </w:r>
            <w:proofErr w:type="spellEnd"/>
            <w:r w:rsidRPr="005C5BC1">
              <w:rPr>
                <w:rFonts w:ascii="Calibri" w:hAnsi="Calibri"/>
                <w:color w:val="000000"/>
              </w:rPr>
              <w:t xml:space="preserve"> family. These glycosylases initiate the first step in base excision repair by cleaving bases damaged by reactive oxygen species and introducing a DNA strand break via the associated </w:t>
            </w:r>
            <w:proofErr w:type="spellStart"/>
            <w:r w:rsidRPr="005C5BC1">
              <w:rPr>
                <w:rFonts w:ascii="Calibri" w:hAnsi="Calibri"/>
                <w:color w:val="000000"/>
              </w:rPr>
              <w:t>lyase</w:t>
            </w:r>
            <w:proofErr w:type="spellEnd"/>
            <w:r w:rsidRPr="005C5BC1">
              <w:rPr>
                <w:rFonts w:ascii="Calibri" w:hAnsi="Calibri"/>
                <w:color w:val="000000"/>
              </w:rPr>
              <w:t xml:space="preserve"> reaction</w:t>
            </w:r>
            <w:r>
              <w:rPr>
                <w:rFonts w:ascii="Calibri" w:hAnsi="Calibri"/>
                <w:color w:val="000000"/>
              </w:rPr>
              <w:t xml:space="preserve">. </w:t>
            </w:r>
            <w:r>
              <w:t xml:space="preserve">The </w:t>
            </w:r>
            <w:r w:rsidRPr="00C0171F">
              <w:rPr>
                <w:i/>
              </w:rPr>
              <w:t>NEIL3</w:t>
            </w:r>
            <w:r>
              <w:t xml:space="preserve"> gene is associated with increased levels of somatic mutations and a poorer outcome in breast cancer </w:t>
            </w:r>
            <w:r>
              <w:fldChar w:fldCharType="begin"/>
            </w:r>
            <w:r>
              <w:instrText xml:space="preserve"> ADDIN EN.CITE &lt;EndNote&gt;&lt;Cite&gt;&lt;Author&gt;Shinmura&lt;/Author&gt;&lt;Year&gt;2016&lt;/Year&gt;&lt;RecNum&gt;876&lt;/RecNum&gt;&lt;DisplayText&gt;(11)&lt;/DisplayText&gt;&lt;record&gt;&lt;rec-number&gt;876&lt;/rec-number&gt;&lt;foreign-keys&gt;&lt;key app="EN" db-id="stttesaftr0zpqere5vxx5ept0wvpww5dtvx" timestamp="1487171280"&gt;876&lt;/key&gt;&lt;/foreign-keys&gt;&lt;ref-type name="Journal Article"&gt;17&lt;/ref-type&gt;&lt;contributors&gt;&lt;authors&gt;&lt;author&gt;Shinmura, Kazuya&lt;/author&gt;&lt;author&gt;Kato, Hisami&lt;/author&gt;&lt;author&gt;Kawanishi, Yuichi&lt;/author&gt;&lt;author&gt;Igarashi, Hisaki&lt;/author&gt;&lt;author&gt;Goto, Masanori&lt;/author&gt;&lt;author&gt;Tao, Hong&lt;/author&gt;&lt;author&gt;Inoue, Yusuke&lt;/author&gt;&lt;author&gt;Nakamura, Satoki&lt;/author&gt;&lt;author&gt;Misawa, Kiyoshi&lt;/author&gt;&lt;author&gt;Mineta, Hiroyuki&lt;/author&gt;&lt;author&gt;Sugimura, Haruhiko&lt;/author&gt;&lt;/authors&gt;&lt;/contributors&gt;&lt;titles&gt;&lt;title&gt;Abnormal Expressions of DNA Glycosylase Genes NEIL1, NEIL2, and NEIL3 Are Associated with Somatic Mutation Loads in Human Cancer&lt;/title&gt;&lt;secondary-title&gt;Oxidative Medicine and Cellular Longevity&lt;/secondary-title&gt;&lt;/titles&gt;&lt;periodical&gt;&lt;full-title&gt;Oxidative Medicine and Cellular Longevity&lt;/full-title&gt;&lt;/periodical&gt;&lt;pages&gt;1546392&lt;/pages&gt;&lt;volume&gt;2016&lt;/volume&gt;&lt;dates&gt;&lt;year&gt;2016&lt;/year&gt;&lt;pub-dates&gt;&lt;date&gt;03/03&amp;#xD;11/15/received&amp;#xD;01/23/revised&amp;#xD;01/31/accepted&lt;/date&gt;&lt;/pub-dates&gt;&lt;/dates&gt;&lt;publisher&gt;Hindawi Publishing Corporation&lt;/publisher&gt;&lt;isbn&gt;1942-0900&amp;#xD;1942-0994&lt;/isbn&gt;&lt;accession-num&gt;PMC4794593&lt;/accession-num&gt;&lt;urls&gt;&lt;related-urls&gt;&lt;url&gt;http://www.ncbi.nlm.nih.gov/pmc/articles/PMC4794593/&lt;/url&gt;&lt;/related-urls&gt;&lt;/urls&gt;&lt;electronic-resource-num&gt;10.1155/2016/1546392&lt;/electronic-resource-num&gt;&lt;remote-database-name&gt;PMC&lt;/remote-database-name&gt;&lt;/record&gt;&lt;/Cite&gt;&lt;/EndNote&gt;</w:instrText>
            </w:r>
            <w:r>
              <w:fldChar w:fldCharType="separate"/>
            </w:r>
            <w:r>
              <w:rPr>
                <w:noProof/>
              </w:rPr>
              <w:t>(11)</w:t>
            </w:r>
            <w:r>
              <w:fldChar w:fldCharType="end"/>
            </w:r>
            <w:r>
              <w:t>.</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PRR11</w:t>
            </w:r>
          </w:p>
        </w:tc>
        <w:tc>
          <w:tcPr>
            <w:tcW w:w="1984" w:type="dxa"/>
            <w:vAlign w:val="bottom"/>
          </w:tcPr>
          <w:p w:rsidR="006D14C6" w:rsidRPr="0030332A" w:rsidRDefault="006D14C6" w:rsidP="00A15F5A">
            <w:pPr>
              <w:rPr>
                <w:rFonts w:ascii="Calibri" w:hAnsi="Calibri"/>
                <w:color w:val="000000"/>
              </w:rPr>
            </w:pPr>
            <w:r w:rsidRPr="005C5BC1">
              <w:rPr>
                <w:rFonts w:ascii="Calibri" w:hAnsi="Calibri"/>
                <w:color w:val="000000"/>
              </w:rPr>
              <w:t>Proline Rich 11</w:t>
            </w:r>
          </w:p>
        </w:tc>
        <w:tc>
          <w:tcPr>
            <w:tcW w:w="6311" w:type="dxa"/>
            <w:vAlign w:val="bottom"/>
          </w:tcPr>
          <w:p w:rsidR="006D14C6" w:rsidRPr="0030332A" w:rsidRDefault="006D14C6" w:rsidP="00A15F5A">
            <w:pPr>
              <w:rPr>
                <w:rFonts w:ascii="Calibri" w:hAnsi="Calibri"/>
                <w:bCs/>
                <w:color w:val="000000"/>
              </w:rPr>
            </w:pPr>
            <w:r w:rsidRPr="005C5BC1">
              <w:rPr>
                <w:rFonts w:ascii="Calibri" w:hAnsi="Calibri"/>
                <w:bCs/>
                <w:color w:val="000000"/>
              </w:rPr>
              <w:t>Plays a critical role in cell cycle progression.</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SKA2</w:t>
            </w:r>
          </w:p>
        </w:tc>
        <w:tc>
          <w:tcPr>
            <w:tcW w:w="1984" w:type="dxa"/>
            <w:vAlign w:val="bottom"/>
          </w:tcPr>
          <w:p w:rsidR="006D14C6" w:rsidRPr="0030332A" w:rsidRDefault="006D14C6" w:rsidP="00A15F5A">
            <w:pPr>
              <w:rPr>
                <w:rFonts w:ascii="Calibri" w:hAnsi="Calibri"/>
                <w:color w:val="000000"/>
              </w:rPr>
            </w:pPr>
            <w:r w:rsidRPr="005C5BC1">
              <w:rPr>
                <w:rFonts w:ascii="Calibri" w:hAnsi="Calibri"/>
                <w:color w:val="000000"/>
              </w:rPr>
              <w:t>Spindle And Kinetochore Associated Complex Subunit 2</w:t>
            </w:r>
            <w:r>
              <w:rPr>
                <w:rFonts w:ascii="Calibri" w:hAnsi="Calibri"/>
                <w:color w:val="000000"/>
              </w:rPr>
              <w:t xml:space="preserve">; </w:t>
            </w:r>
            <w:r w:rsidRPr="00BA30F8">
              <w:rPr>
                <w:rFonts w:ascii="Calibri" w:hAnsi="Calibri"/>
                <w:i/>
                <w:color w:val="000000"/>
              </w:rPr>
              <w:t>FAM33A</w:t>
            </w:r>
          </w:p>
        </w:tc>
        <w:tc>
          <w:tcPr>
            <w:tcW w:w="6311" w:type="dxa"/>
            <w:vAlign w:val="bottom"/>
          </w:tcPr>
          <w:p w:rsidR="006D14C6" w:rsidRPr="0030332A" w:rsidRDefault="006D14C6" w:rsidP="00A15F5A">
            <w:pPr>
              <w:rPr>
                <w:rFonts w:ascii="Calibri" w:hAnsi="Calibri"/>
                <w:color w:val="000000"/>
              </w:rPr>
            </w:pPr>
            <w:r w:rsidRPr="005C5BC1">
              <w:rPr>
                <w:rFonts w:ascii="Calibri" w:hAnsi="Calibri"/>
                <w:color w:val="000000"/>
              </w:rPr>
              <w:t xml:space="preserve">Component of the SKA1 complex, a microtubule-binding </w:t>
            </w:r>
            <w:proofErr w:type="spellStart"/>
            <w:r w:rsidRPr="005C5BC1">
              <w:rPr>
                <w:rFonts w:ascii="Calibri" w:hAnsi="Calibri"/>
                <w:color w:val="000000"/>
              </w:rPr>
              <w:t>subcomplex</w:t>
            </w:r>
            <w:proofErr w:type="spellEnd"/>
            <w:r w:rsidRPr="005C5BC1">
              <w:rPr>
                <w:rFonts w:ascii="Calibri" w:hAnsi="Calibri"/>
                <w:color w:val="000000"/>
              </w:rPr>
              <w:t xml:space="preserve"> of the outer kinetochore that is essential for proper chromosome segregation. Required for timely anaphase onset during mitosis, when chromosomes undergo bipolar attachment on spindle microtubules leading to silencing of the spindle checkpoint</w:t>
            </w:r>
            <w:r>
              <w:rPr>
                <w:rFonts w:ascii="Calibri" w:hAnsi="Calibri"/>
                <w:color w:val="000000"/>
              </w:rPr>
              <w:t>.</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SNX8</w:t>
            </w:r>
          </w:p>
        </w:tc>
        <w:tc>
          <w:tcPr>
            <w:tcW w:w="1984" w:type="dxa"/>
            <w:vAlign w:val="bottom"/>
          </w:tcPr>
          <w:p w:rsidR="006D14C6" w:rsidRPr="0030332A" w:rsidRDefault="006D14C6" w:rsidP="00A15F5A">
            <w:pPr>
              <w:rPr>
                <w:rFonts w:ascii="Calibri" w:hAnsi="Calibri"/>
                <w:color w:val="000000"/>
              </w:rPr>
            </w:pPr>
            <w:r w:rsidRPr="005C5BC1">
              <w:rPr>
                <w:rFonts w:ascii="Calibri" w:hAnsi="Calibri"/>
                <w:color w:val="000000"/>
              </w:rPr>
              <w:t>Sorting Nexin 8</w:t>
            </w:r>
          </w:p>
        </w:tc>
        <w:tc>
          <w:tcPr>
            <w:tcW w:w="6311" w:type="dxa"/>
            <w:vAlign w:val="bottom"/>
          </w:tcPr>
          <w:p w:rsidR="006D14C6" w:rsidRPr="0030332A" w:rsidRDefault="006D14C6" w:rsidP="00A15F5A">
            <w:pPr>
              <w:rPr>
                <w:rFonts w:ascii="Calibri" w:hAnsi="Calibri"/>
                <w:color w:val="000000"/>
              </w:rPr>
            </w:pPr>
            <w:r w:rsidRPr="005C5BC1">
              <w:rPr>
                <w:rFonts w:ascii="Calibri" w:hAnsi="Calibri"/>
                <w:color w:val="000000"/>
              </w:rPr>
              <w:t>May be involved in several stages of intracellular trafficking. May play a role in intracellular protein transport from early endosomes to the trans-Golgi network.</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STAM</w:t>
            </w:r>
          </w:p>
        </w:tc>
        <w:tc>
          <w:tcPr>
            <w:tcW w:w="1984" w:type="dxa"/>
            <w:vAlign w:val="bottom"/>
          </w:tcPr>
          <w:p w:rsidR="006D14C6" w:rsidRPr="0030332A" w:rsidRDefault="006D14C6" w:rsidP="00A15F5A">
            <w:pPr>
              <w:rPr>
                <w:rFonts w:ascii="Calibri" w:hAnsi="Calibri"/>
                <w:color w:val="000000"/>
              </w:rPr>
            </w:pPr>
            <w:r w:rsidRPr="005C5BC1">
              <w:rPr>
                <w:rFonts w:ascii="Calibri" w:hAnsi="Calibri"/>
                <w:color w:val="000000"/>
              </w:rPr>
              <w:t>Signal Transducing Adaptor Molecule</w:t>
            </w:r>
          </w:p>
        </w:tc>
        <w:tc>
          <w:tcPr>
            <w:tcW w:w="6311" w:type="dxa"/>
            <w:vAlign w:val="bottom"/>
          </w:tcPr>
          <w:p w:rsidR="006D14C6" w:rsidRPr="0030332A" w:rsidRDefault="006D14C6" w:rsidP="00A15F5A">
            <w:pPr>
              <w:rPr>
                <w:rFonts w:ascii="Calibri" w:hAnsi="Calibri"/>
                <w:bCs/>
                <w:color w:val="000000"/>
              </w:rPr>
            </w:pPr>
            <w:r w:rsidRPr="005C5BC1">
              <w:rPr>
                <w:rFonts w:ascii="Calibri" w:hAnsi="Calibri"/>
                <w:bCs/>
                <w:color w:val="000000"/>
              </w:rPr>
              <w:t>Involved in intracellular signal transduction mediated by cytokines and growth factors. Upon IL-2 and GM-CSL stimulation, it plays a role in signaling leading to DNA synthesis and MYC induction. May also play a role in T-cell development.</w:t>
            </w:r>
          </w:p>
        </w:tc>
      </w:tr>
      <w:tr w:rsidR="006D14C6" w:rsidRPr="00DF385B" w:rsidTr="00A15F5A">
        <w:tc>
          <w:tcPr>
            <w:tcW w:w="1101" w:type="dxa"/>
            <w:vAlign w:val="bottom"/>
          </w:tcPr>
          <w:p w:rsidR="006D14C6" w:rsidRPr="00D525F4" w:rsidRDefault="006D14C6" w:rsidP="00A15F5A">
            <w:pPr>
              <w:rPr>
                <w:rFonts w:ascii="Calibri" w:hAnsi="Calibri"/>
                <w:i/>
                <w:color w:val="000000"/>
              </w:rPr>
            </w:pPr>
            <w:r w:rsidRPr="00D525F4">
              <w:rPr>
                <w:rFonts w:ascii="Calibri" w:hAnsi="Calibri"/>
                <w:i/>
                <w:color w:val="000000"/>
              </w:rPr>
              <w:t>TRIP13</w:t>
            </w:r>
          </w:p>
        </w:tc>
        <w:tc>
          <w:tcPr>
            <w:tcW w:w="1984" w:type="dxa"/>
            <w:vAlign w:val="bottom"/>
          </w:tcPr>
          <w:p w:rsidR="006D14C6" w:rsidRPr="0030332A" w:rsidRDefault="006D14C6" w:rsidP="00A15F5A">
            <w:pPr>
              <w:rPr>
                <w:rFonts w:ascii="Calibri" w:hAnsi="Calibri"/>
                <w:color w:val="000000"/>
              </w:rPr>
            </w:pPr>
            <w:r w:rsidRPr="005C5BC1">
              <w:rPr>
                <w:rFonts w:ascii="Calibri" w:hAnsi="Calibri"/>
                <w:color w:val="000000"/>
              </w:rPr>
              <w:t>Thyroid Hormone Receptor Interactor 13</w:t>
            </w:r>
          </w:p>
        </w:tc>
        <w:tc>
          <w:tcPr>
            <w:tcW w:w="6311" w:type="dxa"/>
            <w:vAlign w:val="bottom"/>
          </w:tcPr>
          <w:p w:rsidR="006D14C6" w:rsidRPr="0030332A" w:rsidRDefault="006D14C6" w:rsidP="00A15F5A">
            <w:pPr>
              <w:rPr>
                <w:rFonts w:ascii="Calibri" w:hAnsi="Calibri"/>
                <w:color w:val="000000"/>
              </w:rPr>
            </w:pPr>
            <w:r w:rsidRPr="005C5BC1">
              <w:rPr>
                <w:rFonts w:ascii="Calibri" w:hAnsi="Calibri"/>
                <w:color w:val="000000"/>
              </w:rPr>
              <w:t>Plays a key role in chromosome recombination and chromosome structure development during meiosis. Required at early steps in meiotic recombination that leads to non-crossovers pathways. Also needed for efficient completion of homologous synapsis by influencing crossover distribution along the chromosomes affecting both crossovers and non-crossovers pathways. Promotes early steps of the DNA double-strand breaks (DSBs) repair process upstream of the assembly of RAD51 complexes.</w:t>
            </w:r>
            <w:r>
              <w:rPr>
                <w:rFonts w:ascii="Calibri" w:hAnsi="Calibri"/>
                <w:color w:val="000000"/>
              </w:rPr>
              <w:t xml:space="preserve"> </w:t>
            </w:r>
            <w:r>
              <w:t>Functions as a</w:t>
            </w:r>
            <w:r w:rsidRPr="008C7A37">
              <w:t xml:space="preserve"> mitotic checkpoint-silencing protein</w:t>
            </w:r>
            <w:r>
              <w:t xml:space="preserve"> and has been</w:t>
            </w:r>
            <w:r w:rsidRPr="008C7A37">
              <w:t xml:space="preserve"> associated with </w:t>
            </w:r>
            <w:proofErr w:type="spellStart"/>
            <w:r>
              <w:t>unfavourable</w:t>
            </w:r>
            <w:proofErr w:type="spellEnd"/>
            <w:r w:rsidRPr="008C7A37">
              <w:t xml:space="preserve"> clinical outcome </w:t>
            </w:r>
            <w:r>
              <w:t xml:space="preserve">and chromosome instability </w:t>
            </w:r>
            <w:r w:rsidRPr="008C7A37">
              <w:t>of breast cancer patients</w:t>
            </w:r>
            <w:r>
              <w:t xml:space="preserve"> </w:t>
            </w:r>
            <w:r>
              <w:fldChar w:fldCharType="begin">
                <w:fldData xml:space="preserve">PEVuZE5vdGU+PENpdGU+PEF1dGhvcj5NYXVyaXppbzwvQXV0aG9yPjxZZWFyPjIwMTY8L1llYXI+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</w:fldData>
              </w:fldChar>
            </w:r>
            <w:r>
              <w:instrText xml:space="preserve"> ADDIN EN.CITE </w:instrText>
            </w:r>
            <w:r>
              <w:fldChar w:fldCharType="begin">
                <w:fldData xml:space="preserve">PEVuZE5vdGU+PENpdGU+PEF1dGhvcj5NYXVyaXppbzwvQXV0aG9yPjxZZWFyPjIwMTY8L1llYXI+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</w:fldData>
              </w:fldChar>
            </w:r>
            <w:r>
              <w:instrText xml:space="preserve"> ADDIN EN.CITE.DATA </w:instrText>
            </w:r>
            <w:r>
              <w:fldChar w:fldCharType="end"/>
            </w:r>
            <w:r>
              <w:fldChar w:fldCharType="separate"/>
            </w:r>
            <w:r>
              <w:rPr>
                <w:noProof/>
              </w:rPr>
              <w:t>(12,13)</w:t>
            </w:r>
            <w:r>
              <w:fldChar w:fldCharType="end"/>
            </w:r>
            <w:r>
              <w:t>.</w:t>
            </w:r>
          </w:p>
        </w:tc>
      </w:tr>
    </w:tbl>
    <w:p w:rsidR="006D14C6" w:rsidRDefault="006D14C6" w:rsidP="006D14C6">
      <w:pPr>
        <w:rPr>
          <w:highlight w:val="yellow"/>
        </w:rPr>
      </w:pPr>
    </w:p>
    <w:p w:rsidR="006D14C6" w:rsidRDefault="006D14C6" w:rsidP="006D14C6">
      <w:pPr>
        <w:rPr>
          <w:highlight w:val="yellow"/>
        </w:rPr>
      </w:pPr>
    </w:p>
    <w:p w:rsidR="006D14C6" w:rsidRDefault="006D14C6">
      <w:r>
        <w:br w:type="page"/>
      </w:r>
    </w:p>
    <w:p w:rsidR="006D14C6" w:rsidRDefault="006D14C6" w:rsidP="006D14C6">
      <w:r>
        <w:t>References:</w:t>
      </w:r>
    </w:p>
    <w:p w:rsidR="006D14C6" w:rsidRPr="0032101B" w:rsidRDefault="006D14C6" w:rsidP="006D14C6">
      <w:pPr>
        <w:pStyle w:val="EndNoteBibliography"/>
        <w:spacing w:after="0"/>
        <w:ind w:left="720" w:hanging="720"/>
      </w:pPr>
      <w:r>
        <w:fldChar w:fldCharType="begin"/>
      </w:r>
      <w:r>
        <w:instrText xml:space="preserve"> ADDIN EN.REFLIST </w:instrText>
      </w:r>
      <w:r>
        <w:fldChar w:fldCharType="separate"/>
      </w:r>
      <w:r w:rsidRPr="0032101B">
        <w:t>1.</w:t>
      </w:r>
      <w:r w:rsidRPr="0032101B">
        <w:tab/>
        <w:t>Gius D, Funk MC, Chuang EY, Feng S, Huettner PC, Nguyen L</w:t>
      </w:r>
      <w:r w:rsidRPr="0032101B">
        <w:rPr>
          <w:i/>
        </w:rPr>
        <w:t>, et al.</w:t>
      </w:r>
      <w:r w:rsidRPr="0032101B">
        <w:t xml:space="preserve"> Profiling Microdissected Epithelium and Stroma to Model Genomic Signatures for Cervical Carcinogenesis Accommodating for Covariates. Cancer Research </w:t>
      </w:r>
      <w:r w:rsidRPr="0032101B">
        <w:rPr>
          <w:b/>
        </w:rPr>
        <w:t>2007</w:t>
      </w:r>
      <w:r w:rsidRPr="0032101B">
        <w:t>;67(15):7113.</w:t>
      </w:r>
    </w:p>
    <w:p w:rsidR="006D14C6" w:rsidRPr="0032101B" w:rsidRDefault="006D14C6" w:rsidP="006D14C6">
      <w:pPr>
        <w:pStyle w:val="EndNoteBibliography"/>
        <w:spacing w:after="0"/>
        <w:ind w:left="720" w:hanging="720"/>
      </w:pPr>
      <w:r w:rsidRPr="0032101B">
        <w:t>2.</w:t>
      </w:r>
      <w:r w:rsidRPr="0032101B">
        <w:tab/>
        <w:t xml:space="preserve">Jeong S, Yoon M. Inhibition of the Actions of Peroxisome Proliferator-activated Receptor α on Obesity by Estrogen. Obesity </w:t>
      </w:r>
      <w:r w:rsidRPr="0032101B">
        <w:rPr>
          <w:b/>
        </w:rPr>
        <w:t>2007</w:t>
      </w:r>
      <w:r w:rsidRPr="0032101B">
        <w:t>;15(6):1430-40 doi 10.1038/oby.2007.171.</w:t>
      </w:r>
    </w:p>
    <w:p w:rsidR="006D14C6" w:rsidRPr="0032101B" w:rsidRDefault="006D14C6" w:rsidP="006D14C6">
      <w:pPr>
        <w:pStyle w:val="EndNoteBibliography"/>
        <w:spacing w:after="0"/>
        <w:ind w:left="720" w:hanging="720"/>
      </w:pPr>
      <w:r w:rsidRPr="0032101B">
        <w:t>3.</w:t>
      </w:r>
      <w:r w:rsidRPr="0032101B">
        <w:tab/>
        <w:t>Cui H, Wang Y, Huang H, Yu W, Bai M, Zhang L</w:t>
      </w:r>
      <w:r w:rsidRPr="0032101B">
        <w:rPr>
          <w:i/>
        </w:rPr>
        <w:t>, et al.</w:t>
      </w:r>
      <w:r w:rsidRPr="0032101B">
        <w:t xml:space="preserve"> GPR126 Protein Regulates Developmental and Pathological Angiogenesis through Modulation of VEGFR2 Receptor Signaling. The Journal of Biological Chemistry </w:t>
      </w:r>
      <w:r w:rsidRPr="0032101B">
        <w:rPr>
          <w:b/>
        </w:rPr>
        <w:t>2014</w:t>
      </w:r>
      <w:r w:rsidRPr="0032101B">
        <w:t>;289(50):34871-85 doi 10.1074/jbc.M114.571000.</w:t>
      </w:r>
    </w:p>
    <w:p w:rsidR="006D14C6" w:rsidRPr="0032101B" w:rsidRDefault="006D14C6" w:rsidP="006D14C6">
      <w:pPr>
        <w:pStyle w:val="EndNoteBibliography"/>
        <w:spacing w:after="0"/>
        <w:ind w:left="720" w:hanging="720"/>
      </w:pPr>
      <w:r w:rsidRPr="0032101B">
        <w:t>4.</w:t>
      </w:r>
      <w:r w:rsidRPr="0032101B">
        <w:tab/>
        <w:t>van 't Veer LJ, Dai H, van de Vijver MJ, He YD, Hart AA, Mao M</w:t>
      </w:r>
      <w:r w:rsidRPr="0032101B">
        <w:rPr>
          <w:i/>
        </w:rPr>
        <w:t>, et al.</w:t>
      </w:r>
      <w:r w:rsidRPr="0032101B">
        <w:t xml:space="preserve"> Gene expression profiling predicts clinical outcome of breast cancer. Nature </w:t>
      </w:r>
      <w:r w:rsidRPr="0032101B">
        <w:rPr>
          <w:b/>
        </w:rPr>
        <w:t>2002</w:t>
      </w:r>
      <w:r w:rsidRPr="0032101B">
        <w:t>;415(6871):530-6 doi 10.1038/415530a.</w:t>
      </w:r>
    </w:p>
    <w:p w:rsidR="006D14C6" w:rsidRPr="0032101B" w:rsidRDefault="006D14C6" w:rsidP="006D14C6">
      <w:pPr>
        <w:pStyle w:val="EndNoteBibliography"/>
        <w:spacing w:after="0"/>
        <w:ind w:left="720" w:hanging="720"/>
      </w:pPr>
      <w:r w:rsidRPr="0032101B">
        <w:t>5.</w:t>
      </w:r>
      <w:r w:rsidRPr="0032101B">
        <w:tab/>
        <w:t xml:space="preserve">Gao T, Han Y, Yu L, Ao S, Li Z, Ji J. CCNA2 Is a Prognostic Biomarker for ER+ Breast Cancer and Tamoxifen Resistance. PLoS ONE </w:t>
      </w:r>
      <w:r w:rsidRPr="0032101B">
        <w:rPr>
          <w:b/>
        </w:rPr>
        <w:t>2014</w:t>
      </w:r>
      <w:r w:rsidRPr="0032101B">
        <w:t>;9(3):e91771 doi 10.1371/journal.pone.0091771.</w:t>
      </w:r>
    </w:p>
    <w:p w:rsidR="006D14C6" w:rsidRPr="0032101B" w:rsidRDefault="006D14C6" w:rsidP="006D14C6">
      <w:pPr>
        <w:pStyle w:val="EndNoteBibliography"/>
        <w:spacing w:after="0"/>
        <w:ind w:left="720" w:hanging="720"/>
      </w:pPr>
      <w:r w:rsidRPr="0032101B">
        <w:t>6.</w:t>
      </w:r>
      <w:r w:rsidRPr="0032101B">
        <w:tab/>
        <w:t xml:space="preserve">Rankin S, Ayad NG, Kirschner MW. Sororin, a substrate of the anaphase-promoting complex, is required for sister chromatid cohesion in vertebrates. Mol Cell </w:t>
      </w:r>
      <w:r w:rsidRPr="0032101B">
        <w:rPr>
          <w:b/>
        </w:rPr>
        <w:t>2005</w:t>
      </w:r>
      <w:r w:rsidRPr="0032101B">
        <w:t>;18(2):185-200 doi 10.1016/j.molcel.2005.03.017.</w:t>
      </w:r>
    </w:p>
    <w:p w:rsidR="006D14C6" w:rsidRPr="0032101B" w:rsidRDefault="006D14C6" w:rsidP="006D14C6">
      <w:pPr>
        <w:pStyle w:val="EndNoteBibliography"/>
        <w:spacing w:after="0"/>
        <w:ind w:left="720" w:hanging="720"/>
      </w:pPr>
      <w:r w:rsidRPr="0032101B">
        <w:t>7.</w:t>
      </w:r>
      <w:r w:rsidRPr="0032101B">
        <w:tab/>
        <w:t>Hu Z, Huang G, Sadanandam A, Gu S, Lenburg ME, Pai M</w:t>
      </w:r>
      <w:r w:rsidRPr="0032101B">
        <w:rPr>
          <w:i/>
        </w:rPr>
        <w:t>, et al.</w:t>
      </w:r>
      <w:r w:rsidRPr="0032101B">
        <w:t xml:space="preserve"> The expression level of HJURP has an independent prognostic impact and predicts the sensitivity to radiotherapy in breast cancer. Breast Cancer Research : BCR </w:t>
      </w:r>
      <w:r w:rsidRPr="0032101B">
        <w:rPr>
          <w:b/>
        </w:rPr>
        <w:t>2010</w:t>
      </w:r>
      <w:r w:rsidRPr="0032101B">
        <w:t>;12(2):R18-R doi 10.1186/bcr2487.</w:t>
      </w:r>
    </w:p>
    <w:p w:rsidR="006D14C6" w:rsidRPr="0032101B" w:rsidRDefault="006D14C6" w:rsidP="006D14C6">
      <w:pPr>
        <w:pStyle w:val="EndNoteBibliography"/>
        <w:spacing w:after="0"/>
        <w:ind w:left="720" w:hanging="720"/>
      </w:pPr>
      <w:r w:rsidRPr="0032101B">
        <w:t>8.</w:t>
      </w:r>
      <w:r w:rsidRPr="0032101B">
        <w:tab/>
        <w:t>Montes de Oca R, Gurard-Levin ZA, Berger F, Rehman H, Martel E, Corpet A</w:t>
      </w:r>
      <w:r w:rsidRPr="0032101B">
        <w:rPr>
          <w:i/>
        </w:rPr>
        <w:t>, et al.</w:t>
      </w:r>
      <w:r w:rsidRPr="0032101B">
        <w:t xml:space="preserve"> The histone chaperone HJURP is a new independent prognostic marker for luminal A breast carcinoma. Molecular oncology </w:t>
      </w:r>
      <w:r w:rsidRPr="0032101B">
        <w:rPr>
          <w:b/>
        </w:rPr>
        <w:t>2015</w:t>
      </w:r>
      <w:r w:rsidRPr="0032101B">
        <w:t>;9(3):657-74 doi 10.1016/j.molonc.2014.11.002.</w:t>
      </w:r>
    </w:p>
    <w:p w:rsidR="006D14C6" w:rsidRPr="0032101B" w:rsidRDefault="006D14C6" w:rsidP="006D14C6">
      <w:pPr>
        <w:pStyle w:val="EndNoteBibliography"/>
        <w:spacing w:after="0"/>
        <w:ind w:left="720" w:hanging="720"/>
      </w:pPr>
      <w:r w:rsidRPr="0032101B">
        <w:t>9.</w:t>
      </w:r>
      <w:r w:rsidRPr="0032101B">
        <w:tab/>
        <w:t>Kato T, Sato N, Hayama S, Yamabuki T, Ito T, Miyamoto M</w:t>
      </w:r>
      <w:r w:rsidRPr="0032101B">
        <w:rPr>
          <w:i/>
        </w:rPr>
        <w:t>, et al.</w:t>
      </w:r>
      <w:r w:rsidRPr="0032101B">
        <w:t xml:space="preserve"> Activation of Holliday junction recognizing protein involved in the chromosomal stability and immortality of cancer cells. Cancer Res </w:t>
      </w:r>
      <w:r w:rsidRPr="0032101B">
        <w:rPr>
          <w:b/>
        </w:rPr>
        <w:t>2007</w:t>
      </w:r>
      <w:r w:rsidRPr="0032101B">
        <w:t>;67(18):8544-53 doi 10.1158/0008-5472.can-07-1307.</w:t>
      </w:r>
    </w:p>
    <w:p w:rsidR="006D14C6" w:rsidRPr="0032101B" w:rsidRDefault="006D14C6" w:rsidP="006D14C6">
      <w:pPr>
        <w:pStyle w:val="EndNoteBibliography"/>
        <w:spacing w:after="0"/>
        <w:ind w:left="720" w:hanging="720"/>
      </w:pPr>
      <w:r w:rsidRPr="0032101B">
        <w:t>10.</w:t>
      </w:r>
      <w:r w:rsidRPr="0032101B">
        <w:tab/>
        <w:t xml:space="preserve">Wu CY, Lin CT, Wu MZ, Wu KJ. Induction of HSPA4 and HSPA14 by NBS1 overexpression contributes to NBS1-induced in vitro metastatic and transformation activity. Journal of biomedical science </w:t>
      </w:r>
      <w:r w:rsidRPr="0032101B">
        <w:rPr>
          <w:b/>
        </w:rPr>
        <w:t>2011</w:t>
      </w:r>
      <w:r w:rsidRPr="0032101B">
        <w:t>;18:1 doi 10.1186/1423-0127-18-1.</w:t>
      </w:r>
    </w:p>
    <w:p w:rsidR="006D14C6" w:rsidRPr="0032101B" w:rsidRDefault="006D14C6" w:rsidP="006D14C6">
      <w:pPr>
        <w:pStyle w:val="EndNoteBibliography"/>
        <w:spacing w:after="0"/>
        <w:ind w:left="720" w:hanging="720"/>
      </w:pPr>
      <w:r w:rsidRPr="0032101B">
        <w:t>11.</w:t>
      </w:r>
      <w:r w:rsidRPr="0032101B">
        <w:tab/>
        <w:t>Shinmura K, Kato H, Kawanishi Y, Igarashi H, Goto M, Tao H</w:t>
      </w:r>
      <w:r w:rsidRPr="0032101B">
        <w:rPr>
          <w:i/>
        </w:rPr>
        <w:t>, et al.</w:t>
      </w:r>
      <w:r w:rsidRPr="0032101B">
        <w:t xml:space="preserve"> Abnormal Expressions of DNA Glycosylase Genes NEIL1, NEIL2, and NEIL3 Are Associated with Somatic Mutation Loads in Human Cancer. Oxidative Medicine and Cellular Longevity </w:t>
      </w:r>
      <w:r w:rsidRPr="0032101B">
        <w:rPr>
          <w:b/>
        </w:rPr>
        <w:t>2016</w:t>
      </w:r>
      <w:r w:rsidRPr="0032101B">
        <w:t>;2016:1546392 doi 10.1155/2016/1546392.</w:t>
      </w:r>
    </w:p>
    <w:p w:rsidR="006D14C6" w:rsidRPr="0032101B" w:rsidRDefault="006D14C6" w:rsidP="006D14C6">
      <w:pPr>
        <w:pStyle w:val="EndNoteBibliography"/>
        <w:spacing w:after="0"/>
        <w:ind w:left="720" w:hanging="720"/>
      </w:pPr>
      <w:r w:rsidRPr="0032101B">
        <w:t>12.</w:t>
      </w:r>
      <w:r w:rsidRPr="0032101B">
        <w:tab/>
        <w:t>Maurizio E, Wiśniewski JR, Ciani Y, Amato A, Arnoldo L, Penzo C</w:t>
      </w:r>
      <w:r w:rsidRPr="0032101B">
        <w:rPr>
          <w:i/>
        </w:rPr>
        <w:t>, et al.</w:t>
      </w:r>
      <w:r w:rsidRPr="0032101B">
        <w:t xml:space="preserve"> Translating Proteomic Into Functional Data: An High Mobility Group A1 (HMGA1) Proteomic Signature Has Prognostic Value in Breast Cancer. Molecular &amp; Cellular Proteomics : MCP </w:t>
      </w:r>
      <w:r w:rsidRPr="0032101B">
        <w:rPr>
          <w:b/>
        </w:rPr>
        <w:t>2016</w:t>
      </w:r>
      <w:r w:rsidRPr="0032101B">
        <w:t>;15(1):109-23 doi 10.1074/mcp.M115.050401.</w:t>
      </w:r>
    </w:p>
    <w:p w:rsidR="006D14C6" w:rsidRPr="0032101B" w:rsidRDefault="006D14C6" w:rsidP="006D14C6">
      <w:pPr>
        <w:pStyle w:val="EndNoteBibliography"/>
        <w:ind w:left="720" w:hanging="720"/>
      </w:pPr>
      <w:r w:rsidRPr="0032101B">
        <w:t>13.</w:t>
      </w:r>
      <w:r w:rsidRPr="0032101B">
        <w:tab/>
        <w:t>Wang K, Sturt-Gillespie B, Hittle JC, Macdonald D, Chan GK, Yen TJ</w:t>
      </w:r>
      <w:r w:rsidRPr="0032101B">
        <w:rPr>
          <w:i/>
        </w:rPr>
        <w:t>, et al.</w:t>
      </w:r>
      <w:r w:rsidRPr="0032101B">
        <w:t xml:space="preserve"> Thyroid Hormone Receptor Interacting Protein 13 (TRIP13) AAA-ATPase Is a Novel Mitotic Checkpoint-silencing Protein. The Journal of Biological Chemistry </w:t>
      </w:r>
      <w:r w:rsidRPr="0032101B">
        <w:rPr>
          <w:b/>
        </w:rPr>
        <w:t>2014</w:t>
      </w:r>
      <w:r w:rsidRPr="0032101B">
        <w:t>;289(34):23928-37 doi 10.1074/jbc.M114.585315.</w:t>
      </w:r>
    </w:p>
    <w:p w:rsidR="006D14C6" w:rsidRDefault="006D14C6" w:rsidP="006D14C6">
      <w:r>
        <w:fldChar w:fldCharType="end"/>
      </w:r>
    </w:p>
    <w:p w:rsidR="006D14C6" w:rsidRDefault="006D14C6">
      <w:r>
        <w:br w:type="page"/>
      </w:r>
    </w:p>
    <w:p w:rsidR="006D14C6" w:rsidRDefault="006D14C6" w:rsidP="006D14C6">
      <w:r w:rsidRPr="006D14C6">
        <w:drawing>
          <wp:anchor distT="0" distB="0" distL="114300" distR="114300" simplePos="0" relativeHeight="251658240" behindDoc="0" locked="0" layoutInCell="1" allowOverlap="1">
            <wp:simplePos x="0" y="0"/>
            <wp:positionH relativeFrom="column">
              <wp:posOffset>-3175</wp:posOffset>
            </wp:positionH>
            <wp:positionV relativeFrom="paragraph">
              <wp:posOffset>-167640</wp:posOffset>
            </wp:positionV>
            <wp:extent cx="4563745" cy="9319895"/>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3745" cy="931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4C6" w:rsidRDefault="006D14C6">
      <w:r w:rsidRPr="006D14C6">
        <w:drawing>
          <wp:inline distT="0" distB="0" distL="0" distR="0" wp14:anchorId="458C3A63" wp14:editId="2FA8B1B2">
            <wp:extent cx="5978106" cy="2568392"/>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316" cy="2567623"/>
                    </a:xfrm>
                    <a:prstGeom prst="rect">
                      <a:avLst/>
                    </a:prstGeom>
                    <a:noFill/>
                    <a:ln>
                      <a:noFill/>
                    </a:ln>
                  </pic:spPr>
                </pic:pic>
              </a:graphicData>
            </a:graphic>
          </wp:inline>
        </w:drawing>
      </w:r>
    </w:p>
    <w:p w:rsidR="006D14C6" w:rsidRDefault="006D14C6">
      <w:r>
        <w:br w:type="page"/>
      </w:r>
    </w:p>
    <w:p w:rsidR="006D14C6" w:rsidRDefault="006D14C6" w:rsidP="006D14C6">
      <w:pPr>
        <w:contextualSpacing/>
        <w:jc w:val="both"/>
        <w:rPr>
          <w:rFonts w:eastAsia="Times New Roman"/>
          <w:b/>
          <w:sz w:val="28"/>
        </w:rPr>
      </w:pPr>
      <w:r>
        <w:rPr>
          <w:rFonts w:eastAsia="Times New Roman"/>
          <w:b/>
          <w:sz w:val="28"/>
        </w:rPr>
        <w:t>Supplemental Data</w:t>
      </w:r>
      <w:r>
        <w:rPr>
          <w:rFonts w:eastAsia="Times New Roman"/>
          <w:b/>
          <w:sz w:val="28"/>
        </w:rPr>
        <w:t>: Figure legends</w:t>
      </w:r>
    </w:p>
    <w:p w:rsidR="006D14C6" w:rsidRDefault="006D14C6"/>
    <w:p w:rsidR="004849D6" w:rsidRDefault="004849D6" w:rsidP="004849D6">
      <w:pPr>
        <w:contextualSpacing/>
        <w:jc w:val="both"/>
      </w:pPr>
      <w:proofErr w:type="gramStart"/>
      <w:r w:rsidRPr="00C47AC4">
        <w:rPr>
          <w:b/>
        </w:rPr>
        <w:t xml:space="preserve">Supplementary </w:t>
      </w:r>
      <w:r w:rsidRPr="00C5650C">
        <w:rPr>
          <w:b/>
        </w:rPr>
        <w:t>Fig</w:t>
      </w:r>
      <w:r>
        <w:rPr>
          <w:b/>
        </w:rPr>
        <w:t>ure</w:t>
      </w:r>
      <w:r w:rsidRPr="00C5650C">
        <w:rPr>
          <w:b/>
        </w:rPr>
        <w:t xml:space="preserve"> </w:t>
      </w:r>
      <w:r>
        <w:rPr>
          <w:b/>
        </w:rPr>
        <w:t>S1</w:t>
      </w:r>
      <w:r w:rsidRPr="00C5650C">
        <w:rPr>
          <w:b/>
        </w:rPr>
        <w:t>.</w:t>
      </w:r>
      <w:proofErr w:type="gramEnd"/>
      <w:r>
        <w:rPr>
          <w:b/>
        </w:rPr>
        <w:t xml:space="preserve"> </w:t>
      </w:r>
      <w:proofErr w:type="gramStart"/>
      <w:r w:rsidRPr="00462A4E">
        <w:t>AUC(</w:t>
      </w:r>
      <w:proofErr w:type="gramEnd"/>
      <w:r w:rsidRPr="00462A4E">
        <w:t xml:space="preserve">t) </w:t>
      </w:r>
      <w:r>
        <w:t>functions of m</w:t>
      </w:r>
      <w:r w:rsidRPr="00462A4E">
        <w:t>ulti</w:t>
      </w:r>
      <w:r>
        <w:t>variable</w:t>
      </w:r>
      <w:r w:rsidRPr="00462A4E">
        <w:t xml:space="preserve"> models. </w:t>
      </w:r>
    </w:p>
    <w:p w:rsidR="004849D6" w:rsidRDefault="004849D6" w:rsidP="004849D6">
      <w:pPr>
        <w:contextualSpacing/>
        <w:jc w:val="both"/>
      </w:pPr>
      <w:r w:rsidRPr="00462A4E">
        <w:t>The lines</w:t>
      </w:r>
      <w:r w:rsidRPr="00FF0F78">
        <w:t xml:space="preserve"> represent the time-dependent area under the ROC curve (</w:t>
      </w:r>
      <w:proofErr w:type="gramStart"/>
      <w:r w:rsidRPr="00FF0F78">
        <w:t>AUC(</w:t>
      </w:r>
      <w:proofErr w:type="gramEnd"/>
      <w:r w:rsidRPr="00FF0F78">
        <w:t>t)) for the 18-marker panel (grey), the established markers (blue) and the combined model with the 18-marker panel and the established markers (red). (</w:t>
      </w:r>
      <w:r>
        <w:t>A</w:t>
      </w:r>
      <w:r w:rsidRPr="00FF0F78">
        <w:t xml:space="preserve">) Estimated performance of </w:t>
      </w:r>
      <w:r>
        <w:t>the TCGA validation</w:t>
      </w:r>
      <w:r w:rsidRPr="00FF0F78">
        <w:t xml:space="preserve"> cohort for </w:t>
      </w:r>
      <w:r>
        <w:t>overall</w:t>
      </w:r>
      <w:r w:rsidRPr="00FF0F78">
        <w:t xml:space="preserve"> survival. Established clinical variables contain </w:t>
      </w:r>
      <w:r>
        <w:t xml:space="preserve">number of positive axillary lymph nodes, tumour </w:t>
      </w:r>
      <w:r w:rsidRPr="000839AC">
        <w:t>size</w:t>
      </w:r>
      <w:r>
        <w:t xml:space="preserve">, </w:t>
      </w:r>
      <w:r w:rsidRPr="000839AC">
        <w:t>age</w:t>
      </w:r>
      <w:r>
        <w:t>,</w:t>
      </w:r>
      <w:r w:rsidRPr="000839AC">
        <w:t xml:space="preserve"> ER</w:t>
      </w:r>
      <w:r>
        <w:t xml:space="preserve"> and </w:t>
      </w:r>
      <w:r w:rsidRPr="000839AC">
        <w:t>PR</w:t>
      </w:r>
      <w:r>
        <w:t xml:space="preserve"> status</w:t>
      </w:r>
      <w:r w:rsidRPr="00FF0F78">
        <w:t xml:space="preserve"> for all </w:t>
      </w:r>
      <w:r>
        <w:t>720</w:t>
      </w:r>
      <w:r w:rsidRPr="00FF0F78">
        <w:t xml:space="preserve"> patients. </w:t>
      </w:r>
      <w:r>
        <w:t xml:space="preserve">(B) </w:t>
      </w:r>
      <w:r w:rsidRPr="00FF0F78">
        <w:t xml:space="preserve">Estimated performance of </w:t>
      </w:r>
      <w:r>
        <w:t xml:space="preserve">the </w:t>
      </w:r>
      <w:r w:rsidRPr="00FF0F78">
        <w:t>GSE</w:t>
      </w:r>
      <w:r>
        <w:t>4922</w:t>
      </w:r>
      <w:r w:rsidRPr="00FF0F78">
        <w:t xml:space="preserve"> validation cohort for </w:t>
      </w:r>
      <w:r>
        <w:t xml:space="preserve">disease-free </w:t>
      </w:r>
      <w:r w:rsidRPr="00FF0F78">
        <w:t xml:space="preserve">survival. Established clinical variables contain </w:t>
      </w:r>
      <w:r w:rsidRPr="00E16E78">
        <w:t>age</w:t>
      </w:r>
      <w:r>
        <w:t xml:space="preserve">, </w:t>
      </w:r>
      <w:r w:rsidRPr="00E16E78">
        <w:t>ER</w:t>
      </w:r>
      <w:r>
        <w:t xml:space="preserve"> status, tumour </w:t>
      </w:r>
      <w:r w:rsidRPr="00E16E78">
        <w:t>size</w:t>
      </w:r>
      <w:r>
        <w:t>, axillary l</w:t>
      </w:r>
      <w:r w:rsidRPr="00E16E78">
        <w:t>ymph</w:t>
      </w:r>
      <w:r>
        <w:t xml:space="preserve"> </w:t>
      </w:r>
      <w:r w:rsidRPr="00E16E78">
        <w:t>node</w:t>
      </w:r>
      <w:r>
        <w:t xml:space="preserve"> </w:t>
      </w:r>
      <w:r w:rsidRPr="00E16E78">
        <w:t>status</w:t>
      </w:r>
      <w:r>
        <w:t xml:space="preserve"> and histological </w:t>
      </w:r>
      <w:r w:rsidRPr="00E16E78">
        <w:t>grade</w:t>
      </w:r>
      <w:r w:rsidRPr="00FF0F78">
        <w:t xml:space="preserve"> </w:t>
      </w:r>
      <w:r>
        <w:t xml:space="preserve">for all 237 patients. </w:t>
      </w:r>
      <w:r w:rsidRPr="00FF0F78">
        <w:t>(</w:t>
      </w:r>
      <w:r>
        <w:t>C-D</w:t>
      </w:r>
      <w:r w:rsidRPr="00FF0F78">
        <w:t xml:space="preserve">) </w:t>
      </w:r>
      <w:proofErr w:type="gramStart"/>
      <w:r w:rsidRPr="00FF0F78">
        <w:t xml:space="preserve">Estimated performance of </w:t>
      </w:r>
      <w:r>
        <w:t xml:space="preserve">the </w:t>
      </w:r>
      <w:r w:rsidRPr="00FF0F78">
        <w:t xml:space="preserve">GSE1456 validation cohort for </w:t>
      </w:r>
      <w:r>
        <w:t xml:space="preserve">overall and recurrence-free </w:t>
      </w:r>
      <w:r w:rsidRPr="00FF0F78">
        <w:t>survival.</w:t>
      </w:r>
      <w:proofErr w:type="gramEnd"/>
      <w:r w:rsidRPr="00FF0F78">
        <w:t xml:space="preserve"> Established clinical variables contain histological grade an</w:t>
      </w:r>
      <w:r>
        <w:t>d subtype for all 128 patients.</w:t>
      </w:r>
    </w:p>
    <w:p w:rsidR="004849D6" w:rsidRDefault="004849D6" w:rsidP="004849D6">
      <w:pPr>
        <w:contextualSpacing/>
        <w:jc w:val="both"/>
      </w:pPr>
    </w:p>
    <w:p w:rsidR="004849D6" w:rsidRDefault="004849D6" w:rsidP="004849D6">
      <w:pPr>
        <w:contextualSpacing/>
        <w:jc w:val="both"/>
      </w:pPr>
      <w:proofErr w:type="gramStart"/>
      <w:r w:rsidRPr="00C47AC4">
        <w:rPr>
          <w:b/>
        </w:rPr>
        <w:t xml:space="preserve">Supplementary </w:t>
      </w:r>
      <w:r w:rsidRPr="00C5650C">
        <w:rPr>
          <w:b/>
        </w:rPr>
        <w:t>Fig</w:t>
      </w:r>
      <w:r>
        <w:rPr>
          <w:b/>
        </w:rPr>
        <w:t>ure</w:t>
      </w:r>
      <w:r w:rsidRPr="00C5650C">
        <w:rPr>
          <w:b/>
        </w:rPr>
        <w:t xml:space="preserve"> </w:t>
      </w:r>
      <w:r>
        <w:rPr>
          <w:b/>
        </w:rPr>
        <w:t>S2</w:t>
      </w:r>
      <w:r w:rsidRPr="00C5650C">
        <w:rPr>
          <w:b/>
        </w:rPr>
        <w:t>.</w:t>
      </w:r>
      <w:proofErr w:type="gramEnd"/>
      <w:r>
        <w:rPr>
          <w:b/>
        </w:rPr>
        <w:t xml:space="preserve"> </w:t>
      </w:r>
      <w:proofErr w:type="gramStart"/>
      <w:r w:rsidRPr="00462A4E">
        <w:t>AUC(</w:t>
      </w:r>
      <w:proofErr w:type="gramEnd"/>
      <w:r w:rsidRPr="00462A4E">
        <w:t xml:space="preserve">t) </w:t>
      </w:r>
      <w:r>
        <w:t>functions of m</w:t>
      </w:r>
      <w:r w:rsidRPr="00462A4E">
        <w:t>ulti</w:t>
      </w:r>
      <w:r>
        <w:t>variable</w:t>
      </w:r>
      <w:r w:rsidRPr="00462A4E">
        <w:t xml:space="preserve"> models. </w:t>
      </w:r>
    </w:p>
    <w:p w:rsidR="004849D6" w:rsidRDefault="004849D6" w:rsidP="004849D6">
      <w:pPr>
        <w:contextualSpacing/>
        <w:jc w:val="both"/>
      </w:pPr>
      <w:r w:rsidRPr="00462A4E">
        <w:t>The lines</w:t>
      </w:r>
      <w:r w:rsidRPr="00FF0F78">
        <w:t xml:space="preserve"> represent the time-dependent area under the ROC curve (</w:t>
      </w:r>
      <w:proofErr w:type="gramStart"/>
      <w:r w:rsidRPr="00FF0F78">
        <w:t>AUC(</w:t>
      </w:r>
      <w:proofErr w:type="gramEnd"/>
      <w:r w:rsidRPr="00FF0F78">
        <w:t>t)) for the 18-marker panel (</w:t>
      </w:r>
      <w:r>
        <w:t>black</w:t>
      </w:r>
      <w:r w:rsidRPr="00FF0F78">
        <w:t>)</w:t>
      </w:r>
      <w:r>
        <w:t xml:space="preserve"> and the </w:t>
      </w:r>
      <w:proofErr w:type="spellStart"/>
      <w:r>
        <w:t>Oncotype</w:t>
      </w:r>
      <w:proofErr w:type="spellEnd"/>
      <w:r>
        <w:t xml:space="preserve"> </w:t>
      </w:r>
      <w:proofErr w:type="spellStart"/>
      <w:r>
        <w:t>Dx</w:t>
      </w:r>
      <w:proofErr w:type="spellEnd"/>
      <w:r>
        <w:t>-based 16-marker model (blue).</w:t>
      </w:r>
      <w:r w:rsidRPr="00FF0F78">
        <w:t xml:space="preserve"> (</w:t>
      </w:r>
      <w:r>
        <w:t>A</w:t>
      </w:r>
      <w:r w:rsidRPr="00FF0F78">
        <w:t xml:space="preserve">) Estimated performance of </w:t>
      </w:r>
      <w:r>
        <w:t xml:space="preserve">the </w:t>
      </w:r>
      <w:r w:rsidRPr="00FF0F78">
        <w:t>18-marker panel</w:t>
      </w:r>
      <w:r>
        <w:t xml:space="preserve"> in comparison to the </w:t>
      </w:r>
      <w:proofErr w:type="spellStart"/>
      <w:r>
        <w:t>Oncotype</w:t>
      </w:r>
      <w:proofErr w:type="spellEnd"/>
      <w:r>
        <w:t xml:space="preserve"> </w:t>
      </w:r>
      <w:proofErr w:type="spellStart"/>
      <w:r>
        <w:t>Dx</w:t>
      </w:r>
      <w:proofErr w:type="spellEnd"/>
      <w:r>
        <w:t>-based 16-marker panel in the complete training cohort (n = 136)</w:t>
      </w:r>
      <w:r w:rsidRPr="00FF0F78">
        <w:t xml:space="preserve"> cohort for </w:t>
      </w:r>
      <w:r>
        <w:t>disease-specific survival (DSS)</w:t>
      </w:r>
      <w:r w:rsidRPr="00FF0F78">
        <w:t xml:space="preserve">. </w:t>
      </w:r>
      <w:r>
        <w:t xml:space="preserve">(B) </w:t>
      </w:r>
      <w:r w:rsidRPr="00FF0F78">
        <w:t xml:space="preserve">Estimated performance of </w:t>
      </w:r>
      <w:r>
        <w:t xml:space="preserve">the </w:t>
      </w:r>
      <w:r w:rsidRPr="00FF0F78">
        <w:t>1</w:t>
      </w:r>
      <w:r>
        <w:t>6</w:t>
      </w:r>
      <w:r w:rsidRPr="00FF0F78">
        <w:t>-marker panel</w:t>
      </w:r>
      <w:r>
        <w:t xml:space="preserve"> in comparison to the</w:t>
      </w:r>
      <w:r w:rsidRPr="00436E2F">
        <w:t xml:space="preserve"> </w:t>
      </w:r>
      <w:proofErr w:type="spellStart"/>
      <w:r>
        <w:t>Oncotype</w:t>
      </w:r>
      <w:proofErr w:type="spellEnd"/>
      <w:r>
        <w:t xml:space="preserve"> </w:t>
      </w:r>
      <w:proofErr w:type="spellStart"/>
      <w:r>
        <w:t>Dx</w:t>
      </w:r>
      <w:proofErr w:type="spellEnd"/>
      <w:r>
        <w:t>-based 16-marker panel in the ER-positive training cohort (n = 107)</w:t>
      </w:r>
      <w:r w:rsidRPr="00FF0F78">
        <w:t xml:space="preserve"> cohort for </w:t>
      </w:r>
      <w:r>
        <w:t>disease-specific survival (DSS)</w:t>
      </w:r>
      <w:r w:rsidRPr="00FF0F78">
        <w:t>.</w:t>
      </w:r>
    </w:p>
    <w:p w:rsidR="004849D6" w:rsidRPr="00462A4E" w:rsidRDefault="004849D6" w:rsidP="004849D6">
      <w:pPr>
        <w:contextualSpacing/>
        <w:jc w:val="both"/>
      </w:pPr>
    </w:p>
    <w:p w:rsidR="004849D6" w:rsidRDefault="004849D6" w:rsidP="004849D6">
      <w:pPr>
        <w:contextualSpacing/>
        <w:jc w:val="both"/>
      </w:pPr>
      <w:bookmarkStart w:id="2" w:name="_Ref476318200"/>
      <w:proofErr w:type="gramStart"/>
      <w:r w:rsidRPr="00C47AC4">
        <w:rPr>
          <w:b/>
        </w:rPr>
        <w:t xml:space="preserve">Supplementary </w:t>
      </w:r>
      <w:r w:rsidRPr="00C5650C">
        <w:rPr>
          <w:b/>
        </w:rPr>
        <w:t>Fig</w:t>
      </w:r>
      <w:bookmarkEnd w:id="2"/>
      <w:r>
        <w:rPr>
          <w:b/>
        </w:rPr>
        <w:t>ure</w:t>
      </w:r>
      <w:r w:rsidRPr="00C5650C">
        <w:rPr>
          <w:b/>
        </w:rPr>
        <w:t xml:space="preserve"> </w:t>
      </w:r>
      <w:r>
        <w:rPr>
          <w:b/>
        </w:rPr>
        <w:t>S3</w:t>
      </w:r>
      <w:r w:rsidRPr="00C5650C">
        <w:rPr>
          <w:b/>
        </w:rPr>
        <w:t>.</w:t>
      </w:r>
      <w:proofErr w:type="gramEnd"/>
      <w:r w:rsidRPr="007D29EA">
        <w:t xml:space="preserve"> </w:t>
      </w:r>
      <w:proofErr w:type="gramStart"/>
      <w:r w:rsidRPr="007D29EA">
        <w:t>Overview of molecular network within different parts of the cell as determined by IPA.</w:t>
      </w:r>
      <w:proofErr w:type="gramEnd"/>
      <w:r w:rsidRPr="007D29EA">
        <w:t xml:space="preserve"> </w:t>
      </w:r>
    </w:p>
    <w:p w:rsidR="006D14C6" w:rsidRDefault="004849D6" w:rsidP="004849D6">
      <w:pPr>
        <w:contextualSpacing/>
        <w:jc w:val="both"/>
      </w:pPr>
      <w:r w:rsidRPr="007D29EA">
        <w:t>Magenta-coloured molecules show association with DNA replication, recombination, and repair while green molecules are connected to the cell cycle. Blue</w:t>
      </w:r>
      <w:r>
        <w:t>-coloured molecules summarize</w:t>
      </w:r>
      <w:r w:rsidRPr="007D29EA">
        <w:t xml:space="preserve"> the remaining categories.</w:t>
      </w:r>
    </w:p>
    <w:p w:rsidR="006D14C6" w:rsidRDefault="006D14C6">
      <w:r>
        <w:br w:type="page"/>
      </w:r>
    </w:p>
    <w:p w:rsidR="006D14C6" w:rsidRDefault="006D14C6" w:rsidP="006D14C6">
      <w:pPr>
        <w:contextualSpacing/>
        <w:jc w:val="both"/>
        <w:rPr>
          <w:rFonts w:eastAsia="Times New Roman"/>
          <w:b/>
          <w:sz w:val="28"/>
        </w:rPr>
      </w:pPr>
      <w:r>
        <w:rPr>
          <w:rFonts w:eastAsia="Times New Roman"/>
          <w:b/>
          <w:sz w:val="28"/>
        </w:rPr>
        <w:t>Supplemental Data</w:t>
      </w:r>
      <w:r>
        <w:rPr>
          <w:rFonts w:eastAsia="Times New Roman"/>
          <w:b/>
          <w:sz w:val="28"/>
        </w:rPr>
        <w:t>: Figures</w:t>
      </w:r>
    </w:p>
    <w:p w:rsidR="006D14C6" w:rsidRDefault="006D14C6" w:rsidP="004849D6">
      <w:pPr>
        <w:contextualSpacing/>
        <w:jc w:val="both"/>
      </w:pPr>
      <w:r>
        <w:rPr>
          <w:noProof/>
          <w:lang w:eastAsia="en-GB"/>
        </w:rPr>
        <w:drawing>
          <wp:inline distT="0" distB="0" distL="0" distR="0">
            <wp:extent cx="5760720" cy="4278544"/>
            <wp:effectExtent l="0" t="0" r="0" b="8255"/>
            <wp:docPr id="5" name="Picture 5" descr="U:\12 genes Gene expression microarray validation\Supplementary Figure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12 genes Gene expression microarray validation\Supplementary Figure S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278544"/>
                    </a:xfrm>
                    <a:prstGeom prst="rect">
                      <a:avLst/>
                    </a:prstGeom>
                    <a:noFill/>
                    <a:ln>
                      <a:noFill/>
                    </a:ln>
                  </pic:spPr>
                </pic:pic>
              </a:graphicData>
            </a:graphic>
          </wp:inline>
        </w:drawing>
      </w:r>
    </w:p>
    <w:p w:rsidR="006D14C6" w:rsidRDefault="006D14C6">
      <w:r>
        <w:br w:type="page"/>
      </w:r>
    </w:p>
    <w:p w:rsidR="006D14C6" w:rsidRDefault="006D14C6" w:rsidP="004849D6">
      <w:pPr>
        <w:contextualSpacing/>
        <w:jc w:val="both"/>
      </w:pPr>
      <w:r>
        <w:rPr>
          <w:noProof/>
          <w:lang w:eastAsia="en-GB"/>
        </w:rPr>
        <w:drawing>
          <wp:inline distT="0" distB="0" distL="0" distR="0">
            <wp:extent cx="5760720" cy="2279302"/>
            <wp:effectExtent l="0" t="0" r="0" b="6985"/>
            <wp:docPr id="6" name="Picture 6" descr="U:\12 genes Gene expression microarray validation\Supplementary Figure 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12 genes Gene expression microarray validation\Supplementary Figure S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279302"/>
                    </a:xfrm>
                    <a:prstGeom prst="rect">
                      <a:avLst/>
                    </a:prstGeom>
                    <a:noFill/>
                    <a:ln>
                      <a:noFill/>
                    </a:ln>
                  </pic:spPr>
                </pic:pic>
              </a:graphicData>
            </a:graphic>
          </wp:inline>
        </w:drawing>
      </w:r>
    </w:p>
    <w:p w:rsidR="006D14C6" w:rsidRDefault="006D14C6">
      <w:r>
        <w:br w:type="page"/>
      </w:r>
    </w:p>
    <w:p w:rsidR="004849D6" w:rsidRDefault="006D14C6" w:rsidP="004849D6">
      <w:pPr>
        <w:contextualSpacing/>
        <w:jc w:val="both"/>
      </w:pPr>
      <w:r>
        <w:rPr>
          <w:noProof/>
          <w:lang w:eastAsia="en-GB"/>
        </w:rPr>
        <w:drawing>
          <wp:inline distT="0" distB="0" distL="0" distR="0">
            <wp:extent cx="5760720" cy="3920624"/>
            <wp:effectExtent l="0" t="0" r="0" b="3810"/>
            <wp:docPr id="7" name="Picture 7" descr="U:\12 genes Gene expression microarray validation\Supplementary Figure 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12 genes Gene expression microarray validation\Supplementary Figure S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920624"/>
                    </a:xfrm>
                    <a:prstGeom prst="rect">
                      <a:avLst/>
                    </a:prstGeom>
                    <a:noFill/>
                    <a:ln>
                      <a:noFill/>
                    </a:ln>
                  </pic:spPr>
                </pic:pic>
              </a:graphicData>
            </a:graphic>
          </wp:inline>
        </w:drawing>
      </w:r>
      <w:bookmarkStart w:id="3" w:name="_GoBack"/>
      <w:bookmarkEnd w:id="3"/>
    </w:p>
    <w:sectPr w:rsidR="00484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E5650"/>
    <w:multiLevelType w:val="hybridMultilevel"/>
    <w:tmpl w:val="3372F9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D6"/>
    <w:rsid w:val="004849D6"/>
    <w:rsid w:val="006D14C6"/>
    <w:rsid w:val="006E4008"/>
    <w:rsid w:val="00B532D5"/>
    <w:rsid w:val="00CC4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C6"/>
    <w:rPr>
      <w:rFonts w:ascii="Tahoma" w:hAnsi="Tahoma" w:cs="Tahoma"/>
      <w:sz w:val="16"/>
      <w:szCs w:val="16"/>
    </w:rPr>
  </w:style>
  <w:style w:type="paragraph" w:styleId="ListParagraph">
    <w:name w:val="List Paragraph"/>
    <w:basedOn w:val="Normal"/>
    <w:uiPriority w:val="34"/>
    <w:qFormat/>
    <w:rsid w:val="006D14C6"/>
    <w:pPr>
      <w:spacing w:after="110" w:line="300" w:lineRule="auto"/>
      <w:ind w:left="720"/>
      <w:contextualSpacing/>
    </w:pPr>
    <w:rPr>
      <w:rFonts w:ascii="Tahoma" w:eastAsia="Times New Roman" w:hAnsi="Tahoma" w:cs="Times New Roman"/>
      <w:szCs w:val="20"/>
    </w:rPr>
  </w:style>
  <w:style w:type="table" w:styleId="TableGrid">
    <w:name w:val="Table Grid"/>
    <w:basedOn w:val="TableNormal"/>
    <w:uiPriority w:val="59"/>
    <w:rsid w:val="006D14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D14C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D14C6"/>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C6"/>
    <w:rPr>
      <w:rFonts w:ascii="Tahoma" w:hAnsi="Tahoma" w:cs="Tahoma"/>
      <w:sz w:val="16"/>
      <w:szCs w:val="16"/>
    </w:rPr>
  </w:style>
  <w:style w:type="paragraph" w:styleId="ListParagraph">
    <w:name w:val="List Paragraph"/>
    <w:basedOn w:val="Normal"/>
    <w:uiPriority w:val="34"/>
    <w:qFormat/>
    <w:rsid w:val="006D14C6"/>
    <w:pPr>
      <w:spacing w:after="110" w:line="300" w:lineRule="auto"/>
      <w:ind w:left="720"/>
      <w:contextualSpacing/>
    </w:pPr>
    <w:rPr>
      <w:rFonts w:ascii="Tahoma" w:eastAsia="Times New Roman" w:hAnsi="Tahoma" w:cs="Times New Roman"/>
      <w:szCs w:val="20"/>
    </w:rPr>
  </w:style>
  <w:style w:type="table" w:styleId="TableGrid">
    <w:name w:val="Table Grid"/>
    <w:basedOn w:val="TableNormal"/>
    <w:uiPriority w:val="59"/>
    <w:rsid w:val="006D14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D14C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D14C6"/>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357">
      <w:bodyDiv w:val="1"/>
      <w:marLeft w:val="0"/>
      <w:marRight w:val="0"/>
      <w:marTop w:val="0"/>
      <w:marBottom w:val="0"/>
      <w:divBdr>
        <w:top w:val="none" w:sz="0" w:space="0" w:color="auto"/>
        <w:left w:val="none" w:sz="0" w:space="0" w:color="auto"/>
        <w:bottom w:val="none" w:sz="0" w:space="0" w:color="auto"/>
        <w:right w:val="none" w:sz="0" w:space="0" w:color="auto"/>
      </w:divBdr>
    </w:div>
    <w:div w:id="437525868">
      <w:bodyDiv w:val="1"/>
      <w:marLeft w:val="0"/>
      <w:marRight w:val="0"/>
      <w:marTop w:val="0"/>
      <w:marBottom w:val="0"/>
      <w:divBdr>
        <w:top w:val="none" w:sz="0" w:space="0" w:color="auto"/>
        <w:left w:val="none" w:sz="0" w:space="0" w:color="auto"/>
        <w:bottom w:val="none" w:sz="0" w:space="0" w:color="auto"/>
        <w:right w:val="none" w:sz="0" w:space="0" w:color="auto"/>
      </w:divBdr>
    </w:div>
    <w:div w:id="534971221">
      <w:bodyDiv w:val="1"/>
      <w:marLeft w:val="0"/>
      <w:marRight w:val="0"/>
      <w:marTop w:val="0"/>
      <w:marBottom w:val="0"/>
      <w:divBdr>
        <w:top w:val="none" w:sz="0" w:space="0" w:color="auto"/>
        <w:left w:val="none" w:sz="0" w:space="0" w:color="auto"/>
        <w:bottom w:val="none" w:sz="0" w:space="0" w:color="auto"/>
        <w:right w:val="none" w:sz="0" w:space="0" w:color="auto"/>
      </w:divBdr>
    </w:div>
    <w:div w:id="12142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tiff"/><Relationship Id="rId5" Type="http://schemas.openxmlformats.org/officeDocument/2006/relationships/webSettings" Target="webSettings.xml"/><Relationship Id="rId10"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4119</Words>
  <Characters>23479</Characters>
  <Application>Microsoft Office Word</Application>
  <DocSecurity>0</DocSecurity>
  <Lines>195</Lines>
  <Paragraphs>55</Paragraphs>
  <ScaleCrop>false</ScaleCrop>
  <Company>Gothenburg University</Company>
  <LinksUpToDate>false</LinksUpToDate>
  <CharactersWithSpaces>27543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Biermann</dc:creator>
  <cp:lastModifiedBy>Jana Biermann</cp:lastModifiedBy>
  <cp:revision>4</cp:revision>
  <dcterms:created xsi:type="dcterms:W3CDTF">2017-08-23T14:04:00Z</dcterms:created>
  <dcterms:modified xsi:type="dcterms:W3CDTF">2017-08-23T14:42:00Z</dcterms:modified>
</cp:coreProperties>
</file>