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4089" w:rsidRPr="00B17DBF" w:rsidRDefault="00B24089" w:rsidP="00B24089">
      <w:pPr>
        <w:spacing w:line="480" w:lineRule="auto"/>
        <w:rPr>
          <w:rFonts w:ascii="Arial" w:hAnsi="Arial" w:cs="Arial"/>
          <w:b/>
        </w:rPr>
      </w:pPr>
      <w:r>
        <w:rPr>
          <w:rFonts w:ascii="Arial" w:hAnsi="Arial" w:cs="Arial"/>
          <w:b/>
        </w:rPr>
        <w:t>Supplementa</w:t>
      </w:r>
      <w:r w:rsidR="005D242E">
        <w:rPr>
          <w:rFonts w:ascii="Arial" w:hAnsi="Arial" w:cs="Arial"/>
          <w:b/>
        </w:rPr>
        <w:t>ry</w:t>
      </w:r>
      <w:r>
        <w:rPr>
          <w:rFonts w:ascii="Arial" w:hAnsi="Arial" w:cs="Arial"/>
          <w:b/>
        </w:rPr>
        <w:t xml:space="preserve"> Material</w:t>
      </w:r>
    </w:p>
    <w:p w:rsidR="00B24089" w:rsidRPr="00B17DBF" w:rsidRDefault="00B24089" w:rsidP="00B24089">
      <w:pPr>
        <w:spacing w:line="480" w:lineRule="auto"/>
        <w:rPr>
          <w:rFonts w:ascii="Arial" w:hAnsi="Arial" w:cs="Arial"/>
          <w:b/>
        </w:rPr>
      </w:pPr>
      <w:r w:rsidRPr="00B17DBF">
        <w:rPr>
          <w:rFonts w:ascii="Arial" w:hAnsi="Arial" w:cs="Arial"/>
          <w:b/>
        </w:rPr>
        <w:t>Supplementa</w:t>
      </w:r>
      <w:r w:rsidR="005D242E">
        <w:rPr>
          <w:rFonts w:ascii="Arial" w:hAnsi="Arial" w:cs="Arial"/>
          <w:b/>
        </w:rPr>
        <w:t>ry</w:t>
      </w:r>
      <w:r w:rsidRPr="00B17DBF">
        <w:rPr>
          <w:rFonts w:ascii="Arial" w:hAnsi="Arial" w:cs="Arial"/>
          <w:b/>
        </w:rPr>
        <w:t xml:space="preserve"> Tables</w:t>
      </w:r>
    </w:p>
    <w:tbl>
      <w:tblPr>
        <w:tblStyle w:val="TableGrid"/>
        <w:tblW w:w="4870" w:type="pct"/>
        <w:tblInd w:w="109" w:type="dxa"/>
        <w:tblLayout w:type="fixed"/>
        <w:tblCellMar>
          <w:left w:w="58" w:type="dxa"/>
          <w:right w:w="58" w:type="dxa"/>
        </w:tblCellMar>
        <w:tblLook w:val="04A0" w:firstRow="1" w:lastRow="0" w:firstColumn="1" w:lastColumn="0" w:noHBand="0" w:noVBand="1"/>
      </w:tblPr>
      <w:tblGrid>
        <w:gridCol w:w="2371"/>
        <w:gridCol w:w="875"/>
        <w:gridCol w:w="443"/>
        <w:gridCol w:w="587"/>
        <w:gridCol w:w="467"/>
        <w:gridCol w:w="334"/>
        <w:gridCol w:w="725"/>
        <w:gridCol w:w="882"/>
        <w:gridCol w:w="349"/>
        <w:gridCol w:w="718"/>
        <w:gridCol w:w="425"/>
        <w:gridCol w:w="378"/>
        <w:gridCol w:w="676"/>
      </w:tblGrid>
      <w:tr w:rsidR="00B24089" w:rsidRPr="00B17DBF" w:rsidTr="00BF5A63">
        <w:trPr>
          <w:trHeight w:hRule="exact" w:val="351"/>
        </w:trPr>
        <w:tc>
          <w:tcPr>
            <w:tcW w:w="5000" w:type="pct"/>
            <w:gridSpan w:val="13"/>
            <w:vAlign w:val="center"/>
            <w:hideMark/>
          </w:tcPr>
          <w:p w:rsidR="00B24089" w:rsidRPr="00B17DBF" w:rsidRDefault="00B24089" w:rsidP="00D55468">
            <w:pPr>
              <w:rPr>
                <w:rFonts w:ascii="Arial" w:hAnsi="Arial" w:cs="Arial"/>
                <w:sz w:val="18"/>
                <w:szCs w:val="18"/>
              </w:rPr>
            </w:pPr>
            <w:r w:rsidRPr="00B17DBF">
              <w:rPr>
                <w:rFonts w:ascii="Arial" w:hAnsi="Arial" w:cs="Arial"/>
                <w:b/>
                <w:bCs/>
                <w:sz w:val="18"/>
                <w:szCs w:val="18"/>
              </w:rPr>
              <w:t>Table S1. Summary of Progression Endpoints in Incident Progressor Patients</w:t>
            </w:r>
          </w:p>
        </w:tc>
      </w:tr>
      <w:tr w:rsidR="00B24089" w:rsidRPr="00B17DBF" w:rsidTr="00BF5A63">
        <w:trPr>
          <w:trHeight w:hRule="exact" w:val="678"/>
        </w:trPr>
        <w:tc>
          <w:tcPr>
            <w:tcW w:w="1284" w:type="pct"/>
            <w:vAlign w:val="center"/>
            <w:hideMark/>
          </w:tcPr>
          <w:p w:rsidR="00B24089" w:rsidRPr="00B17DBF" w:rsidRDefault="00B24089" w:rsidP="00D55468">
            <w:pPr>
              <w:rPr>
                <w:rFonts w:ascii="Arial" w:hAnsi="Arial" w:cs="Arial"/>
                <w:sz w:val="18"/>
                <w:szCs w:val="18"/>
              </w:rPr>
            </w:pPr>
            <w:r w:rsidRPr="00B17DBF">
              <w:rPr>
                <w:rFonts w:ascii="Arial" w:hAnsi="Arial" w:cs="Arial"/>
                <w:b/>
                <w:bCs/>
                <w:sz w:val="18"/>
                <w:szCs w:val="18"/>
              </w:rPr>
              <w:t> </w:t>
            </w:r>
          </w:p>
        </w:tc>
        <w:tc>
          <w:tcPr>
            <w:tcW w:w="1859" w:type="pct"/>
            <w:gridSpan w:val="6"/>
            <w:tcBorders>
              <w:bottom w:val="single" w:sz="4" w:space="0" w:color="auto"/>
              <w:right w:val="double" w:sz="4" w:space="0" w:color="auto"/>
            </w:tcBorders>
            <w:vAlign w:val="center"/>
            <w:hideMark/>
          </w:tcPr>
          <w:p w:rsidR="00B24089" w:rsidRPr="00B17DBF" w:rsidRDefault="00B24089" w:rsidP="00D55468">
            <w:pPr>
              <w:jc w:val="center"/>
              <w:rPr>
                <w:rFonts w:ascii="Arial" w:hAnsi="Arial" w:cs="Arial"/>
                <w:b/>
                <w:sz w:val="18"/>
                <w:szCs w:val="18"/>
              </w:rPr>
            </w:pPr>
            <w:r w:rsidRPr="00B17DBF">
              <w:rPr>
                <w:rFonts w:ascii="Arial" w:hAnsi="Arial" w:cs="Arial"/>
                <w:b/>
                <w:sz w:val="18"/>
                <w:szCs w:val="18"/>
              </w:rPr>
              <w:t>Training Set</w:t>
            </w:r>
          </w:p>
        </w:tc>
        <w:tc>
          <w:tcPr>
            <w:tcW w:w="1857" w:type="pct"/>
            <w:gridSpan w:val="6"/>
            <w:tcBorders>
              <w:left w:val="double" w:sz="4" w:space="0" w:color="auto"/>
            </w:tcBorders>
            <w:vAlign w:val="center"/>
            <w:hideMark/>
          </w:tcPr>
          <w:p w:rsidR="00B24089" w:rsidRPr="00B17DBF" w:rsidRDefault="00B24089" w:rsidP="00D55468">
            <w:pPr>
              <w:jc w:val="center"/>
              <w:rPr>
                <w:rFonts w:ascii="Arial" w:hAnsi="Arial" w:cs="Arial"/>
                <w:b/>
                <w:sz w:val="18"/>
                <w:szCs w:val="18"/>
              </w:rPr>
            </w:pPr>
            <w:r w:rsidRPr="00B17DBF">
              <w:rPr>
                <w:rFonts w:ascii="Arial" w:hAnsi="Arial" w:cs="Arial"/>
                <w:b/>
                <w:sz w:val="18"/>
                <w:szCs w:val="18"/>
              </w:rPr>
              <w:t>Independent Validation Set</w:t>
            </w:r>
          </w:p>
        </w:tc>
      </w:tr>
      <w:tr w:rsidR="00B24089" w:rsidRPr="00B17DBF" w:rsidTr="00BF5A63">
        <w:trPr>
          <w:trHeight w:hRule="exact" w:val="724"/>
        </w:trPr>
        <w:tc>
          <w:tcPr>
            <w:tcW w:w="1284" w:type="pct"/>
            <w:vAlign w:val="center"/>
            <w:hideMark/>
          </w:tcPr>
          <w:p w:rsidR="00B24089" w:rsidRPr="00B17DBF" w:rsidRDefault="00B24089" w:rsidP="00D55468">
            <w:pPr>
              <w:rPr>
                <w:rFonts w:ascii="Arial" w:hAnsi="Arial" w:cs="Arial"/>
                <w:b/>
                <w:bCs/>
                <w:sz w:val="18"/>
                <w:szCs w:val="18"/>
              </w:rPr>
            </w:pPr>
            <w:r w:rsidRPr="00B17DBF">
              <w:rPr>
                <w:rFonts w:ascii="Arial" w:hAnsi="Arial" w:cs="Arial"/>
                <w:b/>
                <w:bCs/>
                <w:sz w:val="18"/>
                <w:szCs w:val="18"/>
              </w:rPr>
              <w:t xml:space="preserve"># Incident Progressor Patients </w:t>
            </w:r>
            <w:r w:rsidRPr="00B17DBF">
              <w:rPr>
                <w:rFonts w:ascii="Arial" w:hAnsi="Arial" w:cs="Arial"/>
                <w:bCs/>
                <w:sz w:val="18"/>
                <w:szCs w:val="18"/>
              </w:rPr>
              <w:t>(all four institutions combined)</w:t>
            </w:r>
          </w:p>
        </w:tc>
        <w:tc>
          <w:tcPr>
            <w:tcW w:w="1859" w:type="pct"/>
            <w:gridSpan w:val="6"/>
            <w:tcBorders>
              <w:right w:val="double" w:sz="4" w:space="0" w:color="auto"/>
            </w:tcBorders>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41</w:t>
            </w:r>
          </w:p>
        </w:tc>
        <w:tc>
          <w:tcPr>
            <w:tcW w:w="1857" w:type="pct"/>
            <w:gridSpan w:val="6"/>
            <w:tcBorders>
              <w:left w:val="double" w:sz="4" w:space="0" w:color="auto"/>
            </w:tcBorders>
            <w:vAlign w:val="center"/>
          </w:tcPr>
          <w:p w:rsidR="00B24089" w:rsidRPr="00B17DBF" w:rsidRDefault="00B24089" w:rsidP="00D55468">
            <w:pPr>
              <w:jc w:val="center"/>
              <w:rPr>
                <w:rFonts w:ascii="Arial" w:hAnsi="Arial" w:cs="Arial"/>
                <w:sz w:val="18"/>
                <w:szCs w:val="18"/>
              </w:rPr>
            </w:pPr>
            <w:r w:rsidRPr="00B17DBF">
              <w:rPr>
                <w:rFonts w:ascii="Arial" w:hAnsi="Arial" w:cs="Arial"/>
                <w:sz w:val="18"/>
                <w:szCs w:val="18"/>
              </w:rPr>
              <w:t>38</w:t>
            </w:r>
          </w:p>
        </w:tc>
      </w:tr>
      <w:tr w:rsidR="00B24089" w:rsidRPr="00B17DBF" w:rsidTr="00BF5A63">
        <w:trPr>
          <w:trHeight w:hRule="exact" w:val="351"/>
        </w:trPr>
        <w:tc>
          <w:tcPr>
            <w:tcW w:w="1284" w:type="pct"/>
            <w:vMerge w:val="restart"/>
            <w:vAlign w:val="center"/>
            <w:hideMark/>
          </w:tcPr>
          <w:p w:rsidR="00B24089" w:rsidRPr="00B17DBF" w:rsidRDefault="00B24089" w:rsidP="00664F62">
            <w:pPr>
              <w:rPr>
                <w:rFonts w:ascii="Arial" w:hAnsi="Arial" w:cs="Arial"/>
                <w:sz w:val="18"/>
                <w:szCs w:val="18"/>
              </w:rPr>
            </w:pPr>
            <w:r w:rsidRPr="00B17DBF">
              <w:rPr>
                <w:rFonts w:ascii="Arial" w:hAnsi="Arial" w:cs="Arial"/>
                <w:b/>
                <w:bCs/>
                <w:sz w:val="18"/>
                <w:szCs w:val="18"/>
              </w:rPr>
              <w:t xml:space="preserve"># Incident Progressor Patients in each </w:t>
            </w:r>
            <w:r w:rsidR="00664F62">
              <w:rPr>
                <w:rFonts w:ascii="Arial" w:hAnsi="Arial" w:cs="Arial"/>
                <w:b/>
                <w:bCs/>
                <w:sz w:val="18"/>
                <w:szCs w:val="18"/>
              </w:rPr>
              <w:t>D</w:t>
            </w:r>
            <w:r w:rsidR="0046301A">
              <w:rPr>
                <w:rFonts w:ascii="Arial" w:hAnsi="Arial" w:cs="Arial"/>
                <w:b/>
                <w:bCs/>
                <w:sz w:val="18"/>
                <w:szCs w:val="18"/>
              </w:rPr>
              <w:t>iagnostic</w:t>
            </w:r>
            <w:r w:rsidRPr="00B17DBF">
              <w:rPr>
                <w:rFonts w:ascii="Arial" w:hAnsi="Arial" w:cs="Arial"/>
                <w:b/>
                <w:bCs/>
                <w:sz w:val="18"/>
                <w:szCs w:val="18"/>
              </w:rPr>
              <w:t xml:space="preserve"> </w:t>
            </w:r>
            <w:r w:rsidR="00664F62">
              <w:rPr>
                <w:rFonts w:ascii="Arial" w:hAnsi="Arial" w:cs="Arial"/>
                <w:b/>
                <w:bCs/>
                <w:sz w:val="18"/>
                <w:szCs w:val="18"/>
              </w:rPr>
              <w:t>C</w:t>
            </w:r>
            <w:r w:rsidR="00664F62" w:rsidRPr="00B17DBF">
              <w:rPr>
                <w:rFonts w:ascii="Arial" w:hAnsi="Arial" w:cs="Arial"/>
                <w:b/>
                <w:bCs/>
                <w:sz w:val="18"/>
                <w:szCs w:val="18"/>
              </w:rPr>
              <w:t xml:space="preserve">lass </w:t>
            </w:r>
          </w:p>
        </w:tc>
        <w:tc>
          <w:tcPr>
            <w:tcW w:w="714" w:type="pct"/>
            <w:gridSpan w:val="2"/>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ND</w:t>
            </w:r>
          </w:p>
        </w:tc>
        <w:tc>
          <w:tcPr>
            <w:tcW w:w="571" w:type="pct"/>
            <w:gridSpan w:val="2"/>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IND</w:t>
            </w:r>
          </w:p>
        </w:tc>
        <w:tc>
          <w:tcPr>
            <w:tcW w:w="574" w:type="pct"/>
            <w:gridSpan w:val="2"/>
            <w:tcBorders>
              <w:bottom w:val="single" w:sz="4" w:space="0" w:color="auto"/>
              <w:right w:val="double" w:sz="4" w:space="0" w:color="auto"/>
            </w:tcBorders>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LGD</w:t>
            </w:r>
          </w:p>
        </w:tc>
        <w:tc>
          <w:tcPr>
            <w:tcW w:w="667" w:type="pct"/>
            <w:gridSpan w:val="2"/>
            <w:tcBorders>
              <w:left w:val="double" w:sz="4" w:space="0" w:color="auto"/>
            </w:tcBorders>
            <w:vAlign w:val="center"/>
          </w:tcPr>
          <w:p w:rsidR="00B24089" w:rsidRPr="00B17DBF" w:rsidRDefault="00B24089" w:rsidP="00D55468">
            <w:pPr>
              <w:jc w:val="center"/>
              <w:rPr>
                <w:rFonts w:ascii="Arial" w:hAnsi="Arial" w:cs="Arial"/>
                <w:sz w:val="18"/>
                <w:szCs w:val="18"/>
              </w:rPr>
            </w:pPr>
            <w:r w:rsidRPr="00B17DBF">
              <w:rPr>
                <w:rFonts w:ascii="Arial" w:hAnsi="Arial" w:cs="Arial"/>
                <w:sz w:val="18"/>
                <w:szCs w:val="18"/>
              </w:rPr>
              <w:t>ND</w:t>
            </w:r>
          </w:p>
        </w:tc>
        <w:tc>
          <w:tcPr>
            <w:tcW w:w="619" w:type="pct"/>
            <w:gridSpan w:val="2"/>
            <w:vAlign w:val="center"/>
          </w:tcPr>
          <w:p w:rsidR="00B24089" w:rsidRPr="00B17DBF" w:rsidRDefault="00B24089" w:rsidP="00D55468">
            <w:pPr>
              <w:jc w:val="center"/>
              <w:rPr>
                <w:rFonts w:ascii="Arial" w:hAnsi="Arial" w:cs="Arial"/>
                <w:sz w:val="18"/>
                <w:szCs w:val="18"/>
              </w:rPr>
            </w:pPr>
            <w:r w:rsidRPr="00B17DBF">
              <w:rPr>
                <w:rFonts w:ascii="Arial" w:hAnsi="Arial" w:cs="Arial"/>
                <w:sz w:val="18"/>
                <w:szCs w:val="18"/>
              </w:rPr>
              <w:t>IND</w:t>
            </w:r>
          </w:p>
        </w:tc>
        <w:tc>
          <w:tcPr>
            <w:tcW w:w="571" w:type="pct"/>
            <w:gridSpan w:val="2"/>
            <w:vAlign w:val="center"/>
          </w:tcPr>
          <w:p w:rsidR="00B24089" w:rsidRPr="00B17DBF" w:rsidRDefault="00B24089" w:rsidP="00D55468">
            <w:pPr>
              <w:jc w:val="center"/>
              <w:rPr>
                <w:rFonts w:ascii="Arial" w:hAnsi="Arial" w:cs="Arial"/>
                <w:sz w:val="18"/>
                <w:szCs w:val="18"/>
              </w:rPr>
            </w:pPr>
            <w:r w:rsidRPr="00B17DBF">
              <w:rPr>
                <w:rFonts w:ascii="Arial" w:hAnsi="Arial" w:cs="Arial"/>
                <w:sz w:val="18"/>
                <w:szCs w:val="18"/>
              </w:rPr>
              <w:t>LGD</w:t>
            </w:r>
          </w:p>
        </w:tc>
      </w:tr>
      <w:tr w:rsidR="00B24089" w:rsidRPr="00B17DBF" w:rsidTr="00BF5A63">
        <w:trPr>
          <w:trHeight w:hRule="exact" w:val="351"/>
        </w:trPr>
        <w:tc>
          <w:tcPr>
            <w:tcW w:w="1284" w:type="pct"/>
            <w:vMerge/>
            <w:vAlign w:val="center"/>
            <w:hideMark/>
          </w:tcPr>
          <w:p w:rsidR="00B24089" w:rsidRPr="00B17DBF" w:rsidRDefault="00B24089" w:rsidP="00D55468">
            <w:pPr>
              <w:rPr>
                <w:rFonts w:ascii="Arial" w:hAnsi="Arial" w:cs="Arial"/>
                <w:sz w:val="18"/>
                <w:szCs w:val="18"/>
              </w:rPr>
            </w:pPr>
          </w:p>
        </w:tc>
        <w:tc>
          <w:tcPr>
            <w:tcW w:w="714" w:type="pct"/>
            <w:gridSpan w:val="2"/>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26</w:t>
            </w:r>
          </w:p>
        </w:tc>
        <w:tc>
          <w:tcPr>
            <w:tcW w:w="571" w:type="pct"/>
            <w:gridSpan w:val="2"/>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1</w:t>
            </w:r>
          </w:p>
        </w:tc>
        <w:tc>
          <w:tcPr>
            <w:tcW w:w="574" w:type="pct"/>
            <w:gridSpan w:val="2"/>
            <w:tcBorders>
              <w:bottom w:val="single" w:sz="4" w:space="0" w:color="auto"/>
              <w:right w:val="double" w:sz="4" w:space="0" w:color="auto"/>
            </w:tcBorders>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14</w:t>
            </w:r>
          </w:p>
        </w:tc>
        <w:tc>
          <w:tcPr>
            <w:tcW w:w="667" w:type="pct"/>
            <w:gridSpan w:val="2"/>
            <w:tcBorders>
              <w:left w:val="double" w:sz="4" w:space="0" w:color="auto"/>
            </w:tcBorders>
            <w:vAlign w:val="center"/>
          </w:tcPr>
          <w:p w:rsidR="00B24089" w:rsidRPr="00B17DBF" w:rsidRDefault="00B24089" w:rsidP="00D55468">
            <w:pPr>
              <w:jc w:val="center"/>
              <w:rPr>
                <w:rFonts w:ascii="Arial" w:hAnsi="Arial" w:cs="Arial"/>
                <w:sz w:val="18"/>
                <w:szCs w:val="18"/>
              </w:rPr>
            </w:pPr>
            <w:r w:rsidRPr="00B17DBF">
              <w:rPr>
                <w:rFonts w:ascii="Arial" w:hAnsi="Arial" w:cs="Arial"/>
                <w:sz w:val="18"/>
                <w:szCs w:val="18"/>
              </w:rPr>
              <w:t>31</w:t>
            </w:r>
          </w:p>
        </w:tc>
        <w:tc>
          <w:tcPr>
            <w:tcW w:w="619" w:type="pct"/>
            <w:gridSpan w:val="2"/>
            <w:vAlign w:val="center"/>
          </w:tcPr>
          <w:p w:rsidR="00B24089" w:rsidRPr="00B17DBF" w:rsidRDefault="00B24089" w:rsidP="00D55468">
            <w:pPr>
              <w:jc w:val="center"/>
              <w:rPr>
                <w:rFonts w:ascii="Arial" w:hAnsi="Arial" w:cs="Arial"/>
                <w:sz w:val="18"/>
                <w:szCs w:val="18"/>
              </w:rPr>
            </w:pPr>
            <w:r w:rsidRPr="00B17DBF">
              <w:rPr>
                <w:rFonts w:ascii="Arial" w:hAnsi="Arial" w:cs="Arial"/>
                <w:sz w:val="18"/>
                <w:szCs w:val="18"/>
              </w:rPr>
              <w:t>2</w:t>
            </w:r>
          </w:p>
        </w:tc>
        <w:tc>
          <w:tcPr>
            <w:tcW w:w="571" w:type="pct"/>
            <w:gridSpan w:val="2"/>
            <w:vAlign w:val="center"/>
          </w:tcPr>
          <w:p w:rsidR="00B24089" w:rsidRPr="00B17DBF" w:rsidRDefault="00B24089" w:rsidP="00D55468">
            <w:pPr>
              <w:jc w:val="center"/>
              <w:rPr>
                <w:rFonts w:ascii="Arial" w:hAnsi="Arial" w:cs="Arial"/>
                <w:sz w:val="18"/>
                <w:szCs w:val="18"/>
              </w:rPr>
            </w:pPr>
            <w:r w:rsidRPr="00B17DBF">
              <w:rPr>
                <w:rFonts w:ascii="Arial" w:hAnsi="Arial" w:cs="Arial"/>
                <w:sz w:val="18"/>
                <w:szCs w:val="18"/>
              </w:rPr>
              <w:t>5</w:t>
            </w:r>
          </w:p>
        </w:tc>
      </w:tr>
      <w:tr w:rsidR="00B24089" w:rsidRPr="00B17DBF" w:rsidTr="00BF5A63">
        <w:trPr>
          <w:trHeight w:hRule="exact" w:val="580"/>
        </w:trPr>
        <w:tc>
          <w:tcPr>
            <w:tcW w:w="1284" w:type="pct"/>
            <w:vAlign w:val="center"/>
            <w:hideMark/>
          </w:tcPr>
          <w:p w:rsidR="00B24089" w:rsidRPr="00B17DBF" w:rsidRDefault="00B24089" w:rsidP="00D55468">
            <w:pPr>
              <w:rPr>
                <w:rFonts w:ascii="Arial" w:hAnsi="Arial" w:cs="Arial"/>
                <w:b/>
                <w:bCs/>
                <w:sz w:val="18"/>
                <w:szCs w:val="18"/>
              </w:rPr>
            </w:pPr>
            <w:r w:rsidRPr="00B17DBF">
              <w:rPr>
                <w:rFonts w:ascii="Arial" w:hAnsi="Arial" w:cs="Arial"/>
                <w:b/>
                <w:bCs/>
                <w:sz w:val="18"/>
                <w:szCs w:val="18"/>
              </w:rPr>
              <w:t xml:space="preserve">Progression Endpoint </w:t>
            </w:r>
          </w:p>
          <w:p w:rsidR="00B24089" w:rsidRPr="00B17DBF" w:rsidRDefault="00B24089" w:rsidP="00D55468">
            <w:pPr>
              <w:rPr>
                <w:rFonts w:ascii="Arial" w:hAnsi="Arial" w:cs="Arial"/>
                <w:sz w:val="18"/>
                <w:szCs w:val="18"/>
              </w:rPr>
            </w:pPr>
            <w:r w:rsidRPr="00B17DBF">
              <w:rPr>
                <w:rFonts w:ascii="Arial" w:hAnsi="Arial" w:cs="Arial"/>
                <w:bCs/>
                <w:sz w:val="18"/>
                <w:szCs w:val="18"/>
              </w:rPr>
              <w:t>(HGD or EAC)</w:t>
            </w:r>
          </w:p>
        </w:tc>
        <w:tc>
          <w:tcPr>
            <w:tcW w:w="714" w:type="pct"/>
            <w:gridSpan w:val="2"/>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19 HGD</w:t>
            </w:r>
          </w:p>
          <w:p w:rsidR="00B24089" w:rsidRPr="00B17DBF" w:rsidRDefault="00B24089" w:rsidP="00D55468">
            <w:pPr>
              <w:jc w:val="center"/>
              <w:rPr>
                <w:rFonts w:ascii="Arial" w:hAnsi="Arial" w:cs="Arial"/>
                <w:sz w:val="18"/>
                <w:szCs w:val="18"/>
              </w:rPr>
            </w:pPr>
            <w:r w:rsidRPr="00B17DBF">
              <w:rPr>
                <w:rFonts w:ascii="Arial" w:hAnsi="Arial" w:cs="Arial"/>
                <w:sz w:val="18"/>
                <w:szCs w:val="18"/>
              </w:rPr>
              <w:t>7 EAC</w:t>
            </w:r>
          </w:p>
        </w:tc>
        <w:tc>
          <w:tcPr>
            <w:tcW w:w="571" w:type="pct"/>
            <w:gridSpan w:val="2"/>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1 HGD</w:t>
            </w:r>
          </w:p>
          <w:p w:rsidR="00B24089" w:rsidRPr="00B17DBF" w:rsidRDefault="00B24089" w:rsidP="00D55468">
            <w:pPr>
              <w:jc w:val="center"/>
              <w:rPr>
                <w:rFonts w:ascii="Arial" w:hAnsi="Arial" w:cs="Arial"/>
                <w:sz w:val="18"/>
                <w:szCs w:val="18"/>
              </w:rPr>
            </w:pPr>
            <w:r w:rsidRPr="00B17DBF">
              <w:rPr>
                <w:rFonts w:ascii="Arial" w:hAnsi="Arial" w:cs="Arial"/>
                <w:sz w:val="18"/>
                <w:szCs w:val="18"/>
              </w:rPr>
              <w:t>0 EAC</w:t>
            </w:r>
          </w:p>
        </w:tc>
        <w:tc>
          <w:tcPr>
            <w:tcW w:w="574" w:type="pct"/>
            <w:gridSpan w:val="2"/>
            <w:tcBorders>
              <w:right w:val="double" w:sz="4" w:space="0" w:color="auto"/>
            </w:tcBorders>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13 HGD</w:t>
            </w:r>
          </w:p>
          <w:p w:rsidR="00B24089" w:rsidRPr="00B17DBF" w:rsidRDefault="00B24089" w:rsidP="00D55468">
            <w:pPr>
              <w:jc w:val="center"/>
              <w:rPr>
                <w:rFonts w:ascii="Arial" w:hAnsi="Arial" w:cs="Arial"/>
                <w:sz w:val="18"/>
                <w:szCs w:val="18"/>
              </w:rPr>
            </w:pPr>
            <w:r w:rsidRPr="00B17DBF">
              <w:rPr>
                <w:rFonts w:ascii="Arial" w:hAnsi="Arial" w:cs="Arial"/>
                <w:sz w:val="18"/>
                <w:szCs w:val="18"/>
              </w:rPr>
              <w:t>1 EAC</w:t>
            </w:r>
          </w:p>
        </w:tc>
        <w:tc>
          <w:tcPr>
            <w:tcW w:w="667" w:type="pct"/>
            <w:gridSpan w:val="2"/>
            <w:tcBorders>
              <w:left w:val="double" w:sz="4" w:space="0" w:color="auto"/>
            </w:tcBorders>
            <w:vAlign w:val="center"/>
          </w:tcPr>
          <w:p w:rsidR="00B24089" w:rsidRPr="00B17DBF" w:rsidRDefault="00B24089" w:rsidP="00D55468">
            <w:pPr>
              <w:jc w:val="center"/>
              <w:rPr>
                <w:rFonts w:ascii="Arial" w:hAnsi="Arial" w:cs="Arial"/>
                <w:sz w:val="18"/>
                <w:szCs w:val="18"/>
              </w:rPr>
            </w:pPr>
            <w:r w:rsidRPr="00B17DBF">
              <w:rPr>
                <w:rFonts w:ascii="Arial" w:hAnsi="Arial" w:cs="Arial"/>
                <w:sz w:val="18"/>
                <w:szCs w:val="18"/>
              </w:rPr>
              <w:t>22 HGD</w:t>
            </w:r>
          </w:p>
          <w:p w:rsidR="00B24089" w:rsidRPr="00B17DBF" w:rsidRDefault="00B24089" w:rsidP="00D55468">
            <w:pPr>
              <w:jc w:val="center"/>
              <w:rPr>
                <w:rFonts w:ascii="Arial" w:hAnsi="Arial" w:cs="Arial"/>
                <w:sz w:val="18"/>
                <w:szCs w:val="18"/>
              </w:rPr>
            </w:pPr>
            <w:r w:rsidRPr="00B17DBF">
              <w:rPr>
                <w:rFonts w:ascii="Arial" w:hAnsi="Arial" w:cs="Arial"/>
                <w:sz w:val="18"/>
                <w:szCs w:val="18"/>
              </w:rPr>
              <w:t>9 EAC</w:t>
            </w:r>
          </w:p>
        </w:tc>
        <w:tc>
          <w:tcPr>
            <w:tcW w:w="619" w:type="pct"/>
            <w:gridSpan w:val="2"/>
            <w:vAlign w:val="center"/>
          </w:tcPr>
          <w:p w:rsidR="00B24089" w:rsidRPr="00B17DBF" w:rsidRDefault="00B24089" w:rsidP="00D55468">
            <w:pPr>
              <w:jc w:val="center"/>
              <w:rPr>
                <w:rFonts w:ascii="Arial" w:hAnsi="Arial" w:cs="Arial"/>
                <w:sz w:val="18"/>
                <w:szCs w:val="18"/>
              </w:rPr>
            </w:pPr>
            <w:r w:rsidRPr="00B17DBF">
              <w:rPr>
                <w:rFonts w:ascii="Arial" w:hAnsi="Arial" w:cs="Arial"/>
                <w:sz w:val="18"/>
                <w:szCs w:val="18"/>
              </w:rPr>
              <w:t>2 HGD</w:t>
            </w:r>
          </w:p>
          <w:p w:rsidR="00B24089" w:rsidRPr="00B17DBF" w:rsidRDefault="00B24089" w:rsidP="00D55468">
            <w:pPr>
              <w:jc w:val="center"/>
              <w:rPr>
                <w:rFonts w:ascii="Arial" w:hAnsi="Arial" w:cs="Arial"/>
                <w:sz w:val="18"/>
                <w:szCs w:val="18"/>
              </w:rPr>
            </w:pPr>
            <w:r w:rsidRPr="00B17DBF">
              <w:rPr>
                <w:rFonts w:ascii="Arial" w:hAnsi="Arial" w:cs="Arial"/>
                <w:sz w:val="18"/>
                <w:szCs w:val="18"/>
              </w:rPr>
              <w:t>0 EAC</w:t>
            </w:r>
          </w:p>
        </w:tc>
        <w:tc>
          <w:tcPr>
            <w:tcW w:w="571" w:type="pct"/>
            <w:gridSpan w:val="2"/>
            <w:vAlign w:val="center"/>
          </w:tcPr>
          <w:p w:rsidR="00B24089" w:rsidRPr="00B17DBF" w:rsidRDefault="00B24089" w:rsidP="00D55468">
            <w:pPr>
              <w:jc w:val="center"/>
              <w:rPr>
                <w:rFonts w:ascii="Arial" w:hAnsi="Arial" w:cs="Arial"/>
                <w:sz w:val="18"/>
                <w:szCs w:val="18"/>
              </w:rPr>
            </w:pPr>
            <w:r w:rsidRPr="00B17DBF">
              <w:rPr>
                <w:rFonts w:ascii="Arial" w:hAnsi="Arial" w:cs="Arial"/>
                <w:sz w:val="18"/>
                <w:szCs w:val="18"/>
              </w:rPr>
              <w:t>5 HGD</w:t>
            </w:r>
          </w:p>
          <w:p w:rsidR="00B24089" w:rsidRPr="00B17DBF" w:rsidRDefault="00B24089" w:rsidP="00D55468">
            <w:pPr>
              <w:jc w:val="center"/>
              <w:rPr>
                <w:rFonts w:ascii="Arial" w:hAnsi="Arial" w:cs="Arial"/>
                <w:sz w:val="18"/>
                <w:szCs w:val="18"/>
              </w:rPr>
            </w:pPr>
            <w:r w:rsidRPr="00B17DBF">
              <w:rPr>
                <w:rFonts w:ascii="Arial" w:hAnsi="Arial" w:cs="Arial"/>
                <w:sz w:val="18"/>
                <w:szCs w:val="18"/>
              </w:rPr>
              <w:t>0 EAC</w:t>
            </w:r>
          </w:p>
        </w:tc>
      </w:tr>
      <w:tr w:rsidR="00B24089" w:rsidRPr="00B17DBF" w:rsidTr="00BF5A63">
        <w:trPr>
          <w:trHeight w:hRule="exact" w:val="101"/>
        </w:trPr>
        <w:tc>
          <w:tcPr>
            <w:tcW w:w="5000" w:type="pct"/>
            <w:gridSpan w:val="13"/>
            <w:vAlign w:val="center"/>
          </w:tcPr>
          <w:p w:rsidR="00B24089" w:rsidRPr="00B17DBF" w:rsidRDefault="00B24089" w:rsidP="00D55468">
            <w:pPr>
              <w:jc w:val="center"/>
              <w:rPr>
                <w:rFonts w:ascii="Arial" w:hAnsi="Arial" w:cs="Arial"/>
                <w:sz w:val="18"/>
                <w:szCs w:val="18"/>
              </w:rPr>
            </w:pPr>
          </w:p>
        </w:tc>
      </w:tr>
      <w:tr w:rsidR="00B24089" w:rsidRPr="00B17DBF" w:rsidTr="00BF5A63">
        <w:trPr>
          <w:trHeight w:hRule="exact" w:val="351"/>
        </w:trPr>
        <w:tc>
          <w:tcPr>
            <w:tcW w:w="1284" w:type="pct"/>
            <w:vMerge w:val="restart"/>
            <w:vAlign w:val="center"/>
            <w:hideMark/>
          </w:tcPr>
          <w:p w:rsidR="00B24089" w:rsidRPr="00B17DBF" w:rsidRDefault="00B24089" w:rsidP="00D55468">
            <w:pPr>
              <w:rPr>
                <w:rFonts w:ascii="Arial" w:hAnsi="Arial" w:cs="Arial"/>
                <w:sz w:val="18"/>
                <w:szCs w:val="18"/>
              </w:rPr>
            </w:pPr>
            <w:r w:rsidRPr="00B17DBF">
              <w:rPr>
                <w:rFonts w:ascii="Arial" w:hAnsi="Arial" w:cs="Arial"/>
                <w:b/>
                <w:bCs/>
                <w:sz w:val="18"/>
                <w:szCs w:val="18"/>
              </w:rPr>
              <w:t xml:space="preserve"># Incident Progressor Patients </w:t>
            </w:r>
            <w:r w:rsidRPr="00B17DBF">
              <w:rPr>
                <w:rFonts w:ascii="Arial" w:hAnsi="Arial" w:cs="Arial"/>
                <w:bCs/>
                <w:sz w:val="18"/>
                <w:szCs w:val="18"/>
              </w:rPr>
              <w:t>(each institution)</w:t>
            </w:r>
          </w:p>
        </w:tc>
        <w:tc>
          <w:tcPr>
            <w:tcW w:w="474" w:type="pct"/>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AMC</w:t>
            </w:r>
          </w:p>
        </w:tc>
        <w:tc>
          <w:tcPr>
            <w:tcW w:w="558" w:type="pct"/>
            <w:gridSpan w:val="2"/>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Geisinger</w:t>
            </w:r>
          </w:p>
        </w:tc>
        <w:tc>
          <w:tcPr>
            <w:tcW w:w="434" w:type="pct"/>
            <w:gridSpan w:val="2"/>
            <w:vAlign w:val="center"/>
            <w:hideMark/>
          </w:tcPr>
          <w:p w:rsidR="00B24089" w:rsidRPr="00B17DBF" w:rsidRDefault="00B24089" w:rsidP="00D55468">
            <w:pPr>
              <w:jc w:val="center"/>
              <w:rPr>
                <w:rFonts w:ascii="Arial" w:hAnsi="Arial" w:cs="Arial"/>
                <w:sz w:val="18"/>
                <w:szCs w:val="18"/>
              </w:rPr>
            </w:pPr>
            <w:proofErr w:type="spellStart"/>
            <w:r w:rsidRPr="00B17DBF">
              <w:rPr>
                <w:rFonts w:ascii="Arial" w:hAnsi="Arial" w:cs="Arial"/>
                <w:sz w:val="18"/>
                <w:szCs w:val="18"/>
              </w:rPr>
              <w:t>UPenn</w:t>
            </w:r>
            <w:proofErr w:type="spellEnd"/>
          </w:p>
        </w:tc>
        <w:tc>
          <w:tcPr>
            <w:tcW w:w="392" w:type="pct"/>
            <w:tcBorders>
              <w:bottom w:val="single" w:sz="4" w:space="0" w:color="auto"/>
              <w:right w:val="double" w:sz="4" w:space="0" w:color="auto"/>
            </w:tcBorders>
            <w:vAlign w:val="center"/>
            <w:hideMark/>
          </w:tcPr>
          <w:p w:rsidR="00B24089" w:rsidRPr="00B17DBF" w:rsidRDefault="00B24089" w:rsidP="00D55468">
            <w:pPr>
              <w:jc w:val="center"/>
              <w:rPr>
                <w:rFonts w:ascii="Arial" w:hAnsi="Arial" w:cs="Arial"/>
                <w:sz w:val="18"/>
                <w:szCs w:val="18"/>
              </w:rPr>
            </w:pPr>
            <w:proofErr w:type="spellStart"/>
            <w:r w:rsidRPr="00B17DBF">
              <w:rPr>
                <w:rFonts w:ascii="Arial" w:hAnsi="Arial" w:cs="Arial"/>
                <w:sz w:val="18"/>
                <w:szCs w:val="18"/>
              </w:rPr>
              <w:t>UPitt</w:t>
            </w:r>
            <w:proofErr w:type="spellEnd"/>
          </w:p>
        </w:tc>
        <w:tc>
          <w:tcPr>
            <w:tcW w:w="478" w:type="pct"/>
            <w:tcBorders>
              <w:left w:val="double" w:sz="4" w:space="0" w:color="auto"/>
            </w:tcBorders>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AMC</w:t>
            </w:r>
          </w:p>
        </w:tc>
        <w:tc>
          <w:tcPr>
            <w:tcW w:w="578" w:type="pct"/>
            <w:gridSpan w:val="2"/>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Geisinger</w:t>
            </w:r>
          </w:p>
        </w:tc>
        <w:tc>
          <w:tcPr>
            <w:tcW w:w="435" w:type="pct"/>
            <w:gridSpan w:val="2"/>
            <w:vAlign w:val="center"/>
            <w:hideMark/>
          </w:tcPr>
          <w:p w:rsidR="00B24089" w:rsidRPr="00B17DBF" w:rsidRDefault="00B24089" w:rsidP="00D55468">
            <w:pPr>
              <w:jc w:val="center"/>
              <w:rPr>
                <w:rFonts w:ascii="Arial" w:hAnsi="Arial" w:cs="Arial"/>
                <w:sz w:val="18"/>
                <w:szCs w:val="18"/>
              </w:rPr>
            </w:pPr>
            <w:proofErr w:type="spellStart"/>
            <w:r w:rsidRPr="00B17DBF">
              <w:rPr>
                <w:rFonts w:ascii="Arial" w:hAnsi="Arial" w:cs="Arial"/>
                <w:sz w:val="18"/>
                <w:szCs w:val="18"/>
              </w:rPr>
              <w:t>UPenn</w:t>
            </w:r>
            <w:proofErr w:type="spellEnd"/>
          </w:p>
        </w:tc>
        <w:tc>
          <w:tcPr>
            <w:tcW w:w="368" w:type="pct"/>
            <w:vAlign w:val="center"/>
            <w:hideMark/>
          </w:tcPr>
          <w:p w:rsidR="00B24089" w:rsidRPr="00B17DBF" w:rsidRDefault="00B24089" w:rsidP="00D55468">
            <w:pPr>
              <w:jc w:val="center"/>
              <w:rPr>
                <w:rFonts w:ascii="Arial" w:hAnsi="Arial" w:cs="Arial"/>
                <w:sz w:val="18"/>
                <w:szCs w:val="18"/>
              </w:rPr>
            </w:pPr>
            <w:proofErr w:type="spellStart"/>
            <w:r w:rsidRPr="00B17DBF">
              <w:rPr>
                <w:rFonts w:ascii="Arial" w:hAnsi="Arial" w:cs="Arial"/>
                <w:sz w:val="18"/>
                <w:szCs w:val="18"/>
              </w:rPr>
              <w:t>UPitt</w:t>
            </w:r>
            <w:proofErr w:type="spellEnd"/>
          </w:p>
        </w:tc>
      </w:tr>
      <w:tr w:rsidR="00B24089" w:rsidRPr="00B17DBF" w:rsidTr="00BF5A63">
        <w:trPr>
          <w:trHeight w:hRule="exact" w:val="351"/>
        </w:trPr>
        <w:tc>
          <w:tcPr>
            <w:tcW w:w="1284" w:type="pct"/>
            <w:vMerge/>
            <w:vAlign w:val="center"/>
            <w:hideMark/>
          </w:tcPr>
          <w:p w:rsidR="00B24089" w:rsidRPr="00B17DBF" w:rsidRDefault="00B24089" w:rsidP="00D55468">
            <w:pPr>
              <w:rPr>
                <w:rFonts w:ascii="Arial" w:hAnsi="Arial" w:cs="Arial"/>
                <w:sz w:val="18"/>
                <w:szCs w:val="18"/>
              </w:rPr>
            </w:pPr>
          </w:p>
        </w:tc>
        <w:tc>
          <w:tcPr>
            <w:tcW w:w="474" w:type="pct"/>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25</w:t>
            </w:r>
          </w:p>
        </w:tc>
        <w:tc>
          <w:tcPr>
            <w:tcW w:w="558" w:type="pct"/>
            <w:gridSpan w:val="2"/>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9</w:t>
            </w:r>
          </w:p>
        </w:tc>
        <w:tc>
          <w:tcPr>
            <w:tcW w:w="434" w:type="pct"/>
            <w:gridSpan w:val="2"/>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1</w:t>
            </w:r>
          </w:p>
        </w:tc>
        <w:tc>
          <w:tcPr>
            <w:tcW w:w="392" w:type="pct"/>
            <w:tcBorders>
              <w:bottom w:val="single" w:sz="4" w:space="0" w:color="auto"/>
              <w:right w:val="double" w:sz="4" w:space="0" w:color="auto"/>
            </w:tcBorders>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6</w:t>
            </w:r>
          </w:p>
        </w:tc>
        <w:tc>
          <w:tcPr>
            <w:tcW w:w="478" w:type="pct"/>
            <w:tcBorders>
              <w:left w:val="double" w:sz="4" w:space="0" w:color="auto"/>
            </w:tcBorders>
            <w:vAlign w:val="center"/>
          </w:tcPr>
          <w:p w:rsidR="00B24089" w:rsidRPr="00B17DBF" w:rsidRDefault="00B24089" w:rsidP="00D55468">
            <w:pPr>
              <w:jc w:val="center"/>
              <w:rPr>
                <w:rFonts w:ascii="Arial" w:hAnsi="Arial" w:cs="Arial"/>
                <w:sz w:val="18"/>
                <w:szCs w:val="18"/>
              </w:rPr>
            </w:pPr>
            <w:r w:rsidRPr="00B17DBF">
              <w:rPr>
                <w:rFonts w:ascii="Arial" w:hAnsi="Arial" w:cs="Arial"/>
                <w:sz w:val="18"/>
                <w:szCs w:val="18"/>
              </w:rPr>
              <w:t>28</w:t>
            </w:r>
          </w:p>
        </w:tc>
        <w:tc>
          <w:tcPr>
            <w:tcW w:w="578" w:type="pct"/>
            <w:gridSpan w:val="2"/>
            <w:vAlign w:val="center"/>
          </w:tcPr>
          <w:p w:rsidR="00B24089" w:rsidRPr="00B17DBF" w:rsidRDefault="00B24089" w:rsidP="00D55468">
            <w:pPr>
              <w:jc w:val="center"/>
              <w:rPr>
                <w:rFonts w:ascii="Arial" w:hAnsi="Arial" w:cs="Arial"/>
                <w:sz w:val="18"/>
                <w:szCs w:val="18"/>
              </w:rPr>
            </w:pPr>
            <w:r w:rsidRPr="00B17DBF">
              <w:rPr>
                <w:rFonts w:ascii="Arial" w:hAnsi="Arial" w:cs="Arial"/>
                <w:sz w:val="18"/>
                <w:szCs w:val="18"/>
              </w:rPr>
              <w:t>4</w:t>
            </w:r>
          </w:p>
        </w:tc>
        <w:tc>
          <w:tcPr>
            <w:tcW w:w="435" w:type="pct"/>
            <w:gridSpan w:val="2"/>
            <w:vAlign w:val="center"/>
          </w:tcPr>
          <w:p w:rsidR="00B24089" w:rsidRPr="00B17DBF" w:rsidRDefault="00B24089" w:rsidP="00D55468">
            <w:pPr>
              <w:jc w:val="center"/>
              <w:rPr>
                <w:rFonts w:ascii="Arial" w:hAnsi="Arial" w:cs="Arial"/>
                <w:sz w:val="18"/>
                <w:szCs w:val="18"/>
              </w:rPr>
            </w:pPr>
            <w:r w:rsidRPr="00B17DBF">
              <w:rPr>
                <w:rFonts w:ascii="Arial" w:hAnsi="Arial" w:cs="Arial"/>
                <w:sz w:val="18"/>
                <w:szCs w:val="18"/>
              </w:rPr>
              <w:t>3</w:t>
            </w:r>
          </w:p>
        </w:tc>
        <w:tc>
          <w:tcPr>
            <w:tcW w:w="368" w:type="pct"/>
            <w:vAlign w:val="center"/>
          </w:tcPr>
          <w:p w:rsidR="00B24089" w:rsidRPr="00B17DBF" w:rsidRDefault="00B24089" w:rsidP="00D55468">
            <w:pPr>
              <w:jc w:val="center"/>
              <w:rPr>
                <w:rFonts w:ascii="Arial" w:hAnsi="Arial" w:cs="Arial"/>
                <w:sz w:val="18"/>
                <w:szCs w:val="18"/>
              </w:rPr>
            </w:pPr>
            <w:r w:rsidRPr="00B17DBF">
              <w:rPr>
                <w:rFonts w:ascii="Arial" w:hAnsi="Arial" w:cs="Arial"/>
                <w:sz w:val="18"/>
                <w:szCs w:val="18"/>
              </w:rPr>
              <w:t>3</w:t>
            </w:r>
          </w:p>
        </w:tc>
      </w:tr>
      <w:tr w:rsidR="00B24089" w:rsidRPr="00B17DBF" w:rsidTr="00BF5A63">
        <w:trPr>
          <w:trHeight w:hRule="exact" w:val="694"/>
        </w:trPr>
        <w:tc>
          <w:tcPr>
            <w:tcW w:w="1284" w:type="pct"/>
            <w:vAlign w:val="center"/>
            <w:hideMark/>
          </w:tcPr>
          <w:p w:rsidR="00B24089" w:rsidRPr="00B17DBF" w:rsidRDefault="00B24089" w:rsidP="00D55468">
            <w:pPr>
              <w:rPr>
                <w:rFonts w:ascii="Arial" w:hAnsi="Arial" w:cs="Arial"/>
                <w:b/>
                <w:bCs/>
                <w:sz w:val="18"/>
                <w:szCs w:val="18"/>
              </w:rPr>
            </w:pPr>
            <w:r w:rsidRPr="00B17DBF">
              <w:rPr>
                <w:rFonts w:ascii="Arial" w:hAnsi="Arial" w:cs="Arial"/>
                <w:b/>
                <w:bCs/>
                <w:sz w:val="18"/>
                <w:szCs w:val="18"/>
              </w:rPr>
              <w:t xml:space="preserve">Progression Endpoint </w:t>
            </w:r>
          </w:p>
          <w:p w:rsidR="00B24089" w:rsidRPr="00B17DBF" w:rsidRDefault="00B24089" w:rsidP="00D55468">
            <w:pPr>
              <w:rPr>
                <w:rFonts w:ascii="Arial" w:hAnsi="Arial" w:cs="Arial"/>
                <w:sz w:val="18"/>
                <w:szCs w:val="18"/>
              </w:rPr>
            </w:pPr>
            <w:r w:rsidRPr="00B17DBF">
              <w:rPr>
                <w:rFonts w:ascii="Arial" w:hAnsi="Arial" w:cs="Arial"/>
                <w:bCs/>
                <w:sz w:val="18"/>
                <w:szCs w:val="18"/>
              </w:rPr>
              <w:t>(HGD or EAC)</w:t>
            </w:r>
          </w:p>
        </w:tc>
        <w:tc>
          <w:tcPr>
            <w:tcW w:w="474" w:type="pct"/>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19 HGD</w:t>
            </w:r>
          </w:p>
          <w:p w:rsidR="00B24089" w:rsidRPr="00B17DBF" w:rsidRDefault="00B24089" w:rsidP="00D55468">
            <w:pPr>
              <w:jc w:val="center"/>
              <w:rPr>
                <w:rFonts w:ascii="Arial" w:hAnsi="Arial" w:cs="Arial"/>
                <w:sz w:val="18"/>
                <w:szCs w:val="18"/>
              </w:rPr>
            </w:pPr>
            <w:r w:rsidRPr="00B17DBF">
              <w:rPr>
                <w:rFonts w:ascii="Arial" w:hAnsi="Arial" w:cs="Arial"/>
                <w:sz w:val="18"/>
                <w:szCs w:val="18"/>
              </w:rPr>
              <w:t>6 EAC*</w:t>
            </w:r>
          </w:p>
        </w:tc>
        <w:tc>
          <w:tcPr>
            <w:tcW w:w="558" w:type="pct"/>
            <w:gridSpan w:val="2"/>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8 HGD</w:t>
            </w:r>
          </w:p>
          <w:p w:rsidR="00B24089" w:rsidRPr="00B17DBF" w:rsidRDefault="00B24089" w:rsidP="00D55468">
            <w:pPr>
              <w:jc w:val="center"/>
              <w:rPr>
                <w:rFonts w:ascii="Arial" w:hAnsi="Arial" w:cs="Arial"/>
                <w:sz w:val="18"/>
                <w:szCs w:val="18"/>
              </w:rPr>
            </w:pPr>
            <w:r w:rsidRPr="00B17DBF">
              <w:rPr>
                <w:rFonts w:ascii="Arial" w:hAnsi="Arial" w:cs="Arial"/>
                <w:sz w:val="18"/>
                <w:szCs w:val="18"/>
              </w:rPr>
              <w:t>1 EAC</w:t>
            </w:r>
          </w:p>
        </w:tc>
        <w:tc>
          <w:tcPr>
            <w:tcW w:w="434" w:type="pct"/>
            <w:gridSpan w:val="2"/>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1 HGD</w:t>
            </w:r>
          </w:p>
          <w:p w:rsidR="00B24089" w:rsidRPr="00B17DBF" w:rsidRDefault="00B24089" w:rsidP="00D55468">
            <w:pPr>
              <w:jc w:val="center"/>
              <w:rPr>
                <w:rFonts w:ascii="Arial" w:hAnsi="Arial" w:cs="Arial"/>
                <w:sz w:val="18"/>
                <w:szCs w:val="18"/>
              </w:rPr>
            </w:pPr>
            <w:r w:rsidRPr="00B17DBF">
              <w:rPr>
                <w:rFonts w:ascii="Arial" w:hAnsi="Arial" w:cs="Arial"/>
                <w:sz w:val="18"/>
                <w:szCs w:val="18"/>
              </w:rPr>
              <w:t>0 EAC</w:t>
            </w:r>
          </w:p>
        </w:tc>
        <w:tc>
          <w:tcPr>
            <w:tcW w:w="392" w:type="pct"/>
            <w:tcBorders>
              <w:right w:val="double" w:sz="4" w:space="0" w:color="auto"/>
            </w:tcBorders>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5 HGD</w:t>
            </w:r>
          </w:p>
          <w:p w:rsidR="00B24089" w:rsidRPr="00B17DBF" w:rsidRDefault="00B24089" w:rsidP="00D55468">
            <w:pPr>
              <w:jc w:val="center"/>
              <w:rPr>
                <w:rFonts w:ascii="Arial" w:hAnsi="Arial" w:cs="Arial"/>
                <w:sz w:val="18"/>
                <w:szCs w:val="18"/>
              </w:rPr>
            </w:pPr>
            <w:r w:rsidRPr="00B17DBF">
              <w:rPr>
                <w:rFonts w:ascii="Arial" w:hAnsi="Arial" w:cs="Arial"/>
                <w:sz w:val="18"/>
                <w:szCs w:val="18"/>
              </w:rPr>
              <w:t>1 EAC</w:t>
            </w:r>
          </w:p>
        </w:tc>
        <w:tc>
          <w:tcPr>
            <w:tcW w:w="478" w:type="pct"/>
            <w:tcBorders>
              <w:left w:val="double" w:sz="4" w:space="0" w:color="auto"/>
            </w:tcBorders>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22 HGD</w:t>
            </w:r>
          </w:p>
          <w:p w:rsidR="00B24089" w:rsidRPr="00B17DBF" w:rsidRDefault="00B24089" w:rsidP="00D55468">
            <w:pPr>
              <w:jc w:val="center"/>
              <w:rPr>
                <w:rFonts w:ascii="Arial" w:hAnsi="Arial" w:cs="Arial"/>
                <w:sz w:val="18"/>
                <w:szCs w:val="18"/>
              </w:rPr>
            </w:pPr>
            <w:r w:rsidRPr="00B17DBF">
              <w:rPr>
                <w:rFonts w:ascii="Arial" w:hAnsi="Arial" w:cs="Arial"/>
                <w:sz w:val="18"/>
                <w:szCs w:val="18"/>
              </w:rPr>
              <w:t>6 EAC*</w:t>
            </w:r>
          </w:p>
        </w:tc>
        <w:tc>
          <w:tcPr>
            <w:tcW w:w="578" w:type="pct"/>
            <w:gridSpan w:val="2"/>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2 HGD</w:t>
            </w:r>
          </w:p>
          <w:p w:rsidR="00B24089" w:rsidRPr="00B17DBF" w:rsidRDefault="00B24089" w:rsidP="00D55468">
            <w:pPr>
              <w:jc w:val="center"/>
              <w:rPr>
                <w:rFonts w:ascii="Arial" w:hAnsi="Arial" w:cs="Arial"/>
                <w:sz w:val="18"/>
                <w:szCs w:val="18"/>
              </w:rPr>
            </w:pPr>
            <w:r w:rsidRPr="00B17DBF">
              <w:rPr>
                <w:rFonts w:ascii="Arial" w:hAnsi="Arial" w:cs="Arial"/>
                <w:sz w:val="18"/>
                <w:szCs w:val="18"/>
              </w:rPr>
              <w:t>2 EAC</w:t>
            </w:r>
          </w:p>
        </w:tc>
        <w:tc>
          <w:tcPr>
            <w:tcW w:w="435" w:type="pct"/>
            <w:gridSpan w:val="2"/>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3 HGD</w:t>
            </w:r>
          </w:p>
          <w:p w:rsidR="00B24089" w:rsidRPr="00B17DBF" w:rsidRDefault="00B24089" w:rsidP="00D55468">
            <w:pPr>
              <w:jc w:val="center"/>
              <w:rPr>
                <w:rFonts w:ascii="Arial" w:hAnsi="Arial" w:cs="Arial"/>
                <w:sz w:val="18"/>
                <w:szCs w:val="18"/>
              </w:rPr>
            </w:pPr>
            <w:r w:rsidRPr="00B17DBF">
              <w:rPr>
                <w:rFonts w:ascii="Arial" w:hAnsi="Arial" w:cs="Arial"/>
                <w:sz w:val="18"/>
                <w:szCs w:val="18"/>
              </w:rPr>
              <w:t>0 EAC</w:t>
            </w:r>
          </w:p>
        </w:tc>
        <w:tc>
          <w:tcPr>
            <w:tcW w:w="368" w:type="pct"/>
            <w:vAlign w:val="center"/>
            <w:hideMark/>
          </w:tcPr>
          <w:p w:rsidR="00B24089" w:rsidRPr="00B17DBF" w:rsidRDefault="00B24089" w:rsidP="00D55468">
            <w:pPr>
              <w:jc w:val="center"/>
              <w:rPr>
                <w:rFonts w:ascii="Arial" w:hAnsi="Arial" w:cs="Arial"/>
                <w:sz w:val="18"/>
                <w:szCs w:val="18"/>
              </w:rPr>
            </w:pPr>
            <w:r w:rsidRPr="00B17DBF">
              <w:rPr>
                <w:rFonts w:ascii="Arial" w:hAnsi="Arial" w:cs="Arial"/>
                <w:sz w:val="18"/>
                <w:szCs w:val="18"/>
              </w:rPr>
              <w:t>2 HGD</w:t>
            </w:r>
          </w:p>
          <w:p w:rsidR="00B24089" w:rsidRPr="00B17DBF" w:rsidRDefault="00B24089" w:rsidP="00D55468">
            <w:pPr>
              <w:jc w:val="center"/>
              <w:rPr>
                <w:rFonts w:ascii="Arial" w:hAnsi="Arial" w:cs="Arial"/>
                <w:sz w:val="18"/>
                <w:szCs w:val="18"/>
              </w:rPr>
            </w:pPr>
            <w:r w:rsidRPr="00B17DBF">
              <w:rPr>
                <w:rFonts w:ascii="Arial" w:hAnsi="Arial" w:cs="Arial"/>
                <w:sz w:val="18"/>
                <w:szCs w:val="18"/>
              </w:rPr>
              <w:t>1 EAC</w:t>
            </w:r>
          </w:p>
        </w:tc>
      </w:tr>
      <w:tr w:rsidR="00B24089" w:rsidRPr="00B17DBF" w:rsidTr="00BF5A63">
        <w:trPr>
          <w:trHeight w:hRule="exact" w:val="309"/>
        </w:trPr>
        <w:tc>
          <w:tcPr>
            <w:tcW w:w="5000" w:type="pct"/>
            <w:gridSpan w:val="13"/>
            <w:vAlign w:val="center"/>
          </w:tcPr>
          <w:p w:rsidR="00B24089" w:rsidRPr="00B17DBF" w:rsidRDefault="00B24089" w:rsidP="00D55468">
            <w:pPr>
              <w:pStyle w:val="ListParagraph"/>
              <w:ind w:left="0"/>
              <w:rPr>
                <w:rFonts w:ascii="Arial" w:hAnsi="Arial" w:cs="Arial"/>
                <w:sz w:val="18"/>
                <w:szCs w:val="18"/>
              </w:rPr>
            </w:pPr>
            <w:r w:rsidRPr="00B17DBF">
              <w:rPr>
                <w:rFonts w:ascii="Arial" w:hAnsi="Arial" w:cs="Arial"/>
                <w:sz w:val="18"/>
                <w:szCs w:val="18"/>
              </w:rPr>
              <w:t>*early stage esophageal adenocarcinomas</w:t>
            </w:r>
          </w:p>
        </w:tc>
      </w:tr>
    </w:tbl>
    <w:p w:rsidR="00B24089" w:rsidRPr="00B17DBF" w:rsidRDefault="00B24089" w:rsidP="00B24089">
      <w:pPr>
        <w:spacing w:line="480" w:lineRule="auto"/>
        <w:rPr>
          <w:rFonts w:ascii="Arial" w:hAnsi="Arial" w:cs="Arial"/>
          <w:b/>
        </w:rPr>
      </w:pPr>
    </w:p>
    <w:p w:rsidR="00B24089" w:rsidRPr="00B17DBF" w:rsidRDefault="00B24089" w:rsidP="00B24089">
      <w:pPr>
        <w:spacing w:line="480" w:lineRule="auto"/>
        <w:rPr>
          <w:rFonts w:ascii="Arial" w:hAnsi="Arial" w:cs="Arial"/>
          <w:b/>
        </w:rPr>
      </w:pPr>
    </w:p>
    <w:p w:rsidR="00B24089" w:rsidRPr="00B17DBF" w:rsidRDefault="00B24089" w:rsidP="00B24089">
      <w:pPr>
        <w:spacing w:line="480" w:lineRule="auto"/>
        <w:rPr>
          <w:rFonts w:ascii="Arial" w:hAnsi="Arial" w:cs="Arial"/>
          <w:b/>
        </w:rPr>
      </w:pPr>
    </w:p>
    <w:p w:rsidR="00B24089" w:rsidRPr="00B17DBF" w:rsidRDefault="00B24089" w:rsidP="00B24089">
      <w:pPr>
        <w:spacing w:line="480" w:lineRule="auto"/>
        <w:rPr>
          <w:rFonts w:ascii="Arial" w:hAnsi="Arial" w:cs="Arial"/>
          <w:b/>
        </w:rPr>
      </w:pPr>
    </w:p>
    <w:p w:rsidR="00B24089" w:rsidRPr="00B17DBF" w:rsidRDefault="00B24089" w:rsidP="00B24089">
      <w:pPr>
        <w:spacing w:line="480" w:lineRule="auto"/>
        <w:rPr>
          <w:rFonts w:ascii="Arial" w:hAnsi="Arial" w:cs="Arial"/>
          <w:b/>
        </w:rPr>
      </w:pPr>
    </w:p>
    <w:p w:rsidR="00B24089" w:rsidRPr="00B17DBF" w:rsidRDefault="00B24089" w:rsidP="00B24089">
      <w:pPr>
        <w:spacing w:line="480" w:lineRule="auto"/>
        <w:rPr>
          <w:rFonts w:ascii="Arial" w:hAnsi="Arial" w:cs="Arial"/>
          <w:b/>
        </w:rPr>
      </w:pPr>
    </w:p>
    <w:p w:rsidR="00B24089" w:rsidRPr="00B17DBF" w:rsidRDefault="00B24089" w:rsidP="00B24089">
      <w:pPr>
        <w:spacing w:line="480" w:lineRule="auto"/>
        <w:rPr>
          <w:rFonts w:ascii="Arial" w:hAnsi="Arial" w:cs="Arial"/>
          <w:b/>
        </w:rPr>
      </w:pPr>
    </w:p>
    <w:p w:rsidR="00B24089" w:rsidRPr="00B17DBF" w:rsidRDefault="00B24089" w:rsidP="00B24089">
      <w:pPr>
        <w:spacing w:line="480" w:lineRule="auto"/>
        <w:rPr>
          <w:rFonts w:ascii="Arial" w:hAnsi="Arial" w:cs="Arial"/>
          <w:b/>
        </w:rPr>
      </w:pPr>
    </w:p>
    <w:p w:rsidR="00B24089" w:rsidRDefault="00B24089" w:rsidP="00B24089">
      <w:pPr>
        <w:spacing w:line="480" w:lineRule="auto"/>
        <w:rPr>
          <w:rFonts w:ascii="Arial" w:hAnsi="Arial" w:cs="Arial"/>
          <w:b/>
        </w:rPr>
      </w:pPr>
    </w:p>
    <w:p w:rsidR="00B24089" w:rsidRPr="00B17DBF" w:rsidRDefault="00B24089" w:rsidP="00B24089">
      <w:pPr>
        <w:spacing w:line="480" w:lineRule="auto"/>
        <w:rPr>
          <w:rFonts w:ascii="Arial" w:hAnsi="Arial" w:cs="Arial"/>
        </w:rPr>
      </w:pPr>
    </w:p>
    <w:p w:rsidR="00B24089" w:rsidRDefault="00B24089" w:rsidP="00B24089">
      <w:pPr>
        <w:autoSpaceDE w:val="0"/>
        <w:autoSpaceDN w:val="0"/>
        <w:adjustRightInd w:val="0"/>
        <w:spacing w:after="0" w:line="240" w:lineRule="auto"/>
        <w:rPr>
          <w:rFonts w:ascii="Arial" w:hAnsi="Arial" w:cs="Arial"/>
        </w:rPr>
      </w:pPr>
    </w:p>
    <w:tbl>
      <w:tblPr>
        <w:tblStyle w:val="TableGrid"/>
        <w:tblW w:w="9060" w:type="dxa"/>
        <w:tblLook w:val="04A0" w:firstRow="1" w:lastRow="0" w:firstColumn="1" w:lastColumn="0" w:noHBand="0" w:noVBand="1"/>
      </w:tblPr>
      <w:tblGrid>
        <w:gridCol w:w="1722"/>
        <w:gridCol w:w="1359"/>
        <w:gridCol w:w="1386"/>
        <w:gridCol w:w="1614"/>
        <w:gridCol w:w="1564"/>
        <w:gridCol w:w="1415"/>
      </w:tblGrid>
      <w:tr w:rsidR="00F021AF" w:rsidRPr="00E02573" w:rsidTr="00664F62">
        <w:trPr>
          <w:trHeight w:val="425"/>
        </w:trPr>
        <w:tc>
          <w:tcPr>
            <w:tcW w:w="0" w:type="auto"/>
            <w:gridSpan w:val="6"/>
            <w:shd w:val="clear" w:color="auto" w:fill="auto"/>
            <w:vAlign w:val="center"/>
          </w:tcPr>
          <w:p w:rsidR="00F021AF" w:rsidRPr="00E02573" w:rsidRDefault="00F021AF" w:rsidP="009F65CC">
            <w:pPr>
              <w:rPr>
                <w:rFonts w:ascii="Arial" w:hAnsi="Arial" w:cs="Arial"/>
                <w:b/>
                <w:sz w:val="18"/>
                <w:szCs w:val="20"/>
                <w:shd w:val="clear" w:color="auto" w:fill="FFFFFF"/>
              </w:rPr>
            </w:pPr>
            <w:r w:rsidRPr="00E02573">
              <w:rPr>
                <w:rFonts w:ascii="Arial" w:hAnsi="Arial" w:cs="Arial"/>
                <w:b/>
                <w:sz w:val="18"/>
                <w:szCs w:val="20"/>
                <w:shd w:val="clear" w:color="auto" w:fill="FFFFFF"/>
              </w:rPr>
              <w:t>Table S2. Correlation Among Quantitative Image Analysis Features Derived from the Same Candidate Biomarkers</w:t>
            </w:r>
          </w:p>
        </w:tc>
      </w:tr>
      <w:tr w:rsidR="00664F62" w:rsidRPr="00E02573" w:rsidTr="00664F62">
        <w:trPr>
          <w:trHeight w:val="648"/>
        </w:trPr>
        <w:tc>
          <w:tcPr>
            <w:tcW w:w="0" w:type="auto"/>
            <w:shd w:val="clear" w:color="auto" w:fill="auto"/>
            <w:vAlign w:val="center"/>
          </w:tcPr>
          <w:p w:rsidR="00F021AF" w:rsidRPr="00E02573" w:rsidRDefault="00F021AF" w:rsidP="009F65CC">
            <w:pPr>
              <w:jc w:val="center"/>
              <w:rPr>
                <w:rFonts w:ascii="Arial" w:hAnsi="Arial" w:cs="Arial"/>
                <w:b/>
                <w:sz w:val="18"/>
                <w:szCs w:val="20"/>
                <w:shd w:val="clear" w:color="auto" w:fill="FFFFFF"/>
              </w:rPr>
            </w:pPr>
            <w:r>
              <w:rPr>
                <w:rFonts w:ascii="Arial" w:hAnsi="Arial" w:cs="Arial"/>
                <w:b/>
                <w:sz w:val="18"/>
                <w:szCs w:val="20"/>
                <w:shd w:val="clear" w:color="auto" w:fill="FFFFFF"/>
              </w:rPr>
              <w:t>Feature</w:t>
            </w:r>
          </w:p>
        </w:tc>
        <w:tc>
          <w:tcPr>
            <w:tcW w:w="0" w:type="auto"/>
            <w:shd w:val="clear" w:color="auto" w:fill="auto"/>
            <w:vAlign w:val="center"/>
          </w:tcPr>
          <w:p w:rsidR="00F021AF" w:rsidRPr="00E02573" w:rsidRDefault="00F021AF" w:rsidP="009F65CC">
            <w:pPr>
              <w:jc w:val="center"/>
              <w:rPr>
                <w:rFonts w:ascii="Arial" w:hAnsi="Arial" w:cs="Arial"/>
                <w:b/>
                <w:sz w:val="18"/>
                <w:szCs w:val="20"/>
                <w:shd w:val="clear" w:color="auto" w:fill="FFFFFF"/>
              </w:rPr>
            </w:pPr>
            <w:r w:rsidRPr="00E02573">
              <w:rPr>
                <w:rFonts w:ascii="Arial" w:hAnsi="Arial" w:cs="Arial"/>
                <w:b/>
                <w:sz w:val="18"/>
                <w:szCs w:val="20"/>
                <w:shd w:val="clear" w:color="auto" w:fill="FFFFFF"/>
              </w:rPr>
              <w:t>p53 nuclear sum intensity</w:t>
            </w:r>
          </w:p>
        </w:tc>
        <w:tc>
          <w:tcPr>
            <w:tcW w:w="0" w:type="auto"/>
            <w:shd w:val="clear" w:color="auto" w:fill="auto"/>
            <w:vAlign w:val="center"/>
          </w:tcPr>
          <w:p w:rsidR="00F021AF" w:rsidRPr="00E02573" w:rsidRDefault="00F021AF" w:rsidP="009F65CC">
            <w:pPr>
              <w:jc w:val="center"/>
              <w:rPr>
                <w:rFonts w:ascii="Arial" w:hAnsi="Arial" w:cs="Arial"/>
                <w:b/>
                <w:sz w:val="18"/>
                <w:szCs w:val="20"/>
                <w:shd w:val="clear" w:color="auto" w:fill="FFFFFF"/>
              </w:rPr>
            </w:pPr>
            <w:r w:rsidRPr="00E02573">
              <w:rPr>
                <w:rFonts w:ascii="Arial" w:hAnsi="Arial" w:cs="Arial"/>
                <w:b/>
                <w:sz w:val="18"/>
                <w:szCs w:val="20"/>
                <w:shd w:val="clear" w:color="auto" w:fill="FFFFFF"/>
              </w:rPr>
              <w:t>p53 nuclear mean intensity</w:t>
            </w:r>
          </w:p>
        </w:tc>
        <w:tc>
          <w:tcPr>
            <w:tcW w:w="0" w:type="auto"/>
            <w:shd w:val="clear" w:color="auto" w:fill="auto"/>
            <w:vAlign w:val="center"/>
          </w:tcPr>
          <w:p w:rsidR="00F021AF" w:rsidRPr="00E02573" w:rsidRDefault="00F021AF" w:rsidP="009F65CC">
            <w:pPr>
              <w:jc w:val="center"/>
              <w:rPr>
                <w:rFonts w:ascii="Arial" w:hAnsi="Arial" w:cs="Arial"/>
                <w:b/>
                <w:sz w:val="18"/>
                <w:szCs w:val="20"/>
                <w:shd w:val="clear" w:color="auto" w:fill="FFFFFF"/>
              </w:rPr>
            </w:pPr>
            <w:r w:rsidRPr="00E02573">
              <w:rPr>
                <w:rFonts w:ascii="Arial" w:hAnsi="Arial" w:cs="Arial"/>
                <w:b/>
                <w:sz w:val="18"/>
                <w:szCs w:val="20"/>
                <w:shd w:val="clear" w:color="auto" w:fill="FFFFFF"/>
              </w:rPr>
              <w:t>p53 mean intensity in nuclei clusters</w:t>
            </w:r>
          </w:p>
        </w:tc>
        <w:tc>
          <w:tcPr>
            <w:tcW w:w="0" w:type="auto"/>
            <w:shd w:val="clear" w:color="auto" w:fill="auto"/>
            <w:vAlign w:val="center"/>
          </w:tcPr>
          <w:p w:rsidR="00F021AF" w:rsidRPr="00E02573" w:rsidRDefault="00F021AF" w:rsidP="009F65CC">
            <w:pPr>
              <w:jc w:val="center"/>
              <w:rPr>
                <w:rFonts w:ascii="Arial" w:hAnsi="Arial" w:cs="Arial"/>
                <w:b/>
                <w:sz w:val="18"/>
                <w:szCs w:val="20"/>
                <w:shd w:val="clear" w:color="auto" w:fill="FFFFFF"/>
              </w:rPr>
            </w:pPr>
            <w:r w:rsidRPr="00E02573">
              <w:rPr>
                <w:rFonts w:ascii="Arial" w:hAnsi="Arial" w:cs="Arial"/>
                <w:b/>
                <w:sz w:val="18"/>
                <w:szCs w:val="20"/>
                <w:shd w:val="clear" w:color="auto" w:fill="FFFFFF"/>
              </w:rPr>
              <w:t>p16 cytoplasm mean intensity</w:t>
            </w:r>
          </w:p>
        </w:tc>
        <w:tc>
          <w:tcPr>
            <w:tcW w:w="0" w:type="auto"/>
            <w:shd w:val="clear" w:color="auto" w:fill="auto"/>
            <w:vAlign w:val="center"/>
          </w:tcPr>
          <w:p w:rsidR="00F021AF" w:rsidRPr="00E02573" w:rsidRDefault="00F021AF" w:rsidP="009F65CC">
            <w:pPr>
              <w:jc w:val="center"/>
              <w:rPr>
                <w:rFonts w:ascii="Arial" w:hAnsi="Arial" w:cs="Arial"/>
                <w:b/>
                <w:sz w:val="18"/>
                <w:szCs w:val="20"/>
                <w:shd w:val="clear" w:color="auto" w:fill="FFFFFF"/>
              </w:rPr>
            </w:pPr>
            <w:r w:rsidRPr="00E02573">
              <w:rPr>
                <w:rFonts w:ascii="Arial" w:hAnsi="Arial" w:cs="Arial"/>
                <w:b/>
                <w:sz w:val="18"/>
                <w:szCs w:val="20"/>
                <w:shd w:val="clear" w:color="auto" w:fill="FFFFFF"/>
              </w:rPr>
              <w:t>Nuclear area in p53+ p16- cells</w:t>
            </w:r>
          </w:p>
        </w:tc>
      </w:tr>
      <w:tr w:rsidR="00664F62" w:rsidRPr="00E02573" w:rsidTr="00664F62">
        <w:trPr>
          <w:trHeight w:val="648"/>
        </w:trPr>
        <w:tc>
          <w:tcPr>
            <w:tcW w:w="0" w:type="auto"/>
            <w:shd w:val="clear" w:color="auto" w:fill="auto"/>
            <w:vAlign w:val="center"/>
          </w:tcPr>
          <w:p w:rsidR="00F021AF" w:rsidRPr="00E02573" w:rsidRDefault="00F021AF" w:rsidP="009F65CC">
            <w:pPr>
              <w:jc w:val="center"/>
              <w:rPr>
                <w:rFonts w:ascii="Arial" w:hAnsi="Arial" w:cs="Arial"/>
                <w:b/>
                <w:sz w:val="18"/>
                <w:szCs w:val="20"/>
                <w:shd w:val="clear" w:color="auto" w:fill="FFFFFF"/>
              </w:rPr>
            </w:pPr>
            <w:r w:rsidRPr="00E02573">
              <w:rPr>
                <w:rFonts w:ascii="Arial" w:hAnsi="Arial" w:cs="Arial"/>
                <w:b/>
                <w:sz w:val="18"/>
                <w:szCs w:val="20"/>
                <w:shd w:val="clear" w:color="auto" w:fill="FFFFFF"/>
              </w:rPr>
              <w:t>p53 nuclear sum intensity</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r w:rsidRPr="00E02573">
              <w:rPr>
                <w:rFonts w:ascii="Arial" w:hAnsi="Arial" w:cs="Arial"/>
                <w:sz w:val="18"/>
                <w:szCs w:val="20"/>
                <w:shd w:val="clear" w:color="auto" w:fill="FFFFFF"/>
              </w:rPr>
              <w:t>-0.60</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r w:rsidRPr="00E02573">
              <w:rPr>
                <w:rFonts w:ascii="Arial" w:hAnsi="Arial" w:cs="Arial"/>
                <w:sz w:val="18"/>
                <w:szCs w:val="20"/>
                <w:shd w:val="clear" w:color="auto" w:fill="FFFFFF"/>
              </w:rPr>
              <w:t>-0.60</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r w:rsidRPr="00E02573">
              <w:rPr>
                <w:rFonts w:ascii="Arial" w:hAnsi="Arial" w:cs="Arial"/>
                <w:sz w:val="18"/>
                <w:szCs w:val="20"/>
                <w:shd w:val="clear" w:color="auto" w:fill="FFFFFF"/>
              </w:rPr>
              <w:t>0.07</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r w:rsidRPr="00E02573">
              <w:rPr>
                <w:rFonts w:ascii="Arial" w:hAnsi="Arial" w:cs="Arial"/>
                <w:sz w:val="18"/>
                <w:szCs w:val="20"/>
                <w:shd w:val="clear" w:color="auto" w:fill="FFFFFF"/>
              </w:rPr>
              <w:t>-0.24</w:t>
            </w:r>
          </w:p>
        </w:tc>
      </w:tr>
      <w:tr w:rsidR="00664F62" w:rsidRPr="00E02573" w:rsidTr="00664F62">
        <w:trPr>
          <w:trHeight w:val="648"/>
        </w:trPr>
        <w:tc>
          <w:tcPr>
            <w:tcW w:w="0" w:type="auto"/>
            <w:shd w:val="clear" w:color="auto" w:fill="auto"/>
            <w:vAlign w:val="center"/>
          </w:tcPr>
          <w:p w:rsidR="00F021AF" w:rsidRPr="00E02573" w:rsidRDefault="00F021AF" w:rsidP="009F65CC">
            <w:pPr>
              <w:jc w:val="center"/>
              <w:rPr>
                <w:rFonts w:ascii="Arial" w:hAnsi="Arial" w:cs="Arial"/>
                <w:b/>
                <w:sz w:val="18"/>
                <w:szCs w:val="20"/>
                <w:shd w:val="clear" w:color="auto" w:fill="FFFFFF"/>
              </w:rPr>
            </w:pPr>
            <w:r w:rsidRPr="00E02573">
              <w:rPr>
                <w:rFonts w:ascii="Arial" w:hAnsi="Arial" w:cs="Arial"/>
                <w:b/>
                <w:sz w:val="18"/>
                <w:szCs w:val="20"/>
                <w:shd w:val="clear" w:color="auto" w:fill="FFFFFF"/>
              </w:rPr>
              <w:t>p53 nuclear mean intensity</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r w:rsidRPr="00E02573">
              <w:rPr>
                <w:rFonts w:ascii="Arial" w:hAnsi="Arial" w:cs="Arial"/>
                <w:sz w:val="18"/>
                <w:szCs w:val="20"/>
                <w:shd w:val="clear" w:color="auto" w:fill="FFFFFF"/>
              </w:rPr>
              <w:t>-0.60</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r w:rsidRPr="00E02573">
              <w:rPr>
                <w:rFonts w:ascii="Arial" w:hAnsi="Arial" w:cs="Arial"/>
                <w:sz w:val="18"/>
                <w:szCs w:val="20"/>
                <w:shd w:val="clear" w:color="auto" w:fill="FFFFFF"/>
              </w:rPr>
              <w:t>0.82</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r w:rsidRPr="00E02573">
              <w:rPr>
                <w:rFonts w:ascii="Arial" w:hAnsi="Arial" w:cs="Arial"/>
                <w:sz w:val="18"/>
                <w:szCs w:val="20"/>
                <w:shd w:val="clear" w:color="auto" w:fill="FFFFFF"/>
              </w:rPr>
              <w:t>0.09</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r w:rsidRPr="00E02573">
              <w:rPr>
                <w:rFonts w:ascii="Arial" w:hAnsi="Arial" w:cs="Arial"/>
                <w:sz w:val="18"/>
                <w:szCs w:val="20"/>
                <w:shd w:val="clear" w:color="auto" w:fill="FFFFFF"/>
              </w:rPr>
              <w:t>0.02</w:t>
            </w:r>
          </w:p>
        </w:tc>
      </w:tr>
      <w:tr w:rsidR="00664F62" w:rsidRPr="00E02573" w:rsidTr="00664F62">
        <w:trPr>
          <w:trHeight w:val="648"/>
        </w:trPr>
        <w:tc>
          <w:tcPr>
            <w:tcW w:w="0" w:type="auto"/>
            <w:shd w:val="clear" w:color="auto" w:fill="auto"/>
            <w:vAlign w:val="center"/>
          </w:tcPr>
          <w:p w:rsidR="00F021AF" w:rsidRPr="00E02573" w:rsidRDefault="00F021AF" w:rsidP="009F65CC">
            <w:pPr>
              <w:jc w:val="center"/>
              <w:rPr>
                <w:rFonts w:ascii="Arial" w:hAnsi="Arial" w:cs="Arial"/>
                <w:b/>
                <w:sz w:val="18"/>
                <w:szCs w:val="20"/>
                <w:shd w:val="clear" w:color="auto" w:fill="FFFFFF"/>
              </w:rPr>
            </w:pPr>
            <w:r w:rsidRPr="00E02573">
              <w:rPr>
                <w:rFonts w:ascii="Arial" w:hAnsi="Arial" w:cs="Arial"/>
                <w:b/>
                <w:sz w:val="18"/>
                <w:szCs w:val="20"/>
                <w:shd w:val="clear" w:color="auto" w:fill="FFFFFF"/>
              </w:rPr>
              <w:t>p53 mean intensity in nuclei clusters</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r w:rsidRPr="00E02573">
              <w:rPr>
                <w:rFonts w:ascii="Arial" w:hAnsi="Arial" w:cs="Arial"/>
                <w:sz w:val="18"/>
                <w:szCs w:val="20"/>
                <w:shd w:val="clear" w:color="auto" w:fill="FFFFFF"/>
              </w:rPr>
              <w:t>-0.60</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r w:rsidRPr="00E02573">
              <w:rPr>
                <w:rFonts w:ascii="Arial" w:hAnsi="Arial" w:cs="Arial"/>
                <w:sz w:val="18"/>
                <w:szCs w:val="20"/>
                <w:shd w:val="clear" w:color="auto" w:fill="FFFFFF"/>
              </w:rPr>
              <w:t>0.82</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r w:rsidRPr="00E02573">
              <w:rPr>
                <w:rFonts w:ascii="Arial" w:hAnsi="Arial" w:cs="Arial"/>
                <w:sz w:val="18"/>
                <w:szCs w:val="20"/>
                <w:shd w:val="clear" w:color="auto" w:fill="FFFFFF"/>
              </w:rPr>
              <w:t>0.14</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r w:rsidRPr="00E02573">
              <w:rPr>
                <w:rFonts w:ascii="Arial" w:hAnsi="Arial" w:cs="Arial"/>
                <w:sz w:val="18"/>
                <w:szCs w:val="20"/>
                <w:shd w:val="clear" w:color="auto" w:fill="FFFFFF"/>
              </w:rPr>
              <w:t>0.13</w:t>
            </w:r>
          </w:p>
        </w:tc>
      </w:tr>
      <w:tr w:rsidR="00664F62" w:rsidRPr="00E02573" w:rsidTr="00664F62">
        <w:trPr>
          <w:trHeight w:val="648"/>
        </w:trPr>
        <w:tc>
          <w:tcPr>
            <w:tcW w:w="0" w:type="auto"/>
            <w:shd w:val="clear" w:color="auto" w:fill="auto"/>
            <w:vAlign w:val="center"/>
          </w:tcPr>
          <w:p w:rsidR="00F021AF" w:rsidRPr="00E02573" w:rsidRDefault="00F021AF" w:rsidP="009F65CC">
            <w:pPr>
              <w:jc w:val="center"/>
              <w:rPr>
                <w:rFonts w:ascii="Arial" w:hAnsi="Arial" w:cs="Arial"/>
                <w:b/>
                <w:sz w:val="18"/>
                <w:szCs w:val="20"/>
                <w:shd w:val="clear" w:color="auto" w:fill="FFFFFF"/>
              </w:rPr>
            </w:pPr>
            <w:r w:rsidRPr="00E02573">
              <w:rPr>
                <w:rFonts w:ascii="Arial" w:hAnsi="Arial" w:cs="Arial"/>
                <w:b/>
                <w:sz w:val="18"/>
                <w:szCs w:val="20"/>
                <w:shd w:val="clear" w:color="auto" w:fill="FFFFFF"/>
              </w:rPr>
              <w:t>p16 cytoplasm mean intensity</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r w:rsidRPr="00E02573">
              <w:rPr>
                <w:rFonts w:ascii="Arial" w:hAnsi="Arial" w:cs="Arial"/>
                <w:sz w:val="18"/>
                <w:szCs w:val="20"/>
                <w:shd w:val="clear" w:color="auto" w:fill="FFFFFF"/>
              </w:rPr>
              <w:t>0.07</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r w:rsidRPr="00E02573">
              <w:rPr>
                <w:rFonts w:ascii="Arial" w:hAnsi="Arial" w:cs="Arial"/>
                <w:sz w:val="18"/>
                <w:szCs w:val="20"/>
                <w:shd w:val="clear" w:color="auto" w:fill="FFFFFF"/>
              </w:rPr>
              <w:t>0.09</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r w:rsidRPr="00E02573">
              <w:rPr>
                <w:rFonts w:ascii="Arial" w:hAnsi="Arial" w:cs="Arial"/>
                <w:sz w:val="18"/>
                <w:szCs w:val="20"/>
                <w:shd w:val="clear" w:color="auto" w:fill="FFFFFF"/>
              </w:rPr>
              <w:t>0.14</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r w:rsidRPr="00E02573">
              <w:rPr>
                <w:rFonts w:ascii="Arial" w:hAnsi="Arial" w:cs="Arial"/>
                <w:sz w:val="18"/>
                <w:szCs w:val="20"/>
                <w:shd w:val="clear" w:color="auto" w:fill="FFFFFF"/>
              </w:rPr>
              <w:t>0.19</w:t>
            </w:r>
          </w:p>
        </w:tc>
      </w:tr>
      <w:tr w:rsidR="00664F62" w:rsidRPr="00E02573" w:rsidTr="00664F62">
        <w:trPr>
          <w:trHeight w:val="648"/>
        </w:trPr>
        <w:tc>
          <w:tcPr>
            <w:tcW w:w="0" w:type="auto"/>
            <w:shd w:val="clear" w:color="auto" w:fill="auto"/>
            <w:vAlign w:val="center"/>
          </w:tcPr>
          <w:p w:rsidR="00F021AF" w:rsidRPr="00E02573" w:rsidRDefault="00F021AF" w:rsidP="009F65CC">
            <w:pPr>
              <w:jc w:val="center"/>
              <w:rPr>
                <w:rFonts w:ascii="Arial" w:hAnsi="Arial" w:cs="Arial"/>
                <w:b/>
                <w:sz w:val="18"/>
                <w:szCs w:val="20"/>
                <w:shd w:val="clear" w:color="auto" w:fill="FFFFFF"/>
              </w:rPr>
            </w:pPr>
            <w:r w:rsidRPr="00E02573">
              <w:rPr>
                <w:rFonts w:ascii="Arial" w:hAnsi="Arial" w:cs="Arial"/>
                <w:b/>
                <w:sz w:val="18"/>
                <w:szCs w:val="20"/>
                <w:shd w:val="clear" w:color="auto" w:fill="FFFFFF"/>
              </w:rPr>
              <w:t>Nuclear area in p53+ p16- cells</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r w:rsidRPr="00E02573">
              <w:rPr>
                <w:rFonts w:ascii="Arial" w:hAnsi="Arial" w:cs="Arial"/>
                <w:sz w:val="18"/>
                <w:szCs w:val="20"/>
                <w:shd w:val="clear" w:color="auto" w:fill="FFFFFF"/>
              </w:rPr>
              <w:t>-0.24</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r w:rsidRPr="00E02573">
              <w:rPr>
                <w:rFonts w:ascii="Arial" w:hAnsi="Arial" w:cs="Arial"/>
                <w:sz w:val="18"/>
                <w:szCs w:val="20"/>
                <w:shd w:val="clear" w:color="auto" w:fill="FFFFFF"/>
              </w:rPr>
              <w:t>0.02</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r w:rsidRPr="00E02573">
              <w:rPr>
                <w:rFonts w:ascii="Arial" w:hAnsi="Arial" w:cs="Arial"/>
                <w:sz w:val="18"/>
                <w:szCs w:val="20"/>
                <w:shd w:val="clear" w:color="auto" w:fill="FFFFFF"/>
              </w:rPr>
              <w:t>0.13</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r w:rsidRPr="00E02573">
              <w:rPr>
                <w:rFonts w:ascii="Arial" w:hAnsi="Arial" w:cs="Arial"/>
                <w:sz w:val="18"/>
                <w:szCs w:val="20"/>
                <w:shd w:val="clear" w:color="auto" w:fill="FFFFFF"/>
              </w:rPr>
              <w:t>0.19</w:t>
            </w:r>
          </w:p>
        </w:tc>
        <w:tc>
          <w:tcPr>
            <w:tcW w:w="0" w:type="auto"/>
            <w:shd w:val="clear" w:color="auto" w:fill="auto"/>
            <w:vAlign w:val="center"/>
          </w:tcPr>
          <w:p w:rsidR="00F021AF" w:rsidRPr="00E02573" w:rsidRDefault="00F021AF" w:rsidP="009F65CC">
            <w:pPr>
              <w:jc w:val="center"/>
              <w:rPr>
                <w:rFonts w:ascii="Arial" w:hAnsi="Arial" w:cs="Arial"/>
                <w:sz w:val="18"/>
                <w:szCs w:val="20"/>
                <w:shd w:val="clear" w:color="auto" w:fill="FFFFFF"/>
              </w:rPr>
            </w:pPr>
          </w:p>
        </w:tc>
      </w:tr>
    </w:tbl>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Default="00F021AF" w:rsidP="00B24089">
      <w:pPr>
        <w:autoSpaceDE w:val="0"/>
        <w:autoSpaceDN w:val="0"/>
        <w:adjustRightInd w:val="0"/>
        <w:spacing w:after="0" w:line="240" w:lineRule="auto"/>
        <w:rPr>
          <w:rFonts w:ascii="Arial" w:hAnsi="Arial" w:cs="Arial"/>
        </w:rPr>
      </w:pPr>
    </w:p>
    <w:p w:rsidR="00F021AF" w:rsidRPr="00B17DBF" w:rsidRDefault="00F021AF" w:rsidP="00B24089">
      <w:pPr>
        <w:autoSpaceDE w:val="0"/>
        <w:autoSpaceDN w:val="0"/>
        <w:adjustRightInd w:val="0"/>
        <w:spacing w:after="0" w:line="240" w:lineRule="auto"/>
        <w:rPr>
          <w:rFonts w:ascii="Arial" w:hAnsi="Arial" w:cs="Arial"/>
        </w:rPr>
      </w:pPr>
    </w:p>
    <w:tbl>
      <w:tblPr>
        <w:tblW w:w="8880" w:type="dxa"/>
        <w:tblCellMar>
          <w:left w:w="0" w:type="dxa"/>
          <w:right w:w="0" w:type="dxa"/>
        </w:tblCellMar>
        <w:tblLook w:val="0420" w:firstRow="1" w:lastRow="0" w:firstColumn="0" w:lastColumn="0" w:noHBand="0" w:noVBand="1"/>
      </w:tblPr>
      <w:tblGrid>
        <w:gridCol w:w="4788"/>
        <w:gridCol w:w="2160"/>
        <w:gridCol w:w="1932"/>
      </w:tblGrid>
      <w:tr w:rsidR="00B24089" w:rsidRPr="00B17DBF" w:rsidTr="00D55468">
        <w:trPr>
          <w:trHeight w:hRule="exact" w:val="539"/>
        </w:trPr>
        <w:tc>
          <w:tcPr>
            <w:tcW w:w="8880"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957E0A">
            <w:pPr>
              <w:spacing w:after="0"/>
              <w:rPr>
                <w:rFonts w:ascii="Arial" w:hAnsi="Arial" w:cs="Arial"/>
                <w:sz w:val="18"/>
                <w:szCs w:val="18"/>
              </w:rPr>
            </w:pPr>
            <w:r w:rsidRPr="00B17DBF">
              <w:rPr>
                <w:rFonts w:ascii="Arial" w:hAnsi="Arial" w:cs="Arial"/>
                <w:b/>
                <w:bCs/>
                <w:sz w:val="18"/>
                <w:szCs w:val="18"/>
              </w:rPr>
              <w:t xml:space="preserve">Table </w:t>
            </w:r>
            <w:r w:rsidR="00D760E6" w:rsidRPr="00B17DBF">
              <w:rPr>
                <w:rFonts w:ascii="Arial" w:hAnsi="Arial" w:cs="Arial"/>
                <w:b/>
                <w:bCs/>
                <w:sz w:val="18"/>
                <w:szCs w:val="18"/>
              </w:rPr>
              <w:t>S</w:t>
            </w:r>
            <w:r w:rsidR="00957E0A">
              <w:rPr>
                <w:rFonts w:ascii="Arial" w:hAnsi="Arial" w:cs="Arial"/>
                <w:b/>
                <w:bCs/>
                <w:sz w:val="18"/>
                <w:szCs w:val="18"/>
              </w:rPr>
              <w:t>3</w:t>
            </w:r>
            <w:r w:rsidRPr="00B17DBF">
              <w:rPr>
                <w:rFonts w:ascii="Arial" w:hAnsi="Arial" w:cs="Arial"/>
                <w:b/>
                <w:bCs/>
                <w:sz w:val="18"/>
                <w:szCs w:val="18"/>
              </w:rPr>
              <w:t>. Comparison of Predictive Performance of Risk Classes Predicted by Test vs. Clinical Variables in Training Set of BE Patients</w:t>
            </w:r>
          </w:p>
        </w:tc>
      </w:tr>
      <w:tr w:rsidR="00B24089" w:rsidRPr="00B17DBF" w:rsidTr="00D55468">
        <w:trPr>
          <w:trHeight w:hRule="exact" w:val="539"/>
        </w:trPr>
        <w:tc>
          <w:tcPr>
            <w:tcW w:w="8880"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rPr>
                <w:rFonts w:ascii="Arial" w:hAnsi="Arial" w:cs="Arial"/>
                <w:sz w:val="18"/>
                <w:szCs w:val="18"/>
              </w:rPr>
            </w:pPr>
            <w:r w:rsidRPr="00B17DBF">
              <w:rPr>
                <w:rFonts w:ascii="Arial" w:hAnsi="Arial" w:cs="Arial"/>
                <w:b/>
                <w:bCs/>
                <w:sz w:val="18"/>
                <w:szCs w:val="18"/>
              </w:rPr>
              <w:t>A. Prognostic Performance of Risk Classes vs. Clinical Variables*</w:t>
            </w:r>
          </w:p>
        </w:tc>
      </w:tr>
      <w:tr w:rsidR="00B24089" w:rsidRPr="00B17DBF" w:rsidTr="00D55468">
        <w:trPr>
          <w:trHeight w:hRule="exact" w:val="566"/>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rPr>
                <w:rFonts w:ascii="Arial" w:hAnsi="Arial" w:cs="Arial"/>
                <w:sz w:val="18"/>
                <w:szCs w:val="18"/>
              </w:rPr>
            </w:pPr>
            <w:r w:rsidRPr="00B17DBF">
              <w:rPr>
                <w:rFonts w:ascii="Arial" w:hAnsi="Arial" w:cs="Arial"/>
                <w:b/>
                <w:bCs/>
                <w:sz w:val="18"/>
                <w:szCs w:val="18"/>
              </w:rPr>
              <w:t>Variable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jc w:val="center"/>
              <w:rPr>
                <w:rFonts w:ascii="Arial" w:hAnsi="Arial" w:cs="Arial"/>
                <w:sz w:val="18"/>
                <w:szCs w:val="18"/>
              </w:rPr>
            </w:pPr>
            <w:r w:rsidRPr="00B17DBF">
              <w:rPr>
                <w:rFonts w:ascii="Arial" w:hAnsi="Arial" w:cs="Arial"/>
                <w:b/>
                <w:bCs/>
                <w:sz w:val="18"/>
                <w:szCs w:val="18"/>
              </w:rPr>
              <w:t>Multivariate Hazard Ratio (95% CI)</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jc w:val="center"/>
              <w:rPr>
                <w:rFonts w:ascii="Arial" w:hAnsi="Arial" w:cs="Arial"/>
                <w:sz w:val="18"/>
                <w:szCs w:val="18"/>
              </w:rPr>
            </w:pPr>
            <w:r w:rsidRPr="00B17DBF">
              <w:rPr>
                <w:rFonts w:ascii="Arial" w:hAnsi="Arial" w:cs="Arial"/>
                <w:b/>
                <w:bCs/>
                <w:sz w:val="18"/>
                <w:szCs w:val="18"/>
              </w:rPr>
              <w:t>P Value</w:t>
            </w: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rPr>
                <w:rFonts w:ascii="Arial" w:hAnsi="Arial" w:cs="Arial"/>
                <w:sz w:val="18"/>
                <w:szCs w:val="18"/>
              </w:rPr>
            </w:pPr>
            <w:r w:rsidRPr="00B17DBF">
              <w:rPr>
                <w:rFonts w:ascii="Arial" w:hAnsi="Arial" w:cs="Arial"/>
                <w:b/>
                <w:bCs/>
                <w:sz w:val="18"/>
                <w:szCs w:val="18"/>
              </w:rPr>
              <w:t xml:space="preserve">Analysis </w:t>
            </w:r>
            <w:r w:rsidRPr="00B17DBF">
              <w:rPr>
                <w:rFonts w:ascii="Arial" w:hAnsi="Arial" w:cs="Arial"/>
                <w:b/>
                <w:bCs/>
                <w:i/>
                <w:sz w:val="18"/>
                <w:szCs w:val="18"/>
              </w:rPr>
              <w:t>without</w:t>
            </w:r>
            <w:r w:rsidRPr="00B17DBF">
              <w:rPr>
                <w:rFonts w:ascii="Arial" w:hAnsi="Arial" w:cs="Arial"/>
                <w:b/>
                <w:bCs/>
                <w:sz w:val="18"/>
                <w:szCs w:val="18"/>
              </w:rPr>
              <w:t xml:space="preserve"> Risk Prediction Test</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rPr>
                <w:rFonts w:ascii="Arial" w:hAnsi="Arial" w:cs="Arial"/>
                <w:sz w:val="18"/>
                <w:szCs w:val="18"/>
              </w:rPr>
            </w:pP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rPr>
                <w:rFonts w:ascii="Arial" w:hAnsi="Arial" w:cs="Arial"/>
                <w:sz w:val="18"/>
                <w:szCs w:val="18"/>
              </w:rPr>
            </w:pP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rPr>
                <w:rFonts w:ascii="Arial" w:hAnsi="Arial" w:cs="Arial"/>
                <w:i/>
                <w:sz w:val="18"/>
                <w:szCs w:val="18"/>
              </w:rPr>
            </w:pPr>
            <w:r w:rsidRPr="00B17DBF">
              <w:rPr>
                <w:rFonts w:ascii="Arial" w:hAnsi="Arial" w:cs="Arial"/>
                <w:sz w:val="18"/>
                <w:szCs w:val="18"/>
              </w:rPr>
              <w:t xml:space="preserve">General Pathologist's </w:t>
            </w:r>
            <w:proofErr w:type="spellStart"/>
            <w:r w:rsidRPr="00B17DBF">
              <w:rPr>
                <w:rFonts w:ascii="Arial" w:hAnsi="Arial" w:cs="Arial"/>
                <w:sz w:val="18"/>
                <w:szCs w:val="18"/>
              </w:rPr>
              <w:t>Dx</w:t>
            </w:r>
            <w:proofErr w:type="spellEnd"/>
            <w:r w:rsidRPr="00B17DBF">
              <w:rPr>
                <w:rFonts w:ascii="Arial" w:hAnsi="Arial" w:cs="Arial"/>
                <w:i/>
                <w:sz w:val="18"/>
                <w:szCs w:val="18"/>
              </w:rPr>
              <w:t xml:space="preserve"> </w:t>
            </w:r>
            <w:r w:rsidRPr="00B17DBF">
              <w:rPr>
                <w:rFonts w:ascii="Arial" w:hAnsi="Arial" w:cs="Arial"/>
                <w:sz w:val="18"/>
                <w:szCs w:val="18"/>
              </w:rPr>
              <w:t>(LGD vs. ND/IND)</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2.17 (1.05 - 4.47)</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0.04</w:t>
            </w: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rPr>
                <w:rFonts w:ascii="Arial" w:hAnsi="Arial" w:cs="Arial"/>
                <w:sz w:val="18"/>
                <w:szCs w:val="18"/>
              </w:rPr>
            </w:pPr>
            <w:r w:rsidRPr="00B17DBF">
              <w:rPr>
                <w:rFonts w:ascii="Arial" w:hAnsi="Arial" w:cs="Arial"/>
                <w:sz w:val="18"/>
                <w:szCs w:val="18"/>
              </w:rPr>
              <w:t>BE segment length (Long vs. Short)</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1.09 (0.55 - 2.19)</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0.8</w:t>
            </w: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rPr>
                <w:rFonts w:ascii="Arial" w:hAnsi="Arial" w:cs="Arial"/>
                <w:sz w:val="18"/>
                <w:szCs w:val="18"/>
              </w:rPr>
            </w:pPr>
            <w:r w:rsidRPr="00B17DBF">
              <w:rPr>
                <w:rFonts w:ascii="Arial" w:hAnsi="Arial" w:cs="Arial"/>
                <w:sz w:val="18"/>
                <w:szCs w:val="18"/>
              </w:rPr>
              <w:t>Age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1.03 (0.99 - 1.06)</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0.12</w:t>
            </w: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rPr>
                <w:rFonts w:ascii="Arial" w:hAnsi="Arial" w:cs="Arial"/>
                <w:sz w:val="18"/>
                <w:szCs w:val="18"/>
              </w:rPr>
            </w:pPr>
            <w:r w:rsidRPr="00B17DBF">
              <w:rPr>
                <w:rFonts w:ascii="Arial" w:hAnsi="Arial" w:cs="Arial"/>
                <w:sz w:val="18"/>
                <w:szCs w:val="18"/>
              </w:rPr>
              <w:t>Gender</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0.85 (0.37 - 1.97)</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0.71</w:t>
            </w: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rPr>
                <w:rFonts w:ascii="Arial" w:hAnsi="Arial" w:cs="Arial"/>
                <w:sz w:val="18"/>
                <w:szCs w:val="18"/>
              </w:rPr>
            </w:pPr>
            <w:r w:rsidRPr="00B17DBF">
              <w:rPr>
                <w:rFonts w:ascii="Arial" w:hAnsi="Arial" w:cs="Arial"/>
                <w:sz w:val="18"/>
                <w:szCs w:val="18"/>
              </w:rPr>
              <w:t>p53 (% cells overexpressing)</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4.23 (0.09 - 202.5)</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0.46</w:t>
            </w: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rPr>
                <w:rFonts w:ascii="Arial" w:hAnsi="Arial" w:cs="Arial"/>
                <w:sz w:val="18"/>
                <w:szCs w:val="18"/>
              </w:rPr>
            </w:pP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jc w:val="center"/>
              <w:rPr>
                <w:rFonts w:ascii="Arial" w:hAnsi="Arial" w:cs="Arial"/>
                <w:sz w:val="18"/>
                <w:szCs w:val="18"/>
              </w:rPr>
            </w:pP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jc w:val="center"/>
              <w:rPr>
                <w:rFonts w:ascii="Arial" w:hAnsi="Arial" w:cs="Arial"/>
                <w:sz w:val="18"/>
                <w:szCs w:val="18"/>
              </w:rPr>
            </w:pP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rPr>
                <w:rFonts w:ascii="Arial" w:hAnsi="Arial" w:cs="Arial"/>
                <w:sz w:val="18"/>
                <w:szCs w:val="18"/>
              </w:rPr>
            </w:pPr>
            <w:r w:rsidRPr="00B17DBF">
              <w:rPr>
                <w:rFonts w:ascii="Arial" w:hAnsi="Arial" w:cs="Arial"/>
                <w:b/>
                <w:bCs/>
                <w:sz w:val="18"/>
                <w:szCs w:val="18"/>
              </w:rPr>
              <w:t xml:space="preserve">Analysis </w:t>
            </w:r>
            <w:r w:rsidRPr="00B17DBF">
              <w:rPr>
                <w:rFonts w:ascii="Arial" w:hAnsi="Arial" w:cs="Arial"/>
                <w:b/>
                <w:bCs/>
                <w:i/>
                <w:sz w:val="18"/>
                <w:szCs w:val="18"/>
              </w:rPr>
              <w:t xml:space="preserve">with </w:t>
            </w:r>
            <w:r w:rsidRPr="00B17DBF">
              <w:rPr>
                <w:rFonts w:ascii="Arial" w:hAnsi="Arial" w:cs="Arial"/>
                <w:b/>
                <w:bCs/>
                <w:sz w:val="18"/>
                <w:szCs w:val="18"/>
              </w:rPr>
              <w:t>Risk Prediction Test</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jc w:val="center"/>
              <w:rPr>
                <w:rFonts w:ascii="Arial" w:hAnsi="Arial" w:cs="Arial"/>
                <w:sz w:val="18"/>
                <w:szCs w:val="18"/>
              </w:rPr>
            </w:pP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jc w:val="center"/>
              <w:rPr>
                <w:rFonts w:ascii="Arial" w:hAnsi="Arial" w:cs="Arial"/>
                <w:sz w:val="18"/>
                <w:szCs w:val="18"/>
              </w:rPr>
            </w:pP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rPr>
                <w:rFonts w:ascii="Arial" w:hAnsi="Arial" w:cs="Arial"/>
                <w:i/>
                <w:sz w:val="18"/>
                <w:szCs w:val="18"/>
              </w:rPr>
            </w:pPr>
            <w:r w:rsidRPr="00B17DBF">
              <w:rPr>
                <w:rFonts w:ascii="Arial" w:hAnsi="Arial" w:cs="Arial"/>
                <w:sz w:val="18"/>
                <w:szCs w:val="18"/>
              </w:rPr>
              <w:t xml:space="preserve">General Pathologist's </w:t>
            </w:r>
            <w:proofErr w:type="spellStart"/>
            <w:r w:rsidRPr="00B17DBF">
              <w:rPr>
                <w:rFonts w:ascii="Arial" w:hAnsi="Arial" w:cs="Arial"/>
                <w:sz w:val="18"/>
                <w:szCs w:val="18"/>
              </w:rPr>
              <w:t>Dx</w:t>
            </w:r>
            <w:proofErr w:type="spellEnd"/>
            <w:r w:rsidRPr="00B17DBF">
              <w:rPr>
                <w:rFonts w:ascii="Arial" w:hAnsi="Arial" w:cs="Arial"/>
                <w:i/>
                <w:sz w:val="18"/>
                <w:szCs w:val="18"/>
              </w:rPr>
              <w:t xml:space="preserve"> </w:t>
            </w:r>
            <w:r w:rsidRPr="00B17DBF">
              <w:rPr>
                <w:rFonts w:ascii="Arial" w:hAnsi="Arial" w:cs="Arial"/>
                <w:sz w:val="18"/>
                <w:szCs w:val="18"/>
              </w:rPr>
              <w:t>(LGD vs. ND/IND)</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1.57 (0.74 - 3.37)</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0.24</w:t>
            </w: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rPr>
                <w:rFonts w:ascii="Arial" w:hAnsi="Arial" w:cs="Arial"/>
                <w:sz w:val="18"/>
                <w:szCs w:val="18"/>
              </w:rPr>
            </w:pPr>
            <w:r w:rsidRPr="00B17DBF">
              <w:rPr>
                <w:rFonts w:ascii="Arial" w:hAnsi="Arial" w:cs="Arial"/>
                <w:sz w:val="18"/>
                <w:szCs w:val="18"/>
              </w:rPr>
              <w:t>BE segment length (Long vs. Short)</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1 (0.49 - 2.03)</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1</w:t>
            </w: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rPr>
                <w:rFonts w:ascii="Arial" w:hAnsi="Arial" w:cs="Arial"/>
                <w:sz w:val="18"/>
                <w:szCs w:val="18"/>
              </w:rPr>
            </w:pPr>
            <w:r w:rsidRPr="00B17DBF">
              <w:rPr>
                <w:rFonts w:ascii="Arial" w:hAnsi="Arial" w:cs="Arial"/>
                <w:sz w:val="18"/>
                <w:szCs w:val="18"/>
              </w:rPr>
              <w:t>Age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1.05 (1.02 - 1.09)</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0.002</w:t>
            </w: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rPr>
                <w:rFonts w:ascii="Arial" w:hAnsi="Arial" w:cs="Arial"/>
                <w:sz w:val="18"/>
                <w:szCs w:val="18"/>
              </w:rPr>
            </w:pPr>
            <w:r w:rsidRPr="00B17DBF">
              <w:rPr>
                <w:rFonts w:ascii="Arial" w:hAnsi="Arial" w:cs="Arial"/>
                <w:sz w:val="18"/>
                <w:szCs w:val="18"/>
              </w:rPr>
              <w:t>Gender</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1.74 (0.68 - 4.46)</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0.25</w:t>
            </w: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rPr>
                <w:rFonts w:ascii="Arial" w:hAnsi="Arial" w:cs="Arial"/>
                <w:sz w:val="18"/>
                <w:szCs w:val="18"/>
              </w:rPr>
            </w:pPr>
            <w:r w:rsidRPr="00B17DBF">
              <w:rPr>
                <w:rFonts w:ascii="Arial" w:hAnsi="Arial" w:cs="Arial"/>
                <w:sz w:val="18"/>
                <w:szCs w:val="18"/>
              </w:rPr>
              <w:t>p53 (% cells overexpressing</w:t>
            </w:r>
            <w:r w:rsidRPr="00B17DBF">
              <w:rPr>
                <w:rFonts w:ascii="Calibri" w:hAnsi="Calibri" w:cs="Arial"/>
                <w:sz w:val="18"/>
                <w:szCs w:val="18"/>
              </w:rPr>
              <w:t>ⱡ</w:t>
            </w:r>
            <w:r w:rsidRPr="00B17DBF">
              <w:rPr>
                <w:rFonts w:ascii="Arial" w:hAnsi="Arial" w:cs="Arial"/>
                <w:sz w:val="18"/>
                <w:szCs w:val="18"/>
              </w:rPr>
              <w:t>)</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0.05 (0 - 4.18)</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0.19</w:t>
            </w: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rPr>
                <w:rFonts w:ascii="Arial" w:hAnsi="Arial" w:cs="Arial"/>
                <w:sz w:val="18"/>
                <w:szCs w:val="18"/>
              </w:rPr>
            </w:pPr>
            <w:r w:rsidRPr="00B17DBF">
              <w:rPr>
                <w:rFonts w:ascii="Arial" w:hAnsi="Arial" w:cs="Arial"/>
                <w:sz w:val="18"/>
                <w:szCs w:val="18"/>
              </w:rPr>
              <w:t>Risk Classes (predicted by test)</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jc w:val="right"/>
              <w:rPr>
                <w:rFonts w:ascii="Arial" w:hAnsi="Arial" w:cs="Arial"/>
                <w:i/>
                <w:sz w:val="18"/>
                <w:szCs w:val="18"/>
              </w:rPr>
            </w:pPr>
            <w:r w:rsidRPr="00B17DBF">
              <w:rPr>
                <w:rFonts w:ascii="Arial" w:hAnsi="Arial" w:cs="Arial"/>
                <w:i/>
                <w:sz w:val="18"/>
                <w:szCs w:val="18"/>
              </w:rPr>
              <w:t>Intermediate Risk vs. Low Risk</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8.08 (2.65 - 24.65)</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0.0002</w:t>
            </w: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jc w:val="right"/>
              <w:rPr>
                <w:rFonts w:ascii="Arial" w:hAnsi="Arial" w:cs="Arial"/>
                <w:i/>
                <w:sz w:val="18"/>
                <w:szCs w:val="18"/>
              </w:rPr>
            </w:pPr>
            <w:r w:rsidRPr="00B17DBF">
              <w:rPr>
                <w:rFonts w:ascii="Arial" w:hAnsi="Arial" w:cs="Arial"/>
                <w:i/>
                <w:sz w:val="18"/>
                <w:szCs w:val="18"/>
              </w:rPr>
              <w:t>High Risk vs. Low Risk</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33.02 (11.8 - 92.44)</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&lt;0.0001</w:t>
            </w:r>
          </w:p>
        </w:tc>
      </w:tr>
      <w:tr w:rsidR="00B24089" w:rsidRPr="00B17DBF" w:rsidTr="00D55468">
        <w:trPr>
          <w:trHeight w:hRule="exact" w:val="476"/>
        </w:trPr>
        <w:tc>
          <w:tcPr>
            <w:tcW w:w="8880"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rPr>
                <w:rFonts w:ascii="Arial" w:hAnsi="Arial" w:cs="Arial"/>
                <w:sz w:val="18"/>
                <w:szCs w:val="18"/>
              </w:rPr>
            </w:pPr>
            <w:r w:rsidRPr="00B17DBF">
              <w:rPr>
                <w:rFonts w:ascii="Arial" w:hAnsi="Arial" w:cs="Arial"/>
                <w:b/>
                <w:bCs/>
                <w:sz w:val="18"/>
                <w:szCs w:val="18"/>
              </w:rPr>
              <w:t xml:space="preserve">B. Prognostic Performance of </w:t>
            </w:r>
            <w:proofErr w:type="spellStart"/>
            <w:r w:rsidRPr="00B17DBF">
              <w:rPr>
                <w:rFonts w:ascii="Arial" w:hAnsi="Arial" w:cs="Arial"/>
                <w:b/>
                <w:bCs/>
                <w:sz w:val="18"/>
                <w:szCs w:val="18"/>
              </w:rPr>
              <w:t>of</w:t>
            </w:r>
            <w:proofErr w:type="spellEnd"/>
            <w:r w:rsidRPr="00B17DBF">
              <w:rPr>
                <w:rFonts w:ascii="Arial" w:hAnsi="Arial" w:cs="Arial"/>
                <w:b/>
                <w:bCs/>
                <w:sz w:val="18"/>
                <w:szCs w:val="18"/>
              </w:rPr>
              <w:t xml:space="preserve"> Risk Classes vs GI Subspecialist Diagnosis**</w:t>
            </w:r>
          </w:p>
        </w:tc>
      </w:tr>
      <w:tr w:rsidR="00B24089" w:rsidRPr="00B17DBF" w:rsidTr="00D55468">
        <w:trPr>
          <w:trHeight w:hRule="exact" w:val="602"/>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b/>
                <w:bCs/>
                <w:sz w:val="18"/>
                <w:szCs w:val="18"/>
              </w:rPr>
              <w:t>Variable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r w:rsidRPr="00B17DBF">
              <w:rPr>
                <w:rFonts w:ascii="Arial" w:hAnsi="Arial" w:cs="Arial"/>
                <w:b/>
                <w:bCs/>
                <w:sz w:val="18"/>
                <w:szCs w:val="18"/>
              </w:rPr>
              <w:t>Multivariate Hazard Ratio (95% CI)</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r w:rsidRPr="00B17DBF">
              <w:rPr>
                <w:rFonts w:ascii="Arial" w:hAnsi="Arial" w:cs="Arial"/>
                <w:b/>
                <w:bCs/>
                <w:sz w:val="18"/>
                <w:szCs w:val="18"/>
              </w:rPr>
              <w:t>P Value</w:t>
            </w: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b/>
                <w:bCs/>
                <w:sz w:val="18"/>
                <w:szCs w:val="18"/>
              </w:rPr>
              <w:t xml:space="preserve">Analysis </w:t>
            </w:r>
            <w:r w:rsidRPr="00B17DBF">
              <w:rPr>
                <w:rFonts w:ascii="Arial" w:hAnsi="Arial" w:cs="Arial"/>
                <w:b/>
                <w:bCs/>
                <w:i/>
                <w:sz w:val="18"/>
                <w:szCs w:val="18"/>
              </w:rPr>
              <w:t xml:space="preserve">without </w:t>
            </w:r>
            <w:r w:rsidRPr="00B17DBF">
              <w:rPr>
                <w:rFonts w:ascii="Arial" w:hAnsi="Arial" w:cs="Arial"/>
                <w:b/>
                <w:bCs/>
                <w:sz w:val="18"/>
                <w:szCs w:val="18"/>
              </w:rPr>
              <w:t>Risk Prediction Test</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i/>
                <w:sz w:val="18"/>
                <w:szCs w:val="18"/>
              </w:rPr>
            </w:pPr>
            <w:r w:rsidRPr="00B17DBF">
              <w:rPr>
                <w:rFonts w:ascii="Arial" w:hAnsi="Arial" w:cs="Arial"/>
                <w:sz w:val="18"/>
                <w:szCs w:val="18"/>
              </w:rPr>
              <w:t xml:space="preserve">GI Subspecialist Pathologist's </w:t>
            </w:r>
            <w:proofErr w:type="spellStart"/>
            <w:r w:rsidRPr="00B17DBF">
              <w:rPr>
                <w:rFonts w:ascii="Arial" w:hAnsi="Arial" w:cs="Arial"/>
                <w:sz w:val="18"/>
                <w:szCs w:val="18"/>
              </w:rPr>
              <w:t>Dx</w:t>
            </w:r>
            <w:proofErr w:type="spellEnd"/>
            <w:r w:rsidRPr="00B17DBF">
              <w:rPr>
                <w:rFonts w:ascii="Arial" w:hAnsi="Arial" w:cs="Arial"/>
                <w:i/>
                <w:sz w:val="18"/>
                <w:szCs w:val="18"/>
              </w:rPr>
              <w:t xml:space="preserve"> </w:t>
            </w:r>
            <w:r w:rsidRPr="00B17DBF">
              <w:rPr>
                <w:rFonts w:ascii="Arial" w:hAnsi="Arial" w:cs="Arial"/>
                <w:sz w:val="18"/>
                <w:szCs w:val="18"/>
              </w:rPr>
              <w:t>(LGD vs. ND/IND)</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hAnsi="Arial" w:cs="Arial"/>
                <w:sz w:val="18"/>
                <w:szCs w:val="18"/>
              </w:rPr>
            </w:pPr>
            <w:r w:rsidRPr="00B17DBF">
              <w:rPr>
                <w:rFonts w:ascii="Arial" w:hAnsi="Arial" w:cs="Arial"/>
                <w:sz w:val="18"/>
                <w:szCs w:val="18"/>
              </w:rPr>
              <w:t>6.8 (3.54 - 13.06)</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hAnsi="Arial" w:cs="Arial"/>
                <w:sz w:val="18"/>
                <w:szCs w:val="18"/>
              </w:rPr>
            </w:pPr>
            <w:r w:rsidRPr="00B17DBF">
              <w:rPr>
                <w:rFonts w:ascii="Arial" w:hAnsi="Arial" w:cs="Arial"/>
                <w:sz w:val="18"/>
                <w:szCs w:val="18"/>
              </w:rPr>
              <w:t>&lt;0.0001</w:t>
            </w: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 </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b/>
                <w:bCs/>
                <w:sz w:val="18"/>
                <w:szCs w:val="18"/>
              </w:rPr>
              <w:t xml:space="preserve">Analysis </w:t>
            </w:r>
            <w:r w:rsidRPr="00B17DBF">
              <w:rPr>
                <w:rFonts w:ascii="Arial" w:hAnsi="Arial" w:cs="Arial"/>
                <w:b/>
                <w:bCs/>
                <w:i/>
                <w:sz w:val="18"/>
                <w:szCs w:val="18"/>
              </w:rPr>
              <w:t>with</w:t>
            </w:r>
            <w:r w:rsidRPr="00B17DBF">
              <w:rPr>
                <w:rFonts w:ascii="Arial" w:hAnsi="Arial" w:cs="Arial"/>
                <w:b/>
                <w:bCs/>
                <w:sz w:val="18"/>
                <w:szCs w:val="18"/>
              </w:rPr>
              <w:t xml:space="preserve"> Risk Prediction Test</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i/>
                <w:sz w:val="18"/>
                <w:szCs w:val="18"/>
              </w:rPr>
            </w:pPr>
            <w:r w:rsidRPr="00B17DBF">
              <w:rPr>
                <w:rFonts w:ascii="Arial" w:hAnsi="Arial" w:cs="Arial"/>
                <w:sz w:val="18"/>
                <w:szCs w:val="18"/>
              </w:rPr>
              <w:t xml:space="preserve">GI Subspecialist Pathologist's </w:t>
            </w:r>
            <w:proofErr w:type="spellStart"/>
            <w:r w:rsidRPr="00B17DBF">
              <w:rPr>
                <w:rFonts w:ascii="Arial" w:hAnsi="Arial" w:cs="Arial"/>
                <w:sz w:val="18"/>
                <w:szCs w:val="18"/>
              </w:rPr>
              <w:t>Dx</w:t>
            </w:r>
            <w:proofErr w:type="spellEnd"/>
            <w:r w:rsidRPr="00B17DBF">
              <w:rPr>
                <w:rFonts w:ascii="Arial" w:hAnsi="Arial" w:cs="Arial"/>
                <w:i/>
                <w:sz w:val="18"/>
                <w:szCs w:val="18"/>
              </w:rPr>
              <w:t xml:space="preserve"> </w:t>
            </w:r>
            <w:r w:rsidRPr="00B17DBF">
              <w:rPr>
                <w:rFonts w:ascii="Arial" w:hAnsi="Arial" w:cs="Arial"/>
                <w:sz w:val="18"/>
                <w:szCs w:val="18"/>
              </w:rPr>
              <w:t>(LGD vs. ND/IND)</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3.25 (1.57 - 6.75)</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0.002</w:t>
            </w: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Risk Classes (predicted by test)</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 </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 </w:t>
            </w: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right"/>
              <w:rPr>
                <w:rFonts w:ascii="Arial" w:hAnsi="Arial" w:cs="Arial"/>
                <w:i/>
                <w:sz w:val="18"/>
                <w:szCs w:val="18"/>
              </w:rPr>
            </w:pPr>
            <w:r w:rsidRPr="00B17DBF">
              <w:rPr>
                <w:rFonts w:ascii="Arial" w:hAnsi="Arial" w:cs="Arial"/>
                <w:i/>
                <w:sz w:val="18"/>
                <w:szCs w:val="18"/>
              </w:rPr>
              <w:t>Intermediate Risk vs. Low Risk</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4.64 (1.67 - 12.87)</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0.003</w:t>
            </w:r>
          </w:p>
        </w:tc>
      </w:tr>
      <w:tr w:rsidR="00B24089" w:rsidRPr="00B17DBF" w:rsidTr="00D55468">
        <w:trPr>
          <w:trHeight w:hRule="exact" w:val="288"/>
        </w:trPr>
        <w:tc>
          <w:tcPr>
            <w:tcW w:w="47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right"/>
              <w:rPr>
                <w:rFonts w:ascii="Arial" w:hAnsi="Arial" w:cs="Arial"/>
                <w:i/>
                <w:sz w:val="18"/>
                <w:szCs w:val="18"/>
              </w:rPr>
            </w:pPr>
            <w:r w:rsidRPr="00B17DBF">
              <w:rPr>
                <w:rFonts w:ascii="Arial" w:hAnsi="Arial" w:cs="Arial"/>
                <w:i/>
                <w:sz w:val="18"/>
                <w:szCs w:val="18"/>
              </w:rPr>
              <w:t>High Risk vs. Low Risk</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10.98 (4.67 - 25.81)</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&lt;0.0001</w:t>
            </w:r>
          </w:p>
        </w:tc>
      </w:tr>
      <w:tr w:rsidR="00B24089" w:rsidRPr="00B17DBF" w:rsidTr="00D55468">
        <w:trPr>
          <w:trHeight w:hRule="exact" w:val="1736"/>
        </w:trPr>
        <w:tc>
          <w:tcPr>
            <w:tcW w:w="8880"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line="240" w:lineRule="auto"/>
              <w:rPr>
                <w:rFonts w:ascii="Arial" w:eastAsia="Times New Roman" w:hAnsi="Arial" w:cs="Arial"/>
                <w:sz w:val="16"/>
              </w:rPr>
            </w:pPr>
            <w:r w:rsidRPr="00B17DBF">
              <w:rPr>
                <w:rFonts w:ascii="Arial" w:hAnsi="Arial" w:cs="Arial"/>
                <w:sz w:val="16"/>
              </w:rPr>
              <w:t>Multivariate Cox models were run in which progression to HGD/EAC was evaluated first in relation to clinical variables alone, then in relation to risk classes predicted by the test and clinical variables in non-progressor patients and incident progressor patients. The following clinical variables were dichotomized:  pathologist diagnosis (LGD vs. ND or IND)</w:t>
            </w:r>
            <w:r w:rsidRPr="00B17DBF">
              <w:rPr>
                <w:rFonts w:ascii="Arial" w:eastAsia="Times New Roman" w:hAnsi="Arial" w:cs="Arial"/>
                <w:sz w:val="16"/>
              </w:rPr>
              <w:t>, gender (0 for F, 1 for M), BE segment length (0 for short (≤3cm), 1 for long (&gt;3cm) and Risk Classes (high vs. low risk and intermediate vs. low risk). Age and p53 were evaluated as continuous variables.</w:t>
            </w:r>
            <w:r w:rsidRPr="00B17DBF">
              <w:rPr>
                <w:rFonts w:ascii="Arial" w:hAnsi="Arial" w:cs="Arial"/>
                <w:sz w:val="16"/>
              </w:rPr>
              <w:t xml:space="preserve"> *n=35 incident progressor patients and n=116 non-progressor patients with complete data for all evaluated variables. **n=41 incident progressor patients and n=142 non-progressor patients (all training set patients) for analysis in part B. ⱡ calculated by the image analysis software as described in Methods (percentage of cells with nuclei p53 mean intensity &gt;95 </w:t>
            </w:r>
            <w:r w:rsidRPr="00B17DBF">
              <w:rPr>
                <w:rFonts w:ascii="Arial" w:eastAsia="Times New Roman" w:hAnsi="Arial" w:cs="Arial"/>
                <w:sz w:val="16"/>
              </w:rPr>
              <w:t>on a scale of 0-1023 in the 10 bit tissue images).</w:t>
            </w:r>
          </w:p>
        </w:tc>
      </w:tr>
    </w:tbl>
    <w:p w:rsidR="00B24089" w:rsidRPr="00B17DBF" w:rsidRDefault="00B24089" w:rsidP="00B24089">
      <w:pPr>
        <w:spacing w:line="480" w:lineRule="auto"/>
        <w:rPr>
          <w:rFonts w:ascii="Arial" w:hAnsi="Arial" w:cs="Arial"/>
          <w:b/>
        </w:rPr>
      </w:pPr>
    </w:p>
    <w:p w:rsidR="00B24089" w:rsidRPr="00B17DBF" w:rsidRDefault="00B24089" w:rsidP="00B24089">
      <w:pPr>
        <w:spacing w:line="480" w:lineRule="auto"/>
        <w:rPr>
          <w:rFonts w:ascii="Arial" w:hAnsi="Arial" w:cs="Arial"/>
          <w:b/>
        </w:rPr>
      </w:pPr>
    </w:p>
    <w:tbl>
      <w:tblPr>
        <w:tblW w:w="8880" w:type="dxa"/>
        <w:tblCellMar>
          <w:left w:w="0" w:type="dxa"/>
          <w:right w:w="0" w:type="dxa"/>
        </w:tblCellMar>
        <w:tblLook w:val="0420" w:firstRow="1" w:lastRow="0" w:firstColumn="0" w:lastColumn="0" w:noHBand="0" w:noVBand="1"/>
      </w:tblPr>
      <w:tblGrid>
        <w:gridCol w:w="4698"/>
        <w:gridCol w:w="2160"/>
        <w:gridCol w:w="2022"/>
      </w:tblGrid>
      <w:tr w:rsidR="00B24089" w:rsidRPr="00B17DBF" w:rsidTr="00D55468">
        <w:trPr>
          <w:trHeight w:hRule="exact" w:val="539"/>
        </w:trPr>
        <w:tc>
          <w:tcPr>
            <w:tcW w:w="8880"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957E0A">
            <w:pPr>
              <w:spacing w:after="0" w:line="240" w:lineRule="auto"/>
              <w:rPr>
                <w:rFonts w:ascii="Arial" w:hAnsi="Arial" w:cs="Arial"/>
                <w:sz w:val="18"/>
                <w:szCs w:val="18"/>
              </w:rPr>
            </w:pPr>
            <w:r w:rsidRPr="00B17DBF">
              <w:rPr>
                <w:rFonts w:ascii="Arial" w:hAnsi="Arial" w:cs="Arial"/>
                <w:b/>
                <w:bCs/>
                <w:sz w:val="18"/>
                <w:szCs w:val="18"/>
              </w:rPr>
              <w:lastRenderedPageBreak/>
              <w:t xml:space="preserve">Table </w:t>
            </w:r>
            <w:r w:rsidR="00D760E6" w:rsidRPr="00B17DBF">
              <w:rPr>
                <w:rFonts w:ascii="Arial" w:hAnsi="Arial" w:cs="Arial"/>
                <w:b/>
                <w:bCs/>
                <w:sz w:val="18"/>
                <w:szCs w:val="18"/>
              </w:rPr>
              <w:t>S</w:t>
            </w:r>
            <w:r w:rsidR="00957E0A">
              <w:rPr>
                <w:rFonts w:ascii="Arial" w:hAnsi="Arial" w:cs="Arial"/>
                <w:b/>
                <w:bCs/>
                <w:sz w:val="18"/>
                <w:szCs w:val="18"/>
              </w:rPr>
              <w:t>4</w:t>
            </w:r>
            <w:r w:rsidRPr="00B17DBF">
              <w:rPr>
                <w:rFonts w:ascii="Arial" w:hAnsi="Arial" w:cs="Arial"/>
                <w:b/>
                <w:bCs/>
                <w:sz w:val="18"/>
                <w:szCs w:val="18"/>
              </w:rPr>
              <w:t>. Comparison of Predictive Performance of Risk Score as a Continuous Variable vs. Clinical Variables in Training Set</w:t>
            </w:r>
          </w:p>
        </w:tc>
      </w:tr>
      <w:tr w:rsidR="00B24089" w:rsidRPr="00B17DBF" w:rsidTr="00D55468">
        <w:trPr>
          <w:trHeight w:hRule="exact" w:val="539"/>
        </w:trPr>
        <w:tc>
          <w:tcPr>
            <w:tcW w:w="8880"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b/>
                <w:bCs/>
                <w:sz w:val="18"/>
                <w:szCs w:val="18"/>
              </w:rPr>
              <w:t>A. Multivariate Cox Analysis of Risk Score vs. Clinical Variables*</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b/>
                <w:bCs/>
                <w:sz w:val="18"/>
                <w:szCs w:val="18"/>
              </w:rPr>
              <w:t>Variable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r w:rsidRPr="00B17DBF">
              <w:rPr>
                <w:rFonts w:ascii="Arial" w:hAnsi="Arial" w:cs="Arial"/>
                <w:b/>
                <w:bCs/>
                <w:sz w:val="18"/>
                <w:szCs w:val="18"/>
              </w:rPr>
              <w:t>Hazard Ratio (95% CI)</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b/>
                <w:sz w:val="18"/>
                <w:szCs w:val="18"/>
              </w:rPr>
            </w:pPr>
            <w:r w:rsidRPr="00B17DBF">
              <w:rPr>
                <w:rFonts w:ascii="Arial" w:hAnsi="Arial" w:cs="Arial"/>
                <w:b/>
                <w:sz w:val="18"/>
                <w:szCs w:val="18"/>
              </w:rPr>
              <w:t>P Value</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b/>
                <w:bCs/>
                <w:sz w:val="18"/>
                <w:szCs w:val="18"/>
              </w:rPr>
              <w:t xml:space="preserve">Analysis </w:t>
            </w:r>
            <w:r w:rsidRPr="00B17DBF">
              <w:rPr>
                <w:rFonts w:ascii="Arial" w:hAnsi="Arial" w:cs="Arial"/>
                <w:b/>
                <w:bCs/>
                <w:i/>
                <w:sz w:val="18"/>
                <w:szCs w:val="18"/>
              </w:rPr>
              <w:t>without</w:t>
            </w:r>
            <w:r w:rsidRPr="00B17DBF">
              <w:rPr>
                <w:rFonts w:ascii="Arial" w:hAnsi="Arial" w:cs="Arial"/>
                <w:b/>
                <w:bCs/>
                <w:sz w:val="18"/>
                <w:szCs w:val="18"/>
              </w:rPr>
              <w:t xml:space="preserve"> Risk Score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 xml:space="preserve">General Pathologist's </w:t>
            </w:r>
            <w:proofErr w:type="spellStart"/>
            <w:r w:rsidRPr="00B17DBF">
              <w:rPr>
                <w:rFonts w:ascii="Arial" w:hAnsi="Arial" w:cs="Arial"/>
                <w:sz w:val="18"/>
                <w:szCs w:val="18"/>
              </w:rPr>
              <w:t>Dx</w:t>
            </w:r>
            <w:proofErr w:type="spellEnd"/>
            <w:r w:rsidRPr="00B17DBF">
              <w:rPr>
                <w:rFonts w:ascii="Arial" w:hAnsi="Arial" w:cs="Arial"/>
                <w:sz w:val="18"/>
                <w:szCs w:val="18"/>
              </w:rPr>
              <w:t xml:space="preserve"> (LGD vs. ND/IND)</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2.17 (1.05 - 4.47)</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0.04</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BE segment length (Long vs. Short)</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1.09 (0.55 - 2.19)</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0.8</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Age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1.03 (0.99 - 1.06)</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0.12</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Gender</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0.85 (0.37 - 1.97)</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0.71</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p53 (% cells overexpressing)</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4.23 (0.09 - 202.5)</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0.46</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hAnsi="Arial" w:cs="Arial"/>
                <w:sz w:val="18"/>
                <w:szCs w:val="18"/>
              </w:rPr>
            </w:pP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hAnsi="Arial" w:cs="Arial"/>
                <w:sz w:val="18"/>
                <w:szCs w:val="18"/>
              </w:rPr>
            </w:pP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b/>
                <w:bCs/>
                <w:sz w:val="18"/>
                <w:szCs w:val="18"/>
              </w:rPr>
              <w:t xml:space="preserve">Analysis </w:t>
            </w:r>
            <w:r w:rsidRPr="00B17DBF">
              <w:rPr>
                <w:rFonts w:ascii="Arial" w:hAnsi="Arial" w:cs="Arial"/>
                <w:b/>
                <w:bCs/>
                <w:i/>
                <w:sz w:val="18"/>
                <w:szCs w:val="18"/>
              </w:rPr>
              <w:t>with</w:t>
            </w:r>
            <w:r w:rsidRPr="00B17DBF">
              <w:rPr>
                <w:rFonts w:ascii="Arial" w:hAnsi="Arial" w:cs="Arial"/>
                <w:b/>
                <w:bCs/>
                <w:sz w:val="18"/>
                <w:szCs w:val="18"/>
              </w:rPr>
              <w:t xml:space="preserve"> Risk Score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hAnsi="Arial" w:cs="Arial"/>
                <w:sz w:val="18"/>
                <w:szCs w:val="18"/>
              </w:rPr>
            </w:pP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hAnsi="Arial" w:cs="Arial"/>
                <w:sz w:val="18"/>
                <w:szCs w:val="18"/>
              </w:rPr>
            </w:pP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 xml:space="preserve">General Pathologist's </w:t>
            </w:r>
            <w:proofErr w:type="spellStart"/>
            <w:r w:rsidRPr="00B17DBF">
              <w:rPr>
                <w:rFonts w:ascii="Arial" w:hAnsi="Arial" w:cs="Arial"/>
                <w:sz w:val="18"/>
                <w:szCs w:val="18"/>
              </w:rPr>
              <w:t>Dx</w:t>
            </w:r>
            <w:proofErr w:type="spellEnd"/>
            <w:r w:rsidRPr="00B17DBF">
              <w:rPr>
                <w:rFonts w:ascii="Arial" w:hAnsi="Arial" w:cs="Arial"/>
                <w:i/>
                <w:sz w:val="18"/>
                <w:szCs w:val="18"/>
              </w:rPr>
              <w:t xml:space="preserve"> </w:t>
            </w:r>
            <w:r w:rsidRPr="00B17DBF">
              <w:rPr>
                <w:rFonts w:ascii="Arial" w:hAnsi="Arial" w:cs="Arial"/>
                <w:sz w:val="18"/>
                <w:szCs w:val="18"/>
              </w:rPr>
              <w:t>(LGD vs. ND/IND)</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1.59 (0.73 - 3.47)</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0.25</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BE segment length (Long vs. Short)</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0.88 (0.42 - 1.82)</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0.73</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Age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1.05 (1.02 - 1.09)</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0.003</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Gender</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1.53 (0.6 - 3.91)</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0.38</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p53 (% cells overexpressing)</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0.01 (0 - 1.66)</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0.08</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 xml:space="preserve">Continuous Risk Score </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1.94 (1.61 - 2.35)</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&lt;0.0001</w:t>
            </w:r>
          </w:p>
        </w:tc>
      </w:tr>
      <w:tr w:rsidR="00B24089" w:rsidRPr="00B17DBF" w:rsidTr="00D55468">
        <w:trPr>
          <w:trHeight w:hRule="exact" w:val="476"/>
        </w:trPr>
        <w:tc>
          <w:tcPr>
            <w:tcW w:w="8880"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b/>
                <w:bCs/>
                <w:sz w:val="18"/>
                <w:szCs w:val="18"/>
              </w:rPr>
              <w:t>B. Multivariate Cox Analysis of Risk Score vs GI Subspecialist Diagnosis**</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b/>
                <w:bCs/>
                <w:sz w:val="18"/>
                <w:szCs w:val="18"/>
              </w:rPr>
              <w:t>Variable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r w:rsidRPr="00B17DBF">
              <w:rPr>
                <w:rFonts w:ascii="Arial" w:hAnsi="Arial" w:cs="Arial"/>
                <w:b/>
                <w:bCs/>
                <w:sz w:val="18"/>
                <w:szCs w:val="18"/>
              </w:rPr>
              <w:t>Hazard Ratio (95% CI)</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b/>
                <w:sz w:val="18"/>
                <w:szCs w:val="18"/>
              </w:rPr>
            </w:pPr>
            <w:r w:rsidRPr="00B17DBF">
              <w:rPr>
                <w:rFonts w:ascii="Arial" w:hAnsi="Arial" w:cs="Arial"/>
                <w:b/>
                <w:sz w:val="18"/>
                <w:szCs w:val="18"/>
              </w:rPr>
              <w:t>P Value</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b/>
                <w:bCs/>
                <w:sz w:val="18"/>
                <w:szCs w:val="18"/>
              </w:rPr>
              <w:t xml:space="preserve">Analysis </w:t>
            </w:r>
            <w:r w:rsidRPr="00B17DBF">
              <w:rPr>
                <w:rFonts w:ascii="Arial" w:hAnsi="Arial" w:cs="Arial"/>
                <w:b/>
                <w:bCs/>
                <w:i/>
                <w:sz w:val="18"/>
                <w:szCs w:val="18"/>
              </w:rPr>
              <w:t>without</w:t>
            </w:r>
            <w:r w:rsidRPr="00B17DBF">
              <w:rPr>
                <w:rFonts w:ascii="Arial" w:hAnsi="Arial" w:cs="Arial"/>
                <w:b/>
                <w:bCs/>
                <w:sz w:val="18"/>
                <w:szCs w:val="18"/>
              </w:rPr>
              <w:t xml:space="preserve"> Risk Score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 xml:space="preserve">GI Subspecialist Pathologist's </w:t>
            </w:r>
            <w:proofErr w:type="spellStart"/>
            <w:r w:rsidRPr="00B17DBF">
              <w:rPr>
                <w:rFonts w:ascii="Arial" w:hAnsi="Arial" w:cs="Arial"/>
                <w:sz w:val="18"/>
                <w:szCs w:val="18"/>
              </w:rPr>
              <w:t>Dx</w:t>
            </w:r>
            <w:proofErr w:type="spellEnd"/>
            <w:r w:rsidRPr="00B17DBF">
              <w:rPr>
                <w:rFonts w:ascii="Arial" w:hAnsi="Arial" w:cs="Arial"/>
                <w:sz w:val="18"/>
                <w:szCs w:val="18"/>
              </w:rPr>
              <w:t xml:space="preserve"> (LGD vs. ND/IND)</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6.8 (3.54 - 13.06)</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&lt;0.0001</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rPr>
                <w:rFonts w:ascii="Arial" w:hAnsi="Arial" w:cs="Arial"/>
                <w:b/>
                <w:bCs/>
                <w:sz w:val="18"/>
                <w:szCs w:val="18"/>
              </w:rPr>
            </w:pP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hAnsi="Arial" w:cs="Arial"/>
                <w:sz w:val="18"/>
                <w:szCs w:val="18"/>
              </w:rPr>
            </w:pP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hAnsi="Arial" w:cs="Arial"/>
                <w:sz w:val="18"/>
                <w:szCs w:val="18"/>
              </w:rPr>
            </w:pP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b/>
                <w:bCs/>
                <w:sz w:val="18"/>
                <w:szCs w:val="18"/>
              </w:rPr>
              <w:t xml:space="preserve">Analysis </w:t>
            </w:r>
            <w:r w:rsidRPr="00B17DBF">
              <w:rPr>
                <w:rFonts w:ascii="Arial" w:hAnsi="Arial" w:cs="Arial"/>
                <w:b/>
                <w:bCs/>
                <w:i/>
                <w:sz w:val="18"/>
                <w:szCs w:val="18"/>
              </w:rPr>
              <w:t>with</w:t>
            </w:r>
            <w:r w:rsidRPr="00B17DBF">
              <w:rPr>
                <w:rFonts w:ascii="Arial" w:hAnsi="Arial" w:cs="Arial"/>
                <w:b/>
                <w:bCs/>
                <w:sz w:val="18"/>
                <w:szCs w:val="18"/>
              </w:rPr>
              <w:t xml:space="preserve"> Risk Score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 xml:space="preserve">GI Subspecialist Pathologist's </w:t>
            </w:r>
            <w:proofErr w:type="spellStart"/>
            <w:r w:rsidRPr="00B17DBF">
              <w:rPr>
                <w:rFonts w:ascii="Arial" w:hAnsi="Arial" w:cs="Arial"/>
                <w:sz w:val="18"/>
                <w:szCs w:val="18"/>
              </w:rPr>
              <w:t>Dx</w:t>
            </w:r>
            <w:proofErr w:type="spellEnd"/>
            <w:r w:rsidRPr="00B17DBF">
              <w:rPr>
                <w:rFonts w:ascii="Arial" w:hAnsi="Arial" w:cs="Arial"/>
                <w:sz w:val="18"/>
                <w:szCs w:val="18"/>
              </w:rPr>
              <w:t xml:space="preserve"> (LGD vs. ND/IND)</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2.12 (0.94 - 4.79)</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0.07</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Continuous Risk Score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1.59 (1.35 - 1.89)</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szCs w:val="18"/>
              </w:rPr>
            </w:pPr>
            <w:r w:rsidRPr="00B17DBF">
              <w:rPr>
                <w:rFonts w:ascii="Arial" w:eastAsia="Times New Roman" w:hAnsi="Arial" w:cs="Arial"/>
                <w:sz w:val="18"/>
                <w:szCs w:val="18"/>
              </w:rPr>
              <w:t>&lt;0.0001</w:t>
            </w:r>
          </w:p>
        </w:tc>
      </w:tr>
      <w:tr w:rsidR="00B24089" w:rsidRPr="00B17DBF" w:rsidTr="00D55468">
        <w:trPr>
          <w:trHeight w:hRule="exact" w:val="1322"/>
        </w:trPr>
        <w:tc>
          <w:tcPr>
            <w:tcW w:w="8880"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line="240" w:lineRule="auto"/>
              <w:rPr>
                <w:rFonts w:ascii="Arial" w:eastAsia="Times New Roman" w:hAnsi="Arial" w:cs="Arial"/>
                <w:sz w:val="16"/>
              </w:rPr>
            </w:pPr>
            <w:r w:rsidRPr="00B17DBF">
              <w:rPr>
                <w:rFonts w:ascii="Arial" w:hAnsi="Arial" w:cs="Arial"/>
                <w:sz w:val="16"/>
              </w:rPr>
              <w:t>Multivariate Cox models were run in which progression to HGD/EAC was evaluated first in relation to clinical variables alone, then in relation to Risk Score as a continuous variable and clinical variables in non-progressor patients and incident progressor patients. The following clinical variables were dichotomized:  pathologist diagnosis (LGD vs ND or IND)</w:t>
            </w:r>
            <w:r w:rsidRPr="00B17DBF">
              <w:rPr>
                <w:rFonts w:ascii="Arial" w:eastAsia="Times New Roman" w:hAnsi="Arial" w:cs="Arial"/>
                <w:sz w:val="16"/>
              </w:rPr>
              <w:t>, sex (0 for F, 1 for M), BE segment length (0 for short (≤3cm), 1 for long (&gt;3cm). Age, p53 and Risk Score were evaluated as continuous variables.</w:t>
            </w:r>
            <w:r w:rsidRPr="00B17DBF">
              <w:rPr>
                <w:rFonts w:ascii="Arial" w:hAnsi="Arial" w:cs="Arial"/>
                <w:sz w:val="16"/>
              </w:rPr>
              <w:t xml:space="preserve"> *n=35 incident progressor patients and n=116 non-progressor patients with complete data for all evaluated variables. **n=41 incident progressor patients and n=142 non-progressor patients (all training set patients) for analysis in part B.</w:t>
            </w:r>
          </w:p>
        </w:tc>
      </w:tr>
    </w:tbl>
    <w:p w:rsidR="00B24089" w:rsidRPr="00B17DBF" w:rsidRDefault="00B24089" w:rsidP="00B24089">
      <w:pPr>
        <w:spacing w:line="480" w:lineRule="auto"/>
        <w:rPr>
          <w:rFonts w:ascii="Arial" w:hAnsi="Arial" w:cs="Arial"/>
          <w:b/>
        </w:rPr>
      </w:pPr>
    </w:p>
    <w:p w:rsidR="00B24089" w:rsidRPr="00B17DBF" w:rsidRDefault="00B24089" w:rsidP="00B24089">
      <w:pPr>
        <w:spacing w:line="480" w:lineRule="auto"/>
        <w:rPr>
          <w:rFonts w:ascii="Arial" w:hAnsi="Arial" w:cs="Arial"/>
        </w:rPr>
      </w:pPr>
    </w:p>
    <w:p w:rsidR="00B24089" w:rsidRPr="00B17DBF" w:rsidRDefault="00B24089" w:rsidP="00B24089">
      <w:pPr>
        <w:spacing w:line="480" w:lineRule="auto"/>
        <w:rPr>
          <w:rFonts w:ascii="Arial" w:hAnsi="Arial" w:cs="Arial"/>
        </w:rPr>
      </w:pPr>
    </w:p>
    <w:p w:rsidR="00B24089" w:rsidRPr="00B17DBF" w:rsidRDefault="00B24089" w:rsidP="00B24089">
      <w:pPr>
        <w:spacing w:line="480" w:lineRule="auto"/>
        <w:rPr>
          <w:rFonts w:ascii="Arial" w:hAnsi="Arial" w:cs="Arial"/>
        </w:rPr>
      </w:pPr>
    </w:p>
    <w:p w:rsidR="00B24089" w:rsidRPr="00B17DBF" w:rsidRDefault="00B24089" w:rsidP="00B24089">
      <w:pPr>
        <w:spacing w:line="480" w:lineRule="auto"/>
        <w:rPr>
          <w:rFonts w:ascii="Arial" w:hAnsi="Arial" w:cs="Arial"/>
        </w:rPr>
      </w:pPr>
    </w:p>
    <w:tbl>
      <w:tblPr>
        <w:tblW w:w="8880" w:type="dxa"/>
        <w:tblCellMar>
          <w:left w:w="0" w:type="dxa"/>
          <w:right w:w="0" w:type="dxa"/>
        </w:tblCellMar>
        <w:tblLook w:val="0420" w:firstRow="1" w:lastRow="0" w:firstColumn="0" w:lastColumn="0" w:noHBand="0" w:noVBand="1"/>
      </w:tblPr>
      <w:tblGrid>
        <w:gridCol w:w="4698"/>
        <w:gridCol w:w="2160"/>
        <w:gridCol w:w="2022"/>
      </w:tblGrid>
      <w:tr w:rsidR="00B24089" w:rsidRPr="00B17DBF" w:rsidTr="00D55468">
        <w:trPr>
          <w:trHeight w:hRule="exact" w:val="539"/>
        </w:trPr>
        <w:tc>
          <w:tcPr>
            <w:tcW w:w="8880"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957E0A">
            <w:pPr>
              <w:spacing w:after="0" w:line="240" w:lineRule="auto"/>
              <w:rPr>
                <w:rFonts w:ascii="Arial" w:hAnsi="Arial" w:cs="Arial"/>
                <w:sz w:val="18"/>
                <w:szCs w:val="18"/>
              </w:rPr>
            </w:pPr>
            <w:r w:rsidRPr="00B17DBF">
              <w:rPr>
                <w:rFonts w:ascii="Arial" w:hAnsi="Arial" w:cs="Arial"/>
                <w:b/>
                <w:bCs/>
                <w:sz w:val="18"/>
                <w:szCs w:val="18"/>
              </w:rPr>
              <w:lastRenderedPageBreak/>
              <w:t xml:space="preserve">Table </w:t>
            </w:r>
            <w:r w:rsidR="00D760E6" w:rsidRPr="00B17DBF">
              <w:rPr>
                <w:rFonts w:ascii="Arial" w:hAnsi="Arial" w:cs="Arial"/>
                <w:b/>
                <w:bCs/>
                <w:sz w:val="18"/>
                <w:szCs w:val="18"/>
              </w:rPr>
              <w:t>S</w:t>
            </w:r>
            <w:r w:rsidR="00957E0A">
              <w:rPr>
                <w:rFonts w:ascii="Arial" w:hAnsi="Arial" w:cs="Arial"/>
                <w:b/>
                <w:bCs/>
                <w:sz w:val="18"/>
                <w:szCs w:val="18"/>
              </w:rPr>
              <w:t>5</w:t>
            </w:r>
            <w:r w:rsidRPr="00B17DBF">
              <w:rPr>
                <w:rFonts w:ascii="Arial" w:hAnsi="Arial" w:cs="Arial"/>
                <w:b/>
                <w:bCs/>
                <w:sz w:val="18"/>
                <w:szCs w:val="18"/>
              </w:rPr>
              <w:t>. Comparison of Predictive Performance of Risk Score as a Continuous Variable vs. Clinical Variables in Validation Set</w:t>
            </w:r>
          </w:p>
        </w:tc>
      </w:tr>
      <w:tr w:rsidR="00B24089" w:rsidRPr="00B17DBF" w:rsidTr="00D55468">
        <w:trPr>
          <w:trHeight w:hRule="exact" w:val="539"/>
        </w:trPr>
        <w:tc>
          <w:tcPr>
            <w:tcW w:w="8880"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b/>
                <w:bCs/>
                <w:sz w:val="18"/>
                <w:szCs w:val="18"/>
              </w:rPr>
              <w:t>A. Multivariate Cox Analysis of Risk Score vs. Clinical Variables*</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b/>
                <w:bCs/>
                <w:sz w:val="18"/>
                <w:szCs w:val="18"/>
              </w:rPr>
              <w:t>Variable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r w:rsidRPr="00B17DBF">
              <w:rPr>
                <w:rFonts w:ascii="Arial" w:hAnsi="Arial" w:cs="Arial"/>
                <w:b/>
                <w:bCs/>
                <w:sz w:val="18"/>
                <w:szCs w:val="18"/>
              </w:rPr>
              <w:t>Hazard Ratio (95% CI)</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r w:rsidRPr="00B17DBF">
              <w:rPr>
                <w:rFonts w:ascii="Arial" w:hAnsi="Arial" w:cs="Arial"/>
                <w:b/>
                <w:bCs/>
                <w:sz w:val="18"/>
                <w:szCs w:val="18"/>
              </w:rPr>
              <w:t>P Value</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b/>
                <w:bCs/>
                <w:sz w:val="18"/>
                <w:szCs w:val="18"/>
              </w:rPr>
              <w:t xml:space="preserve">Analysis </w:t>
            </w:r>
            <w:r w:rsidRPr="00B17DBF">
              <w:rPr>
                <w:rFonts w:ascii="Arial" w:hAnsi="Arial" w:cs="Arial"/>
                <w:b/>
                <w:bCs/>
                <w:i/>
                <w:sz w:val="18"/>
                <w:szCs w:val="18"/>
              </w:rPr>
              <w:t>without</w:t>
            </w:r>
            <w:r w:rsidRPr="00B17DBF">
              <w:rPr>
                <w:rFonts w:ascii="Arial" w:hAnsi="Arial" w:cs="Arial"/>
                <w:b/>
                <w:bCs/>
                <w:sz w:val="18"/>
                <w:szCs w:val="18"/>
              </w:rPr>
              <w:t xml:space="preserve"> Risk Score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 xml:space="preserve">General Pathologist's </w:t>
            </w:r>
            <w:proofErr w:type="spellStart"/>
            <w:r w:rsidRPr="00B17DBF">
              <w:rPr>
                <w:rFonts w:ascii="Arial" w:hAnsi="Arial" w:cs="Arial"/>
                <w:sz w:val="18"/>
                <w:szCs w:val="18"/>
              </w:rPr>
              <w:t>Dx</w:t>
            </w:r>
            <w:proofErr w:type="spellEnd"/>
            <w:r w:rsidRPr="00B17DBF">
              <w:rPr>
                <w:rFonts w:ascii="Arial" w:hAnsi="Arial" w:cs="Arial"/>
                <w:sz w:val="18"/>
                <w:szCs w:val="18"/>
              </w:rPr>
              <w:t xml:space="preserve"> (LGD vs. ND/ IND)</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1.55 (0.67 - 3.58)</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0.31</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Barrett's segment length (Long vs. Short)</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2.53 (1 - 6.42)</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0.05</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Age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0.99 (0.96 - 1.02)</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0.38</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Gender</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1.47 (0.51 - 4.29)</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0.48</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p53 (% cells overexpressing)</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6.87 (0.01 - 4755.13)</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0.56</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b/>
                <w:bCs/>
                <w:sz w:val="18"/>
                <w:szCs w:val="18"/>
              </w:rPr>
              <w:t xml:space="preserve">Analysis </w:t>
            </w:r>
            <w:r w:rsidRPr="00B17DBF">
              <w:rPr>
                <w:rFonts w:ascii="Arial" w:hAnsi="Arial" w:cs="Arial"/>
                <w:b/>
                <w:bCs/>
                <w:i/>
                <w:sz w:val="18"/>
                <w:szCs w:val="18"/>
              </w:rPr>
              <w:t>with</w:t>
            </w:r>
            <w:r w:rsidRPr="00B17DBF">
              <w:rPr>
                <w:rFonts w:ascii="Arial" w:hAnsi="Arial" w:cs="Arial"/>
                <w:b/>
                <w:bCs/>
                <w:sz w:val="18"/>
                <w:szCs w:val="18"/>
              </w:rPr>
              <w:t xml:space="preserve"> Risk Score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 xml:space="preserve">General Pathologist's </w:t>
            </w:r>
            <w:proofErr w:type="spellStart"/>
            <w:r w:rsidRPr="00B17DBF">
              <w:rPr>
                <w:rFonts w:ascii="Arial" w:hAnsi="Arial" w:cs="Arial"/>
                <w:sz w:val="18"/>
                <w:szCs w:val="18"/>
              </w:rPr>
              <w:t>Dx</w:t>
            </w:r>
            <w:proofErr w:type="spellEnd"/>
            <w:r w:rsidRPr="00B17DBF">
              <w:rPr>
                <w:rFonts w:ascii="Arial" w:hAnsi="Arial" w:cs="Arial"/>
                <w:sz w:val="18"/>
                <w:szCs w:val="18"/>
              </w:rPr>
              <w:t xml:space="preserve"> (LGD vs. ND/IND)</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1.41 (0.6 - 3.33)</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0.44</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Barrett's segment length (Long vs. Short)</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1.86 (0.73 - 4.73)</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0.19</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Age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1 (0.97 - 1.03)</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0.94</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Gender</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0.9 (0.3 - 2.73)</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0.86</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p53 (% cells overexpressing)</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0.05 (0 - 83.69)</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0.42</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 xml:space="preserve">Continuous Risk Score </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1.65 (1.35 - 2.03)</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&lt;0.0001</w:t>
            </w:r>
          </w:p>
        </w:tc>
      </w:tr>
      <w:tr w:rsidR="00B24089" w:rsidRPr="00B17DBF" w:rsidTr="00D55468">
        <w:trPr>
          <w:trHeight w:hRule="exact" w:val="476"/>
        </w:trPr>
        <w:tc>
          <w:tcPr>
            <w:tcW w:w="8880"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b/>
                <w:bCs/>
                <w:sz w:val="18"/>
                <w:szCs w:val="18"/>
              </w:rPr>
              <w:t>B. Multivariate Cox Analysis of Risk Score vs GI Subspecialist**</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b/>
                <w:bCs/>
                <w:sz w:val="18"/>
                <w:szCs w:val="18"/>
              </w:rPr>
              <w:t>Variable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r w:rsidRPr="00B17DBF">
              <w:rPr>
                <w:rFonts w:ascii="Arial" w:hAnsi="Arial" w:cs="Arial"/>
                <w:b/>
                <w:bCs/>
                <w:sz w:val="18"/>
                <w:szCs w:val="18"/>
              </w:rPr>
              <w:t>Hazard Ratio (95% CI)</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r w:rsidRPr="00B17DBF">
              <w:rPr>
                <w:rFonts w:ascii="Arial" w:hAnsi="Arial" w:cs="Arial"/>
                <w:b/>
                <w:bCs/>
                <w:sz w:val="18"/>
                <w:szCs w:val="18"/>
              </w:rPr>
              <w:t>P Value</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b/>
                <w:bCs/>
                <w:sz w:val="18"/>
                <w:szCs w:val="18"/>
              </w:rPr>
              <w:t xml:space="preserve">Analysis </w:t>
            </w:r>
            <w:r w:rsidRPr="00B17DBF">
              <w:rPr>
                <w:rFonts w:ascii="Arial" w:hAnsi="Arial" w:cs="Arial"/>
                <w:b/>
                <w:bCs/>
                <w:i/>
                <w:sz w:val="18"/>
                <w:szCs w:val="18"/>
              </w:rPr>
              <w:t xml:space="preserve">without </w:t>
            </w:r>
            <w:r w:rsidRPr="00B17DBF">
              <w:rPr>
                <w:rFonts w:ascii="Arial" w:hAnsi="Arial" w:cs="Arial"/>
                <w:b/>
                <w:bCs/>
                <w:sz w:val="18"/>
                <w:szCs w:val="18"/>
              </w:rPr>
              <w:t>Risk Score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hAnsi="Arial" w:cs="Arial"/>
                <w:sz w:val="18"/>
                <w:szCs w:val="18"/>
              </w:rPr>
            </w:pP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 xml:space="preserve">GI Subspecialist Pathologist's </w:t>
            </w:r>
            <w:proofErr w:type="spellStart"/>
            <w:r w:rsidRPr="00B17DBF">
              <w:rPr>
                <w:rFonts w:ascii="Arial" w:hAnsi="Arial" w:cs="Arial"/>
                <w:sz w:val="18"/>
                <w:szCs w:val="18"/>
              </w:rPr>
              <w:t>Dx</w:t>
            </w:r>
            <w:proofErr w:type="spellEnd"/>
            <w:r w:rsidRPr="00B17DBF">
              <w:rPr>
                <w:rFonts w:ascii="Arial" w:hAnsi="Arial" w:cs="Arial"/>
                <w:sz w:val="18"/>
                <w:szCs w:val="18"/>
              </w:rPr>
              <w:t xml:space="preserve"> (LGD vs. ND/IND)</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3.19 (1.24 - 8.2)</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0.02</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 </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hAnsi="Arial" w:cs="Arial"/>
                <w:sz w:val="18"/>
                <w:szCs w:val="18"/>
              </w:rPr>
            </w:pP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hAnsi="Arial" w:cs="Arial"/>
                <w:sz w:val="18"/>
                <w:szCs w:val="18"/>
              </w:rPr>
            </w:pP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b/>
                <w:bCs/>
                <w:sz w:val="18"/>
                <w:szCs w:val="18"/>
              </w:rPr>
              <w:t xml:space="preserve">Analysis </w:t>
            </w:r>
            <w:r w:rsidRPr="00B17DBF">
              <w:rPr>
                <w:rFonts w:ascii="Arial" w:hAnsi="Arial" w:cs="Arial"/>
                <w:b/>
                <w:bCs/>
                <w:i/>
                <w:sz w:val="18"/>
                <w:szCs w:val="18"/>
              </w:rPr>
              <w:t>with</w:t>
            </w:r>
            <w:r w:rsidRPr="00B17DBF">
              <w:rPr>
                <w:rFonts w:ascii="Arial" w:hAnsi="Arial" w:cs="Arial"/>
                <w:b/>
                <w:bCs/>
                <w:sz w:val="18"/>
                <w:szCs w:val="18"/>
              </w:rPr>
              <w:t xml:space="preserve"> Risk Score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hAnsi="Arial" w:cs="Arial"/>
                <w:sz w:val="18"/>
                <w:szCs w:val="18"/>
              </w:rPr>
            </w:pP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hAnsi="Arial" w:cs="Arial"/>
                <w:sz w:val="18"/>
                <w:szCs w:val="18"/>
              </w:rPr>
            </w:pP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 xml:space="preserve">GI Subspecialist Pathologist's </w:t>
            </w:r>
            <w:proofErr w:type="spellStart"/>
            <w:r w:rsidRPr="00B17DBF">
              <w:rPr>
                <w:rFonts w:ascii="Arial" w:hAnsi="Arial" w:cs="Arial"/>
                <w:sz w:val="18"/>
                <w:szCs w:val="18"/>
              </w:rPr>
              <w:t>Dx</w:t>
            </w:r>
            <w:proofErr w:type="spellEnd"/>
            <w:r w:rsidRPr="00B17DBF">
              <w:rPr>
                <w:rFonts w:ascii="Arial" w:hAnsi="Arial" w:cs="Arial"/>
                <w:sz w:val="18"/>
                <w:szCs w:val="18"/>
              </w:rPr>
              <w:t xml:space="preserve"> (LGD vs. ND/IND)</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1.35 (0.5 - 3.64)</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0.55</w:t>
            </w:r>
          </w:p>
        </w:tc>
      </w:tr>
      <w:tr w:rsidR="00B24089" w:rsidRPr="00B17DBF" w:rsidTr="00D55468">
        <w:trPr>
          <w:trHeight w:hRule="exact" w:val="288"/>
        </w:trPr>
        <w:tc>
          <w:tcPr>
            <w:tcW w:w="4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24089" w:rsidRPr="00B17DBF" w:rsidRDefault="00B24089" w:rsidP="00D55468">
            <w:pPr>
              <w:spacing w:after="0" w:line="240" w:lineRule="auto"/>
              <w:rPr>
                <w:rFonts w:ascii="Arial" w:hAnsi="Arial" w:cs="Arial"/>
                <w:sz w:val="18"/>
                <w:szCs w:val="18"/>
              </w:rPr>
            </w:pPr>
            <w:r w:rsidRPr="00B17DBF">
              <w:rPr>
                <w:rFonts w:ascii="Arial" w:hAnsi="Arial" w:cs="Arial"/>
                <w:sz w:val="18"/>
                <w:szCs w:val="18"/>
              </w:rPr>
              <w:t>Continuous Risk Score</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1.71 (1.44 - 2.04)</w:t>
            </w:r>
          </w:p>
        </w:tc>
        <w:tc>
          <w:tcPr>
            <w:tcW w:w="2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after="0" w:line="240" w:lineRule="auto"/>
              <w:jc w:val="center"/>
              <w:rPr>
                <w:rFonts w:ascii="Arial" w:eastAsia="Times New Roman" w:hAnsi="Arial" w:cs="Arial"/>
                <w:sz w:val="18"/>
              </w:rPr>
            </w:pPr>
            <w:r w:rsidRPr="00B17DBF">
              <w:rPr>
                <w:rFonts w:ascii="Arial" w:eastAsia="Times New Roman" w:hAnsi="Arial" w:cs="Arial"/>
                <w:sz w:val="18"/>
              </w:rPr>
              <w:t>&lt;0.0001</w:t>
            </w:r>
          </w:p>
        </w:tc>
      </w:tr>
      <w:tr w:rsidR="00B24089" w:rsidRPr="00B17DBF" w:rsidTr="00D55468">
        <w:trPr>
          <w:trHeight w:hRule="exact" w:val="1412"/>
        </w:trPr>
        <w:tc>
          <w:tcPr>
            <w:tcW w:w="8880"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24089" w:rsidRPr="00B17DBF" w:rsidRDefault="00B24089" w:rsidP="00D55468">
            <w:pPr>
              <w:spacing w:line="240" w:lineRule="auto"/>
              <w:rPr>
                <w:rFonts w:ascii="Arial" w:hAnsi="Arial" w:cs="Arial"/>
                <w:sz w:val="16"/>
              </w:rPr>
            </w:pPr>
            <w:r w:rsidRPr="00B17DBF">
              <w:rPr>
                <w:rFonts w:ascii="Arial" w:hAnsi="Arial" w:cs="Arial"/>
                <w:sz w:val="16"/>
              </w:rPr>
              <w:t>Multivariate Cox models were run in which progression to HGD/EAC was evaluated first in relation to clinical variables alone, then in relation to Risk Score and clinical variables in non-progressor patients and incident progressor patients. The following clinical variables were dichotomized:  pathologist diagnosis (LGD vs. ND or IND)</w:t>
            </w:r>
            <w:r w:rsidRPr="00B17DBF">
              <w:rPr>
                <w:rFonts w:ascii="Arial" w:eastAsia="Times New Roman" w:hAnsi="Arial" w:cs="Arial"/>
                <w:sz w:val="16"/>
              </w:rPr>
              <w:t>, gender (0 for F, 1 for M), BE segment length (0 for short (≤3cm), 1 for long (&gt;3cm) and Risk Score. Age, p53 and Risk Score were evaluated as continuous variables.</w:t>
            </w:r>
            <w:r w:rsidRPr="00B17DBF">
              <w:rPr>
                <w:rFonts w:ascii="Arial" w:hAnsi="Arial" w:cs="Arial"/>
                <w:sz w:val="16"/>
              </w:rPr>
              <w:t xml:space="preserve"> *n=30 incident progressor patients and n=103 non-progressor patients with complete data for all evaluated variables. **n=38 incident progressor patients and n=145 non-progressor patients (all validation set patients) for analysis in part B.</w:t>
            </w:r>
          </w:p>
        </w:tc>
      </w:tr>
    </w:tbl>
    <w:p w:rsidR="00B24089" w:rsidRPr="00B17DBF" w:rsidRDefault="00B24089" w:rsidP="00B24089">
      <w:pPr>
        <w:pStyle w:val="DataField11pt-Single"/>
        <w:spacing w:line="480" w:lineRule="auto"/>
        <w:rPr>
          <w:rFonts w:eastAsiaTheme="minorHAnsi"/>
          <w:szCs w:val="22"/>
        </w:rPr>
      </w:pPr>
    </w:p>
    <w:p w:rsidR="00B24089" w:rsidRPr="00B17DBF" w:rsidRDefault="00B24089" w:rsidP="00B24089">
      <w:pPr>
        <w:pStyle w:val="DataField11pt-Single"/>
        <w:spacing w:line="480" w:lineRule="auto"/>
        <w:rPr>
          <w:rFonts w:eastAsiaTheme="minorHAnsi"/>
          <w:szCs w:val="22"/>
        </w:rPr>
      </w:pPr>
    </w:p>
    <w:p w:rsidR="00B24089" w:rsidRPr="00B17DBF" w:rsidRDefault="00B24089" w:rsidP="00B24089">
      <w:pPr>
        <w:pStyle w:val="DataField11pt-Single"/>
        <w:spacing w:line="480" w:lineRule="auto"/>
        <w:rPr>
          <w:rFonts w:eastAsiaTheme="minorHAnsi"/>
          <w:szCs w:val="22"/>
        </w:rPr>
      </w:pPr>
    </w:p>
    <w:p w:rsidR="00B24089" w:rsidRPr="00B17DBF" w:rsidRDefault="00B24089" w:rsidP="00B24089">
      <w:pPr>
        <w:pStyle w:val="DataField11pt-Single"/>
        <w:spacing w:line="480" w:lineRule="auto"/>
        <w:rPr>
          <w:rFonts w:eastAsiaTheme="minorHAnsi"/>
          <w:szCs w:val="22"/>
        </w:rPr>
      </w:pPr>
    </w:p>
    <w:p w:rsidR="00B24089" w:rsidRPr="00B17DBF" w:rsidRDefault="00B24089" w:rsidP="00B24089">
      <w:pPr>
        <w:pStyle w:val="DataField11pt-Single"/>
        <w:spacing w:line="480" w:lineRule="auto"/>
        <w:rPr>
          <w:rFonts w:eastAsiaTheme="minorHAnsi"/>
          <w:szCs w:val="22"/>
        </w:rPr>
      </w:pPr>
    </w:p>
    <w:p w:rsidR="00B24089" w:rsidRPr="00B17DBF" w:rsidRDefault="00B24089" w:rsidP="00B24089">
      <w:pPr>
        <w:pStyle w:val="DataField11pt-Single"/>
        <w:spacing w:line="480" w:lineRule="auto"/>
        <w:rPr>
          <w:rFonts w:eastAsiaTheme="minorHAnsi"/>
          <w:szCs w:val="22"/>
        </w:rPr>
      </w:pPr>
    </w:p>
    <w:p w:rsidR="00B24089" w:rsidRPr="00B17DBF" w:rsidRDefault="00B24089" w:rsidP="00B24089">
      <w:pPr>
        <w:pStyle w:val="DataField11pt-Single"/>
        <w:spacing w:line="480" w:lineRule="auto"/>
        <w:rPr>
          <w:rFonts w:eastAsiaTheme="minorHAnsi"/>
          <w:szCs w:val="22"/>
        </w:rPr>
      </w:pPr>
    </w:p>
    <w:p w:rsidR="00B24089" w:rsidRPr="00B17DBF" w:rsidRDefault="00B24089" w:rsidP="00B24089">
      <w:pPr>
        <w:pStyle w:val="DataField11pt-Single"/>
        <w:spacing w:line="480" w:lineRule="auto"/>
        <w:rPr>
          <w:rFonts w:eastAsiaTheme="minorHAnsi"/>
          <w:b/>
          <w:szCs w:val="22"/>
        </w:rPr>
      </w:pPr>
      <w:r w:rsidRPr="00B17DBF">
        <w:rPr>
          <w:rFonts w:eastAsiaTheme="minorHAnsi"/>
          <w:b/>
          <w:szCs w:val="22"/>
        </w:rPr>
        <w:lastRenderedPageBreak/>
        <w:t>Supplementa</w:t>
      </w:r>
      <w:r w:rsidR="005D242E">
        <w:rPr>
          <w:rFonts w:eastAsiaTheme="minorHAnsi"/>
          <w:b/>
          <w:szCs w:val="22"/>
        </w:rPr>
        <w:t>ry</w:t>
      </w:r>
      <w:bookmarkStart w:id="0" w:name="_GoBack"/>
      <w:bookmarkEnd w:id="0"/>
      <w:r w:rsidRPr="00B17DBF">
        <w:rPr>
          <w:rFonts w:eastAsiaTheme="minorHAnsi"/>
          <w:b/>
          <w:szCs w:val="22"/>
        </w:rPr>
        <w:t xml:space="preserve"> Figures</w:t>
      </w:r>
    </w:p>
    <w:p w:rsidR="00B24089" w:rsidRPr="00B17DBF" w:rsidRDefault="00B24089" w:rsidP="00B24089"/>
    <w:p w:rsidR="00B24089" w:rsidRPr="00B17DBF" w:rsidRDefault="00B24089" w:rsidP="00B24089">
      <w:pPr>
        <w:pStyle w:val="DataField11pt-Single"/>
        <w:spacing w:line="480" w:lineRule="auto"/>
        <w:rPr>
          <w:rFonts w:eastAsiaTheme="minorHAnsi"/>
          <w:szCs w:val="22"/>
        </w:rPr>
      </w:pPr>
      <w:r w:rsidRPr="00B17DBF">
        <w:rPr>
          <w:rFonts w:eastAsiaTheme="minorHAnsi"/>
          <w:b/>
          <w:szCs w:val="22"/>
        </w:rPr>
        <w:t xml:space="preserve">Figure </w:t>
      </w:r>
      <w:r w:rsidR="00D760E6">
        <w:rPr>
          <w:rFonts w:eastAsiaTheme="minorHAnsi"/>
          <w:b/>
          <w:szCs w:val="22"/>
        </w:rPr>
        <w:t>S1</w:t>
      </w:r>
      <w:r w:rsidRPr="00B17DBF">
        <w:rPr>
          <w:rFonts w:eastAsiaTheme="minorHAnsi"/>
          <w:b/>
          <w:szCs w:val="22"/>
        </w:rPr>
        <w:t>.</w:t>
      </w:r>
      <w:r w:rsidRPr="00B17DBF">
        <w:rPr>
          <w:rFonts w:eastAsiaTheme="minorHAnsi"/>
          <w:szCs w:val="22"/>
        </w:rPr>
        <w:t xml:space="preserve"> </w:t>
      </w:r>
      <w:proofErr w:type="gramStart"/>
      <w:r w:rsidRPr="00B17DBF">
        <w:rPr>
          <w:rFonts w:eastAsiaTheme="minorHAnsi"/>
          <w:b/>
          <w:szCs w:val="22"/>
        </w:rPr>
        <w:t>Flowchart of Steps to Train and Validate 3-Tier 15-Feature/Measure Classifier for Risk Prediction in Barrett’s Esophagus Biopsies.</w:t>
      </w:r>
      <w:proofErr w:type="gramEnd"/>
    </w:p>
    <w:p w:rsidR="00B24089" w:rsidRPr="00B17DBF" w:rsidRDefault="004A5783" w:rsidP="00B24089">
      <w:pPr>
        <w:rPr>
          <w:rFonts w:ascii="Arial" w:hAnsi="Arial" w:cs="Arial"/>
          <w:b/>
        </w:rPr>
      </w:pPr>
      <w:r>
        <w:rPr>
          <w:rFonts w:ascii="Arial" w:hAnsi="Arial" w:cs="Arial"/>
          <w:b/>
          <w:noProof/>
        </w:rPr>
        <w:drawing>
          <wp:inline distT="0" distB="0" distL="0" distR="0" wp14:anchorId="6DAAC6F6" wp14:editId="4B9FCC3E">
            <wp:extent cx="4323036" cy="6686296"/>
            <wp:effectExtent l="0" t="0" r="190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1.tif"/>
                    <pic:cNvPicPr/>
                  </pic:nvPicPr>
                  <pic:blipFill rotWithShape="1">
                    <a:blip r:embed="rId7">
                      <a:extLst>
                        <a:ext uri="{28A0092B-C50C-407E-A947-70E740481C1C}">
                          <a14:useLocalDpi xmlns:a14="http://schemas.microsoft.com/office/drawing/2010/main" val="0"/>
                        </a:ext>
                      </a:extLst>
                    </a:blip>
                    <a:srcRect l="6261" t="1482" r="5686" b="1851"/>
                    <a:stretch/>
                  </pic:blipFill>
                  <pic:spPr bwMode="auto">
                    <a:xfrm>
                      <a:off x="0" y="0"/>
                      <a:ext cx="4323036" cy="6686296"/>
                    </a:xfrm>
                    <a:prstGeom prst="rect">
                      <a:avLst/>
                    </a:prstGeom>
                    <a:ln>
                      <a:noFill/>
                    </a:ln>
                    <a:extLst>
                      <a:ext uri="{53640926-AAD7-44D8-BBD7-CCE9431645EC}">
                        <a14:shadowObscured xmlns:a14="http://schemas.microsoft.com/office/drawing/2010/main"/>
                      </a:ext>
                    </a:extLst>
                  </pic:spPr>
                </pic:pic>
              </a:graphicData>
            </a:graphic>
          </wp:inline>
        </w:drawing>
      </w:r>
    </w:p>
    <w:p w:rsidR="005A4178" w:rsidRDefault="004A5783" w:rsidP="00D760E6">
      <w:pPr>
        <w:pStyle w:val="NormalWeb"/>
        <w:spacing w:line="480" w:lineRule="auto"/>
        <w:rPr>
          <w:rFonts w:ascii="Arial" w:hAnsi="Arial" w:cs="Arial"/>
          <w:b/>
          <w:sz w:val="22"/>
        </w:rPr>
      </w:pPr>
      <w:r>
        <w:rPr>
          <w:rFonts w:ascii="Arial" w:hAnsi="Arial" w:cs="Arial"/>
          <w:b/>
          <w:noProof/>
          <w:sz w:val="22"/>
        </w:rPr>
        <w:lastRenderedPageBreak/>
        <w:drawing>
          <wp:inline distT="0" distB="0" distL="0" distR="0" wp14:anchorId="4C6B508C" wp14:editId="4BFDE586">
            <wp:extent cx="5212080" cy="7744968"/>
            <wp:effectExtent l="0" t="0" r="762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2.tif"/>
                    <pic:cNvPicPr/>
                  </pic:nvPicPr>
                  <pic:blipFill>
                    <a:blip r:embed="rId8">
                      <a:extLst>
                        <a:ext uri="{28A0092B-C50C-407E-A947-70E740481C1C}">
                          <a14:useLocalDpi xmlns:a14="http://schemas.microsoft.com/office/drawing/2010/main" val="0"/>
                        </a:ext>
                      </a:extLst>
                    </a:blip>
                    <a:stretch>
                      <a:fillRect/>
                    </a:stretch>
                  </pic:blipFill>
                  <pic:spPr>
                    <a:xfrm>
                      <a:off x="0" y="0"/>
                      <a:ext cx="5212080" cy="7744968"/>
                    </a:xfrm>
                    <a:prstGeom prst="rect">
                      <a:avLst/>
                    </a:prstGeom>
                  </pic:spPr>
                </pic:pic>
              </a:graphicData>
            </a:graphic>
          </wp:inline>
        </w:drawing>
      </w:r>
    </w:p>
    <w:p w:rsidR="00D760E6" w:rsidRDefault="00D760E6" w:rsidP="00D760E6">
      <w:pPr>
        <w:pStyle w:val="NormalWeb"/>
        <w:spacing w:line="480" w:lineRule="auto"/>
        <w:rPr>
          <w:rFonts w:ascii="Arial" w:hAnsi="Arial" w:cs="Arial"/>
          <w:sz w:val="22"/>
        </w:rPr>
      </w:pPr>
      <w:r w:rsidRPr="00B17DBF">
        <w:rPr>
          <w:rFonts w:ascii="Arial" w:hAnsi="Arial" w:cs="Arial"/>
          <w:b/>
          <w:sz w:val="22"/>
        </w:rPr>
        <w:lastRenderedPageBreak/>
        <w:t xml:space="preserve">Figure </w:t>
      </w:r>
      <w:r>
        <w:rPr>
          <w:rFonts w:ascii="Arial" w:hAnsi="Arial" w:cs="Arial"/>
          <w:b/>
          <w:sz w:val="22"/>
        </w:rPr>
        <w:t>S2</w:t>
      </w:r>
      <w:r w:rsidRPr="00B17DBF">
        <w:rPr>
          <w:rFonts w:ascii="Arial" w:hAnsi="Arial" w:cs="Arial"/>
          <w:b/>
          <w:sz w:val="22"/>
        </w:rPr>
        <w:t xml:space="preserve">. Multiplexed Biomarker Labeling and Imaging in Incident Progressor BE Cases. </w:t>
      </w:r>
      <w:proofErr w:type="gramStart"/>
      <w:r w:rsidRPr="00B17DBF">
        <w:rPr>
          <w:rFonts w:ascii="Arial" w:hAnsi="Arial" w:cs="Arial"/>
          <w:sz w:val="22"/>
        </w:rPr>
        <w:t xml:space="preserve">Representative images of the 9 </w:t>
      </w:r>
      <w:r>
        <w:rPr>
          <w:rFonts w:ascii="Arial" w:hAnsi="Arial" w:cs="Arial"/>
          <w:sz w:val="22"/>
        </w:rPr>
        <w:t xml:space="preserve">candidate protein </w:t>
      </w:r>
      <w:r w:rsidRPr="00B17DBF">
        <w:rPr>
          <w:rFonts w:ascii="Arial" w:hAnsi="Arial" w:cs="Arial"/>
          <w:sz w:val="22"/>
        </w:rPr>
        <w:t xml:space="preserve">biomarkers </w:t>
      </w:r>
      <w:r>
        <w:rPr>
          <w:rFonts w:ascii="Arial" w:hAnsi="Arial" w:cs="Arial"/>
          <w:sz w:val="22"/>
        </w:rPr>
        <w:t xml:space="preserve">from which the 15 </w:t>
      </w:r>
      <w:r w:rsidRPr="00B17DBF">
        <w:rPr>
          <w:rFonts w:ascii="Arial" w:hAnsi="Arial" w:cs="Arial"/>
          <w:sz w:val="22"/>
        </w:rPr>
        <w:t>feature</w:t>
      </w:r>
      <w:r>
        <w:rPr>
          <w:rFonts w:ascii="Arial" w:hAnsi="Arial" w:cs="Arial"/>
          <w:sz w:val="22"/>
        </w:rPr>
        <w:t>s are derived</w:t>
      </w:r>
      <w:r w:rsidRPr="00B17DBF">
        <w:rPr>
          <w:rFonts w:ascii="Arial" w:hAnsi="Arial" w:cs="Arial"/>
          <w:sz w:val="22"/>
        </w:rPr>
        <w:t xml:space="preserve"> from 2 ND biopsies (A-B and C-D) and 1 LGD biopsy (E-F)</w:t>
      </w:r>
      <w:r>
        <w:rPr>
          <w:rFonts w:ascii="Arial" w:hAnsi="Arial" w:cs="Arial"/>
          <w:sz w:val="22"/>
        </w:rPr>
        <w:t xml:space="preserve"> (pre-progression biopsies)</w:t>
      </w:r>
      <w:r w:rsidRPr="00B17DBF">
        <w:rPr>
          <w:rFonts w:ascii="Arial" w:hAnsi="Arial" w:cs="Arial"/>
          <w:sz w:val="22"/>
        </w:rPr>
        <w:t xml:space="preserve"> from incident progressors.</w:t>
      </w:r>
      <w:proofErr w:type="gramEnd"/>
      <w:r w:rsidRPr="00B17DBF">
        <w:rPr>
          <w:rFonts w:ascii="Arial" w:hAnsi="Arial" w:cs="Arial"/>
          <w:sz w:val="22"/>
        </w:rPr>
        <w:t xml:space="preserve"> A: p53-yellow, AMACR-red, p16-green; B: CD68-green, COX-2-red; C: p53-yellow, AMACR-red, p16-green; D: CD68-green, COX-2-red; E: HER2/neu-green, K20-red; F: HIF-1</w:t>
      </w:r>
      <w:r w:rsidRPr="00B17DBF">
        <w:rPr>
          <w:rFonts w:ascii="Symbol" w:hAnsi="Symbol" w:cs="Arial"/>
          <w:sz w:val="22"/>
        </w:rPr>
        <w:t></w:t>
      </w:r>
      <w:r w:rsidRPr="00B17DBF">
        <w:rPr>
          <w:rFonts w:ascii="Arial" w:hAnsi="Arial" w:cs="Arial"/>
          <w:sz w:val="22"/>
        </w:rPr>
        <w:t xml:space="preserve">-green, CD45RO-red. </w:t>
      </w:r>
      <w:proofErr w:type="gramStart"/>
      <w:r w:rsidRPr="00B17DBF">
        <w:rPr>
          <w:rFonts w:ascii="Arial" w:hAnsi="Arial" w:cs="Arial"/>
          <w:sz w:val="22"/>
        </w:rPr>
        <w:t>Hoechst shown in blue.</w:t>
      </w:r>
      <w:proofErr w:type="gramEnd"/>
      <w:r w:rsidRPr="00B17DBF">
        <w:rPr>
          <w:rFonts w:ascii="Arial" w:hAnsi="Arial" w:cs="Arial"/>
          <w:sz w:val="22"/>
        </w:rPr>
        <w:t xml:space="preserve">  </w:t>
      </w:r>
    </w:p>
    <w:p w:rsidR="009A750E" w:rsidRDefault="009A750E" w:rsidP="00B24089">
      <w:pPr>
        <w:spacing w:after="0" w:line="480" w:lineRule="auto"/>
        <w:rPr>
          <w:rFonts w:ascii="Arial" w:hAnsi="Arial" w:cs="Arial"/>
          <w:b/>
        </w:rPr>
      </w:pPr>
    </w:p>
    <w:p w:rsidR="00B24089" w:rsidRPr="00B17DBF" w:rsidRDefault="005D242E" w:rsidP="00B24089">
      <w:pPr>
        <w:spacing w:after="0" w:line="480" w:lineRule="auto"/>
        <w:rPr>
          <w:rFonts w:ascii="Arial" w:hAnsi="Arial" w:cs="Arial"/>
          <w:b/>
        </w:rPr>
      </w:pPr>
      <w:r>
        <w:rPr>
          <w:rFonts w:ascii="Arial" w:hAnsi="Arial" w:cs="Arial"/>
          <w:b/>
        </w:rPr>
        <w:t>Supplementary</w:t>
      </w:r>
      <w:r w:rsidR="00B24089" w:rsidRPr="00B17DBF">
        <w:rPr>
          <w:rFonts w:ascii="Arial" w:hAnsi="Arial" w:cs="Arial"/>
          <w:b/>
        </w:rPr>
        <w:t xml:space="preserve"> Methods</w:t>
      </w:r>
    </w:p>
    <w:p w:rsidR="00B24089" w:rsidRPr="00B17DBF" w:rsidRDefault="00B24089" w:rsidP="00B24089">
      <w:pPr>
        <w:spacing w:after="0" w:line="480" w:lineRule="auto"/>
        <w:rPr>
          <w:rFonts w:ascii="Arial" w:hAnsi="Arial" w:cs="Arial"/>
          <w:b/>
        </w:rPr>
      </w:pPr>
      <w:r w:rsidRPr="00B17DBF">
        <w:rPr>
          <w:rFonts w:ascii="Arial" w:hAnsi="Arial" w:cs="Arial"/>
          <w:b/>
        </w:rPr>
        <w:t>Additional Information on Sample Selection</w:t>
      </w:r>
      <w:r>
        <w:rPr>
          <w:rFonts w:ascii="Arial" w:hAnsi="Arial" w:cs="Arial"/>
          <w:b/>
        </w:rPr>
        <w:t xml:space="preserve"> Methods</w:t>
      </w:r>
      <w:r w:rsidRPr="00B17DBF">
        <w:rPr>
          <w:rFonts w:ascii="Arial" w:hAnsi="Arial" w:cs="Arial"/>
          <w:b/>
        </w:rPr>
        <w:t>:</w:t>
      </w:r>
    </w:p>
    <w:p w:rsidR="00B24089" w:rsidRPr="00B17DBF" w:rsidRDefault="00B24089" w:rsidP="00B24089">
      <w:pPr>
        <w:spacing w:after="0" w:line="480" w:lineRule="auto"/>
        <w:rPr>
          <w:rFonts w:ascii="Arial" w:hAnsi="Arial" w:cs="Arial"/>
        </w:rPr>
      </w:pPr>
      <w:r w:rsidRPr="00B17DBF">
        <w:rPr>
          <w:rFonts w:ascii="Arial" w:hAnsi="Arial" w:cs="Arial"/>
        </w:rPr>
        <w:t xml:space="preserve">The cases selected for this study had collection dates 1997-2010 (Geisinger), 1998-2008 (University of Pittsburgh), 2006-2012 (University of Pennsylvania) and 1996-2011 (AMC). </w:t>
      </w:r>
      <w:proofErr w:type="gramStart"/>
      <w:r w:rsidRPr="00B17DBF">
        <w:rPr>
          <w:rFonts w:ascii="Arial" w:hAnsi="Arial" w:cs="Arial"/>
        </w:rPr>
        <w:t>For patients with multiple biopsy levels taken at the same endoscopy, the biopsy with the highest diagnosis determined by a GI subspecialist pathologist was selected (low grade dysplasia was considered the highest diagnosis, followed by indefinite dysplasia, and non-dysplastic intestinal metaplasia was considered the lowest diagnosis).</w:t>
      </w:r>
      <w:proofErr w:type="gramEnd"/>
      <w:r w:rsidRPr="00B17DBF">
        <w:rPr>
          <w:rFonts w:ascii="Arial" w:hAnsi="Arial" w:cs="Arial"/>
        </w:rPr>
        <w:t xml:space="preserve"> For patients with multiple biopsy levels with the same diagnosis, the pathologist at each institution selected a representative biopsy block with sufficient tissue for analysis. </w:t>
      </w:r>
      <w:r w:rsidRPr="00B17DBF">
        <w:rPr>
          <w:rFonts w:ascii="Arial" w:hAnsi="Arial" w:cs="Arial"/>
          <w:bCs/>
        </w:rPr>
        <w:t xml:space="preserve">Segment length data was missing for 24 patients. Age and gender </w:t>
      </w:r>
      <w:r w:rsidRPr="00B17DBF">
        <w:rPr>
          <w:rFonts w:ascii="Arial" w:hAnsi="Arial" w:cs="Arial"/>
        </w:rPr>
        <w:t>were complete</w:t>
      </w:r>
      <w:r w:rsidRPr="00B17DBF">
        <w:rPr>
          <w:rFonts w:ascii="Arial" w:hAnsi="Arial" w:cs="Arial"/>
          <w:bCs/>
        </w:rPr>
        <w:t xml:space="preserve"> for all patients. The original pathologic diagnosis extracted from the medical records was provided by a generalist pathologist for 304/366 patients and by a GI subspecialist pathologist for 62/366 patients. All cases were reviewed again by a GI subspecialist pathologist for this study</w:t>
      </w:r>
      <w:r w:rsidRPr="00B17DBF">
        <w:rPr>
          <w:rFonts w:ascii="Arial" w:hAnsi="Arial" w:cs="Arial"/>
        </w:rPr>
        <w:t xml:space="preserve">. </w:t>
      </w:r>
      <w:r w:rsidRPr="00B17DBF">
        <w:rPr>
          <w:rFonts w:ascii="Arial" w:eastAsia="Times New Roman" w:hAnsi="Arial" w:cs="Arial"/>
        </w:rPr>
        <w:t xml:space="preserve">Biopsies prepared with </w:t>
      </w:r>
      <w:proofErr w:type="spellStart"/>
      <w:r w:rsidRPr="00B17DBF">
        <w:rPr>
          <w:rFonts w:ascii="Arial" w:eastAsia="Times New Roman" w:hAnsi="Arial" w:cs="Arial"/>
        </w:rPr>
        <w:t>Bouin’s</w:t>
      </w:r>
      <w:proofErr w:type="spellEnd"/>
      <w:r w:rsidRPr="00B17DBF">
        <w:rPr>
          <w:rFonts w:ascii="Arial" w:eastAsia="Times New Roman" w:hAnsi="Arial" w:cs="Arial"/>
        </w:rPr>
        <w:t xml:space="preserve"> fixative or methylene </w:t>
      </w:r>
      <w:proofErr w:type="gramStart"/>
      <w:r w:rsidRPr="00B17DBF">
        <w:rPr>
          <w:rFonts w:ascii="Arial" w:eastAsia="Times New Roman" w:hAnsi="Arial" w:cs="Arial"/>
        </w:rPr>
        <w:t>blue were</w:t>
      </w:r>
      <w:proofErr w:type="gramEnd"/>
      <w:r w:rsidRPr="00B17DBF">
        <w:rPr>
          <w:rFonts w:ascii="Arial" w:eastAsia="Times New Roman" w:hAnsi="Arial" w:cs="Arial"/>
        </w:rPr>
        <w:t xml:space="preserve"> excluded. </w:t>
      </w:r>
      <w:proofErr w:type="spellStart"/>
      <w:r w:rsidRPr="00B17DBF">
        <w:rPr>
          <w:rFonts w:ascii="Arial" w:hAnsi="Arial" w:cs="Arial"/>
          <w:bCs/>
        </w:rPr>
        <w:t>Bouin’s</w:t>
      </w:r>
      <w:proofErr w:type="spellEnd"/>
      <w:r w:rsidRPr="00B17DBF">
        <w:rPr>
          <w:rFonts w:ascii="Arial" w:hAnsi="Arial" w:cs="Arial"/>
          <w:bCs/>
        </w:rPr>
        <w:t xml:space="preserve"> fixative was used in the processing of Barrett’s esophagus biopsies at University of Pennsylvania prior to 2008 and is not compatible with the multiplexed immunofluorescence labeling and fluorescence imaging. Therefore, for the University of Pennsylvania patients, only biopsies taken from January 2008 onwards, which were fixed in </w:t>
      </w:r>
      <w:r w:rsidRPr="00B17DBF">
        <w:rPr>
          <w:rFonts w:ascii="Arial" w:hAnsi="Arial" w:cs="Arial"/>
          <w:bCs/>
        </w:rPr>
        <w:lastRenderedPageBreak/>
        <w:t xml:space="preserve">formalin, were selected for this study. The other three clinical institutions providing samples for this study used standard formalin fixation for Barrett’s esophagus biopsies. Methylene blue was used at the University of Pittsburgh from 2011 onwards in the preparation of Barrett’s esophagus biopsy paraffin blocks. Methylene blue interferes with Hoechst labeling of nuclei and thus biopsies taken 2011 onwards at University of Pittsburgh were not included in this study. The other three clinical institutions providing samples for this study did not use methylene blue in the preparation of Barrett’s esophagus biopsy blocks. </w:t>
      </w:r>
    </w:p>
    <w:p w:rsidR="00B24089" w:rsidRDefault="00B24089"/>
    <w:p w:rsidR="00A9408C" w:rsidRDefault="00A9408C" w:rsidP="00B24089">
      <w:pPr>
        <w:spacing w:line="480" w:lineRule="auto"/>
      </w:pPr>
    </w:p>
    <w:sectPr w:rsidR="00A9408C">
      <w:foot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6D5E" w:rsidRDefault="00D76D5E" w:rsidP="00E7324A">
      <w:pPr>
        <w:spacing w:after="0" w:line="240" w:lineRule="auto"/>
      </w:pPr>
      <w:r>
        <w:separator/>
      </w:r>
    </w:p>
  </w:endnote>
  <w:endnote w:type="continuationSeparator" w:id="0">
    <w:p w:rsidR="00D76D5E" w:rsidRDefault="00D76D5E" w:rsidP="00E732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2720448"/>
      <w:docPartObj>
        <w:docPartGallery w:val="Page Numbers (Bottom of Page)"/>
        <w:docPartUnique/>
      </w:docPartObj>
    </w:sdtPr>
    <w:sdtEndPr>
      <w:rPr>
        <w:rFonts w:ascii="Arial" w:hAnsi="Arial" w:cs="Arial"/>
        <w:noProof/>
      </w:rPr>
    </w:sdtEndPr>
    <w:sdtContent>
      <w:p w:rsidR="00E7324A" w:rsidRPr="00E7324A" w:rsidRDefault="00E7324A">
        <w:pPr>
          <w:pStyle w:val="Footer"/>
          <w:jc w:val="right"/>
          <w:rPr>
            <w:rFonts w:ascii="Arial" w:hAnsi="Arial" w:cs="Arial"/>
          </w:rPr>
        </w:pPr>
        <w:r w:rsidRPr="00E7324A">
          <w:rPr>
            <w:rFonts w:ascii="Arial" w:hAnsi="Arial" w:cs="Arial"/>
          </w:rPr>
          <w:fldChar w:fldCharType="begin"/>
        </w:r>
        <w:r w:rsidRPr="00E7324A">
          <w:rPr>
            <w:rFonts w:ascii="Arial" w:hAnsi="Arial" w:cs="Arial"/>
          </w:rPr>
          <w:instrText xml:space="preserve"> PAGE   \* MERGEFORMAT </w:instrText>
        </w:r>
        <w:r w:rsidRPr="00E7324A">
          <w:rPr>
            <w:rFonts w:ascii="Arial" w:hAnsi="Arial" w:cs="Arial"/>
          </w:rPr>
          <w:fldChar w:fldCharType="separate"/>
        </w:r>
        <w:r w:rsidR="005D242E">
          <w:rPr>
            <w:rFonts w:ascii="Arial" w:hAnsi="Arial" w:cs="Arial"/>
            <w:noProof/>
          </w:rPr>
          <w:t>1</w:t>
        </w:r>
        <w:r w:rsidRPr="00E7324A">
          <w:rPr>
            <w:rFonts w:ascii="Arial" w:hAnsi="Arial" w:cs="Arial"/>
            <w:noProof/>
          </w:rPr>
          <w:fldChar w:fldCharType="end"/>
        </w:r>
      </w:p>
    </w:sdtContent>
  </w:sdt>
  <w:p w:rsidR="00E7324A" w:rsidRDefault="00E7324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6D5E" w:rsidRDefault="00D76D5E" w:rsidP="00E7324A">
      <w:pPr>
        <w:spacing w:after="0" w:line="240" w:lineRule="auto"/>
      </w:pPr>
      <w:r>
        <w:separator/>
      </w:r>
    </w:p>
  </w:footnote>
  <w:footnote w:type="continuationSeparator" w:id="0">
    <w:p w:rsidR="00D76D5E" w:rsidRDefault="00D76D5E" w:rsidP="00E7324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ENInstantFormat&gt;"/>
    <w:docVar w:name="EN.Layout" w:val="&lt;ENLayout&gt;&lt;Style&gt;Cancer Epidemiology Biomark&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Rebecca Endnote library 2015.enl&lt;/item&gt;&lt;/Libraries&gt;&lt;/ENLibraries&gt;"/>
  </w:docVars>
  <w:rsids>
    <w:rsidRoot w:val="00B24089"/>
    <w:rsid w:val="00084DEB"/>
    <w:rsid w:val="00092B14"/>
    <w:rsid w:val="000C50A5"/>
    <w:rsid w:val="000E65D2"/>
    <w:rsid w:val="00110417"/>
    <w:rsid w:val="001801FC"/>
    <w:rsid w:val="0041661A"/>
    <w:rsid w:val="0046301A"/>
    <w:rsid w:val="004A5783"/>
    <w:rsid w:val="004A6AD5"/>
    <w:rsid w:val="004C0C52"/>
    <w:rsid w:val="00573B93"/>
    <w:rsid w:val="005A4178"/>
    <w:rsid w:val="005D242E"/>
    <w:rsid w:val="00643BF5"/>
    <w:rsid w:val="00664F62"/>
    <w:rsid w:val="006F64C7"/>
    <w:rsid w:val="00753EB0"/>
    <w:rsid w:val="0085640D"/>
    <w:rsid w:val="0088002B"/>
    <w:rsid w:val="00957E0A"/>
    <w:rsid w:val="009A750E"/>
    <w:rsid w:val="009C74BA"/>
    <w:rsid w:val="00A9408C"/>
    <w:rsid w:val="00B24089"/>
    <w:rsid w:val="00BA757C"/>
    <w:rsid w:val="00BF0DF3"/>
    <w:rsid w:val="00BF5A63"/>
    <w:rsid w:val="00C2127A"/>
    <w:rsid w:val="00C833AB"/>
    <w:rsid w:val="00CC15B5"/>
    <w:rsid w:val="00D760E6"/>
    <w:rsid w:val="00D76D5E"/>
    <w:rsid w:val="00E349C1"/>
    <w:rsid w:val="00E7324A"/>
    <w:rsid w:val="00F021AF"/>
    <w:rsid w:val="00F77C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408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ataField11pt-Single">
    <w:name w:val="Data Field 11pt-Single"/>
    <w:basedOn w:val="Normal"/>
    <w:link w:val="DataField11pt-SingleChar"/>
    <w:rsid w:val="00B24089"/>
    <w:pPr>
      <w:autoSpaceDE w:val="0"/>
      <w:autoSpaceDN w:val="0"/>
      <w:spacing w:after="0" w:line="240" w:lineRule="auto"/>
    </w:pPr>
    <w:rPr>
      <w:rFonts w:ascii="Arial" w:eastAsia="Times New Roman" w:hAnsi="Arial" w:cs="Arial"/>
      <w:szCs w:val="20"/>
    </w:rPr>
  </w:style>
  <w:style w:type="character" w:customStyle="1" w:styleId="DataField11pt-SingleChar">
    <w:name w:val="Data Field 11pt-Single Char"/>
    <w:link w:val="DataField11pt-Single"/>
    <w:rsid w:val="00B24089"/>
    <w:rPr>
      <w:rFonts w:ascii="Arial" w:eastAsia="Times New Roman" w:hAnsi="Arial" w:cs="Arial"/>
      <w:szCs w:val="20"/>
    </w:rPr>
  </w:style>
  <w:style w:type="paragraph" w:styleId="ListParagraph">
    <w:name w:val="List Paragraph"/>
    <w:basedOn w:val="Normal"/>
    <w:uiPriority w:val="34"/>
    <w:qFormat/>
    <w:rsid w:val="00B24089"/>
    <w:pPr>
      <w:spacing w:after="0" w:line="240" w:lineRule="auto"/>
      <w:ind w:left="720"/>
      <w:contextualSpacing/>
    </w:pPr>
    <w:rPr>
      <w:sz w:val="24"/>
      <w:szCs w:val="24"/>
    </w:rPr>
  </w:style>
  <w:style w:type="table" w:styleId="TableGrid">
    <w:name w:val="Table Grid"/>
    <w:basedOn w:val="TableNormal"/>
    <w:uiPriority w:val="59"/>
    <w:rsid w:val="00B240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stal-code">
    <w:name w:val="postal-code"/>
    <w:basedOn w:val="DefaultParagraphFont"/>
    <w:rsid w:val="00B24089"/>
  </w:style>
  <w:style w:type="paragraph" w:styleId="BalloonText">
    <w:name w:val="Balloon Text"/>
    <w:basedOn w:val="Normal"/>
    <w:link w:val="BalloonTextChar"/>
    <w:uiPriority w:val="99"/>
    <w:semiHidden/>
    <w:unhideWhenUsed/>
    <w:rsid w:val="00B240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4089"/>
    <w:rPr>
      <w:rFonts w:ascii="Tahoma" w:hAnsi="Tahoma" w:cs="Tahoma"/>
      <w:sz w:val="16"/>
      <w:szCs w:val="16"/>
    </w:rPr>
  </w:style>
  <w:style w:type="paragraph" w:styleId="NormalWeb">
    <w:name w:val="Normal (Web)"/>
    <w:basedOn w:val="Normal"/>
    <w:uiPriority w:val="99"/>
    <w:unhideWhenUsed/>
    <w:rsid w:val="00F77C07"/>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4A6AD5"/>
    <w:rPr>
      <w:sz w:val="16"/>
      <w:szCs w:val="16"/>
    </w:rPr>
  </w:style>
  <w:style w:type="paragraph" w:styleId="CommentText">
    <w:name w:val="annotation text"/>
    <w:basedOn w:val="Normal"/>
    <w:link w:val="CommentTextChar"/>
    <w:uiPriority w:val="99"/>
    <w:semiHidden/>
    <w:unhideWhenUsed/>
    <w:rsid w:val="004A6AD5"/>
    <w:pPr>
      <w:spacing w:line="240" w:lineRule="auto"/>
    </w:pPr>
    <w:rPr>
      <w:sz w:val="20"/>
      <w:szCs w:val="20"/>
    </w:rPr>
  </w:style>
  <w:style w:type="character" w:customStyle="1" w:styleId="CommentTextChar">
    <w:name w:val="Comment Text Char"/>
    <w:basedOn w:val="DefaultParagraphFont"/>
    <w:link w:val="CommentText"/>
    <w:uiPriority w:val="99"/>
    <w:semiHidden/>
    <w:rsid w:val="004A6AD5"/>
    <w:rPr>
      <w:sz w:val="20"/>
      <w:szCs w:val="20"/>
    </w:rPr>
  </w:style>
  <w:style w:type="paragraph" w:styleId="CommentSubject">
    <w:name w:val="annotation subject"/>
    <w:basedOn w:val="CommentText"/>
    <w:next w:val="CommentText"/>
    <w:link w:val="CommentSubjectChar"/>
    <w:uiPriority w:val="99"/>
    <w:semiHidden/>
    <w:unhideWhenUsed/>
    <w:rsid w:val="004A6AD5"/>
    <w:rPr>
      <w:b/>
      <w:bCs/>
    </w:rPr>
  </w:style>
  <w:style w:type="character" w:customStyle="1" w:styleId="CommentSubjectChar">
    <w:name w:val="Comment Subject Char"/>
    <w:basedOn w:val="CommentTextChar"/>
    <w:link w:val="CommentSubject"/>
    <w:uiPriority w:val="99"/>
    <w:semiHidden/>
    <w:rsid w:val="004A6AD5"/>
    <w:rPr>
      <w:b/>
      <w:bCs/>
      <w:sz w:val="20"/>
      <w:szCs w:val="20"/>
    </w:rPr>
  </w:style>
  <w:style w:type="paragraph" w:styleId="Header">
    <w:name w:val="header"/>
    <w:basedOn w:val="Normal"/>
    <w:link w:val="HeaderChar"/>
    <w:uiPriority w:val="99"/>
    <w:unhideWhenUsed/>
    <w:rsid w:val="00E7324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324A"/>
  </w:style>
  <w:style w:type="paragraph" w:styleId="Footer">
    <w:name w:val="footer"/>
    <w:basedOn w:val="Normal"/>
    <w:link w:val="FooterChar"/>
    <w:uiPriority w:val="99"/>
    <w:unhideWhenUsed/>
    <w:rsid w:val="00E7324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324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408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ataField11pt-Single">
    <w:name w:val="Data Field 11pt-Single"/>
    <w:basedOn w:val="Normal"/>
    <w:link w:val="DataField11pt-SingleChar"/>
    <w:rsid w:val="00B24089"/>
    <w:pPr>
      <w:autoSpaceDE w:val="0"/>
      <w:autoSpaceDN w:val="0"/>
      <w:spacing w:after="0" w:line="240" w:lineRule="auto"/>
    </w:pPr>
    <w:rPr>
      <w:rFonts w:ascii="Arial" w:eastAsia="Times New Roman" w:hAnsi="Arial" w:cs="Arial"/>
      <w:szCs w:val="20"/>
    </w:rPr>
  </w:style>
  <w:style w:type="character" w:customStyle="1" w:styleId="DataField11pt-SingleChar">
    <w:name w:val="Data Field 11pt-Single Char"/>
    <w:link w:val="DataField11pt-Single"/>
    <w:rsid w:val="00B24089"/>
    <w:rPr>
      <w:rFonts w:ascii="Arial" w:eastAsia="Times New Roman" w:hAnsi="Arial" w:cs="Arial"/>
      <w:szCs w:val="20"/>
    </w:rPr>
  </w:style>
  <w:style w:type="paragraph" w:styleId="ListParagraph">
    <w:name w:val="List Paragraph"/>
    <w:basedOn w:val="Normal"/>
    <w:uiPriority w:val="34"/>
    <w:qFormat/>
    <w:rsid w:val="00B24089"/>
    <w:pPr>
      <w:spacing w:after="0" w:line="240" w:lineRule="auto"/>
      <w:ind w:left="720"/>
      <w:contextualSpacing/>
    </w:pPr>
    <w:rPr>
      <w:sz w:val="24"/>
      <w:szCs w:val="24"/>
    </w:rPr>
  </w:style>
  <w:style w:type="table" w:styleId="TableGrid">
    <w:name w:val="Table Grid"/>
    <w:basedOn w:val="TableNormal"/>
    <w:uiPriority w:val="59"/>
    <w:rsid w:val="00B240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stal-code">
    <w:name w:val="postal-code"/>
    <w:basedOn w:val="DefaultParagraphFont"/>
    <w:rsid w:val="00B24089"/>
  </w:style>
  <w:style w:type="paragraph" w:styleId="BalloonText">
    <w:name w:val="Balloon Text"/>
    <w:basedOn w:val="Normal"/>
    <w:link w:val="BalloonTextChar"/>
    <w:uiPriority w:val="99"/>
    <w:semiHidden/>
    <w:unhideWhenUsed/>
    <w:rsid w:val="00B240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4089"/>
    <w:rPr>
      <w:rFonts w:ascii="Tahoma" w:hAnsi="Tahoma" w:cs="Tahoma"/>
      <w:sz w:val="16"/>
      <w:szCs w:val="16"/>
    </w:rPr>
  </w:style>
  <w:style w:type="paragraph" w:styleId="NormalWeb">
    <w:name w:val="Normal (Web)"/>
    <w:basedOn w:val="Normal"/>
    <w:uiPriority w:val="99"/>
    <w:unhideWhenUsed/>
    <w:rsid w:val="00F77C07"/>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4A6AD5"/>
    <w:rPr>
      <w:sz w:val="16"/>
      <w:szCs w:val="16"/>
    </w:rPr>
  </w:style>
  <w:style w:type="paragraph" w:styleId="CommentText">
    <w:name w:val="annotation text"/>
    <w:basedOn w:val="Normal"/>
    <w:link w:val="CommentTextChar"/>
    <w:uiPriority w:val="99"/>
    <w:semiHidden/>
    <w:unhideWhenUsed/>
    <w:rsid w:val="004A6AD5"/>
    <w:pPr>
      <w:spacing w:line="240" w:lineRule="auto"/>
    </w:pPr>
    <w:rPr>
      <w:sz w:val="20"/>
      <w:szCs w:val="20"/>
    </w:rPr>
  </w:style>
  <w:style w:type="character" w:customStyle="1" w:styleId="CommentTextChar">
    <w:name w:val="Comment Text Char"/>
    <w:basedOn w:val="DefaultParagraphFont"/>
    <w:link w:val="CommentText"/>
    <w:uiPriority w:val="99"/>
    <w:semiHidden/>
    <w:rsid w:val="004A6AD5"/>
    <w:rPr>
      <w:sz w:val="20"/>
      <w:szCs w:val="20"/>
    </w:rPr>
  </w:style>
  <w:style w:type="paragraph" w:styleId="CommentSubject">
    <w:name w:val="annotation subject"/>
    <w:basedOn w:val="CommentText"/>
    <w:next w:val="CommentText"/>
    <w:link w:val="CommentSubjectChar"/>
    <w:uiPriority w:val="99"/>
    <w:semiHidden/>
    <w:unhideWhenUsed/>
    <w:rsid w:val="004A6AD5"/>
    <w:rPr>
      <w:b/>
      <w:bCs/>
    </w:rPr>
  </w:style>
  <w:style w:type="character" w:customStyle="1" w:styleId="CommentSubjectChar">
    <w:name w:val="Comment Subject Char"/>
    <w:basedOn w:val="CommentTextChar"/>
    <w:link w:val="CommentSubject"/>
    <w:uiPriority w:val="99"/>
    <w:semiHidden/>
    <w:rsid w:val="004A6AD5"/>
    <w:rPr>
      <w:b/>
      <w:bCs/>
      <w:sz w:val="20"/>
      <w:szCs w:val="20"/>
    </w:rPr>
  </w:style>
  <w:style w:type="paragraph" w:styleId="Header">
    <w:name w:val="header"/>
    <w:basedOn w:val="Normal"/>
    <w:link w:val="HeaderChar"/>
    <w:uiPriority w:val="99"/>
    <w:unhideWhenUsed/>
    <w:rsid w:val="00E7324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324A"/>
  </w:style>
  <w:style w:type="paragraph" w:styleId="Footer">
    <w:name w:val="footer"/>
    <w:basedOn w:val="Normal"/>
    <w:link w:val="FooterChar"/>
    <w:uiPriority w:val="99"/>
    <w:unhideWhenUsed/>
    <w:rsid w:val="00E7324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32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3" Type="http://schemas.openxmlformats.org/officeDocument/2006/relationships/settings" Target="settings.xml"/><Relationship Id="rId7" Type="http://schemas.openxmlformats.org/officeDocument/2006/relationships/image" Target="media/image1.tif"/><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9</Pages>
  <Words>1577</Words>
  <Characters>8991</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10547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Rebecca Critchley-Thorne</dc:creator>
  <cp:lastModifiedBy>Rebecca Critchley-Thorne</cp:lastModifiedBy>
  <cp:revision>3</cp:revision>
  <dcterms:created xsi:type="dcterms:W3CDTF">2016-02-05T19:55:00Z</dcterms:created>
  <dcterms:modified xsi:type="dcterms:W3CDTF">2016-02-05T20:04:00Z</dcterms:modified>
</cp:coreProperties>
</file>