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B4" w:rsidRPr="00357F78" w:rsidRDefault="00B74EB4" w:rsidP="00B74EB4">
      <w:pPr>
        <w:spacing w:line="480" w:lineRule="auto"/>
        <w:ind w:left="-630"/>
        <w:rPr>
          <w:rFonts w:ascii="Arial" w:hAnsi="Arial" w:cs="Arial"/>
          <w:szCs w:val="24"/>
        </w:rPr>
      </w:pPr>
      <w:proofErr w:type="gramStart"/>
      <w:r w:rsidRPr="00357F78">
        <w:rPr>
          <w:rFonts w:ascii="Arial" w:eastAsia="Arial" w:hAnsi="Arial" w:cs="Arial"/>
          <w:b/>
          <w:szCs w:val="24"/>
        </w:rPr>
        <w:t>Supplementary Table S1.</w:t>
      </w:r>
      <w:proofErr w:type="gramEnd"/>
      <w:r w:rsidRPr="00357F78">
        <w:rPr>
          <w:rFonts w:ascii="Arial" w:eastAsia="Arial" w:hAnsi="Arial" w:cs="Arial"/>
          <w:b/>
          <w:szCs w:val="24"/>
        </w:rPr>
        <w:t xml:space="preserve"> Characteristics of Nurses’ Health Study, Nurses’ Health Study II and Health Professionals Follow-Up Study</w:t>
      </w:r>
    </w:p>
    <w:p w:rsidR="00B74EB4" w:rsidRPr="00357F78" w:rsidRDefault="00B74EB4" w:rsidP="00B74EB4">
      <w:pPr>
        <w:spacing w:line="480" w:lineRule="auto"/>
        <w:ind w:left="180"/>
        <w:rPr>
          <w:rFonts w:ascii="Arial" w:hAnsi="Arial" w:cs="Arial"/>
          <w:szCs w:val="24"/>
        </w:rPr>
      </w:pPr>
    </w:p>
    <w:tbl>
      <w:tblPr>
        <w:tblW w:w="10693" w:type="dxa"/>
        <w:jc w:val="center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2340"/>
        <w:gridCol w:w="2340"/>
        <w:gridCol w:w="2536"/>
      </w:tblGrid>
      <w:tr w:rsidR="00B74EB4" w:rsidRPr="00811AA9" w:rsidTr="00A14CA0">
        <w:trPr>
          <w:jc w:val="center"/>
        </w:trPr>
        <w:tc>
          <w:tcPr>
            <w:tcW w:w="3477" w:type="dxa"/>
            <w:tcBorders>
              <w:top w:val="single" w:sz="4" w:space="0" w:color="000000"/>
              <w:bottom w:val="single" w:sz="4" w:space="0" w:color="000000"/>
            </w:tcBorders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b/>
                <w:szCs w:val="24"/>
              </w:rPr>
              <w:t>Nurses’ Health Study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b/>
                <w:szCs w:val="24"/>
              </w:rPr>
              <w:t>Nurses’ Health Study II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b/>
                <w:szCs w:val="24"/>
              </w:rPr>
              <w:t>Health Professionals Follow-Up Study</w:t>
            </w:r>
          </w:p>
        </w:tc>
      </w:tr>
      <w:tr w:rsidR="00B74EB4" w:rsidRPr="00811AA9" w:rsidTr="00A14CA0">
        <w:trPr>
          <w:jc w:val="center"/>
        </w:trPr>
        <w:tc>
          <w:tcPr>
            <w:tcW w:w="3477" w:type="dxa"/>
            <w:tcBorders>
              <w:top w:val="single" w:sz="4" w:space="0" w:color="000000"/>
            </w:tcBorders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Abbreviations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bottom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NHS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bottom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NHS II</w:t>
            </w:r>
          </w:p>
        </w:tc>
        <w:tc>
          <w:tcPr>
            <w:tcW w:w="2536" w:type="dxa"/>
            <w:tcBorders>
              <w:top w:val="single" w:sz="4" w:space="0" w:color="000000"/>
            </w:tcBorders>
            <w:vAlign w:val="bottom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HPFS</w:t>
            </w:r>
          </w:p>
        </w:tc>
      </w:tr>
      <w:tr w:rsidR="00B74EB4" w:rsidRPr="00811AA9" w:rsidTr="00A14CA0">
        <w:trPr>
          <w:jc w:val="center"/>
        </w:trPr>
        <w:tc>
          <w:tcPr>
            <w:tcW w:w="3477" w:type="dxa"/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Gender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Female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Female</w:t>
            </w:r>
          </w:p>
        </w:tc>
        <w:tc>
          <w:tcPr>
            <w:tcW w:w="2536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Male</w:t>
            </w:r>
          </w:p>
        </w:tc>
      </w:tr>
      <w:tr w:rsidR="00B74EB4" w:rsidRPr="00811AA9" w:rsidTr="00A14CA0">
        <w:trPr>
          <w:trHeight w:val="40"/>
          <w:jc w:val="center"/>
        </w:trPr>
        <w:tc>
          <w:tcPr>
            <w:tcW w:w="3477" w:type="dxa"/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Initiation year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1976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1989</w:t>
            </w:r>
          </w:p>
        </w:tc>
        <w:tc>
          <w:tcPr>
            <w:tcW w:w="2536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1986</w:t>
            </w:r>
          </w:p>
        </w:tc>
      </w:tr>
      <w:tr w:rsidR="00B74EB4" w:rsidRPr="00811AA9" w:rsidTr="00A14CA0">
        <w:trPr>
          <w:trHeight w:val="40"/>
          <w:jc w:val="center"/>
        </w:trPr>
        <w:tc>
          <w:tcPr>
            <w:tcW w:w="3477" w:type="dxa"/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Age at inception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30-55y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25-42y</w:t>
            </w:r>
          </w:p>
        </w:tc>
        <w:tc>
          <w:tcPr>
            <w:tcW w:w="2536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40-75y</w:t>
            </w:r>
          </w:p>
        </w:tc>
      </w:tr>
      <w:tr w:rsidR="00B74EB4" w:rsidRPr="00811AA9" w:rsidTr="00A14CA0">
        <w:trPr>
          <w:trHeight w:val="40"/>
          <w:jc w:val="center"/>
        </w:trPr>
        <w:tc>
          <w:tcPr>
            <w:tcW w:w="3477" w:type="dxa"/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Follow-up intervals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2 years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2 years</w:t>
            </w:r>
          </w:p>
        </w:tc>
        <w:tc>
          <w:tcPr>
            <w:tcW w:w="2536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2 years</w:t>
            </w:r>
          </w:p>
        </w:tc>
      </w:tr>
      <w:tr w:rsidR="00B74EB4" w:rsidRPr="00811AA9" w:rsidTr="00A14CA0">
        <w:trPr>
          <w:trHeight w:val="40"/>
          <w:jc w:val="center"/>
        </w:trPr>
        <w:tc>
          <w:tcPr>
            <w:tcW w:w="3477" w:type="dxa"/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Questionnaire time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June of the even year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June of the even year</w:t>
            </w:r>
          </w:p>
        </w:tc>
        <w:tc>
          <w:tcPr>
            <w:tcW w:w="2536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January of the odd year</w:t>
            </w:r>
          </w:p>
        </w:tc>
      </w:tr>
      <w:tr w:rsidR="00B74EB4" w:rsidRPr="00811AA9" w:rsidTr="00A14CA0">
        <w:trPr>
          <w:trHeight w:val="40"/>
          <w:jc w:val="center"/>
        </w:trPr>
        <w:tc>
          <w:tcPr>
            <w:tcW w:w="3477" w:type="dxa"/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Participants at inception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121,700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116,671</w:t>
            </w:r>
          </w:p>
        </w:tc>
        <w:tc>
          <w:tcPr>
            <w:tcW w:w="2536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51,529</w:t>
            </w:r>
          </w:p>
        </w:tc>
      </w:tr>
      <w:tr w:rsidR="00B74EB4" w:rsidRPr="00811AA9" w:rsidTr="00A14CA0">
        <w:trPr>
          <w:jc w:val="center"/>
        </w:trPr>
        <w:tc>
          <w:tcPr>
            <w:tcW w:w="3477" w:type="dxa"/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Participants excluded at baseline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48,155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28,291</w:t>
            </w:r>
          </w:p>
        </w:tc>
        <w:tc>
          <w:tcPr>
            <w:tcW w:w="2536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3,202</w:t>
            </w:r>
          </w:p>
        </w:tc>
      </w:tr>
      <w:tr w:rsidR="00B74EB4" w:rsidRPr="00811AA9" w:rsidTr="00A14CA0">
        <w:trPr>
          <w:trHeight w:val="260"/>
          <w:jc w:val="center"/>
        </w:trPr>
        <w:tc>
          <w:tcPr>
            <w:tcW w:w="3477" w:type="dxa"/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 xml:space="preserve">Participants in this analysis 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73,545</w:t>
            </w:r>
          </w:p>
        </w:tc>
        <w:tc>
          <w:tcPr>
            <w:tcW w:w="2340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88,380</w:t>
            </w:r>
          </w:p>
        </w:tc>
        <w:tc>
          <w:tcPr>
            <w:tcW w:w="2536" w:type="dxa"/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48,327</w:t>
            </w:r>
          </w:p>
        </w:tc>
      </w:tr>
      <w:tr w:rsidR="00B74EB4" w:rsidRPr="00811AA9" w:rsidTr="00A14CA0">
        <w:trPr>
          <w:trHeight w:val="260"/>
          <w:jc w:val="center"/>
        </w:trPr>
        <w:tc>
          <w:tcPr>
            <w:tcW w:w="3477" w:type="dxa"/>
            <w:tcBorders>
              <w:bottom w:val="nil"/>
            </w:tcBorders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Mean follow-up time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19 years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17 years</w:t>
            </w:r>
          </w:p>
        </w:tc>
        <w:tc>
          <w:tcPr>
            <w:tcW w:w="2536" w:type="dxa"/>
            <w:tcBorders>
              <w:bottom w:val="nil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15.4 years</w:t>
            </w:r>
          </w:p>
        </w:tc>
      </w:tr>
      <w:tr w:rsidR="00B74EB4" w:rsidRPr="00811AA9" w:rsidTr="00A14CA0">
        <w:trPr>
          <w:trHeight w:val="260"/>
          <w:jc w:val="center"/>
        </w:trPr>
        <w:tc>
          <w:tcPr>
            <w:tcW w:w="3477" w:type="dxa"/>
            <w:tcBorders>
              <w:top w:val="nil"/>
              <w:bottom w:val="single" w:sz="4" w:space="0" w:color="auto"/>
            </w:tcBorders>
          </w:tcPr>
          <w:p w:rsidR="00B74EB4" w:rsidRPr="00357F78" w:rsidRDefault="00B74EB4" w:rsidP="00A14CA0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Person-years in this analysis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1,577,388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1,657,224</w:t>
            </w: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vAlign w:val="center"/>
          </w:tcPr>
          <w:p w:rsidR="00B74EB4" w:rsidRPr="00357F78" w:rsidRDefault="00B74EB4" w:rsidP="00A14CA0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57F78">
              <w:rPr>
                <w:rFonts w:ascii="Arial" w:eastAsia="Arial" w:hAnsi="Arial" w:cs="Arial"/>
                <w:szCs w:val="24"/>
              </w:rPr>
              <w:t>854,858</w:t>
            </w:r>
          </w:p>
        </w:tc>
      </w:tr>
    </w:tbl>
    <w:p w:rsidR="00B74EB4" w:rsidRPr="00357F78" w:rsidRDefault="00B74EB4" w:rsidP="00B74EB4">
      <w:pPr>
        <w:spacing w:line="480" w:lineRule="auto"/>
        <w:rPr>
          <w:rFonts w:ascii="Arial" w:eastAsia="Arial" w:hAnsi="Arial" w:cs="Arial"/>
          <w:b/>
          <w:szCs w:val="24"/>
        </w:rPr>
      </w:pPr>
      <w:bookmarkStart w:id="0" w:name="_GoBack"/>
      <w:bookmarkEnd w:id="0"/>
    </w:p>
    <w:sectPr w:rsidR="00B74EB4" w:rsidRPr="00357F78" w:rsidSect="00205B76">
      <w:pgSz w:w="12240" w:h="15840"/>
      <w:pgMar w:top="1440" w:right="1368" w:bottom="1440" w:left="13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B4"/>
    <w:rsid w:val="00120334"/>
    <w:rsid w:val="00205B76"/>
    <w:rsid w:val="00331E05"/>
    <w:rsid w:val="0045376B"/>
    <w:rsid w:val="00704A43"/>
    <w:rsid w:val="00A14CA0"/>
    <w:rsid w:val="00B4396B"/>
    <w:rsid w:val="00B74EB4"/>
    <w:rsid w:val="00E1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EB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EB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1B2C-B2CA-4DCD-B8BC-749879F0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Coyne, Emily</dc:creator>
  <cp:lastModifiedBy>Peterson Coyne, Emily</cp:lastModifiedBy>
  <cp:revision>5</cp:revision>
  <dcterms:created xsi:type="dcterms:W3CDTF">2016-07-13T17:43:00Z</dcterms:created>
  <dcterms:modified xsi:type="dcterms:W3CDTF">2016-07-22T19:10:00Z</dcterms:modified>
</cp:coreProperties>
</file>