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B8" w:rsidRDefault="007F75B8" w:rsidP="00E83D50">
      <w:pPr>
        <w:spacing w:line="480" w:lineRule="auto"/>
        <w:jc w:val="center"/>
        <w:rPr>
          <w:b/>
        </w:rPr>
      </w:pPr>
      <w:r>
        <w:rPr>
          <w:b/>
        </w:rPr>
        <w:t>Supplementa</w:t>
      </w:r>
      <w:r w:rsidR="004965ED">
        <w:rPr>
          <w:b/>
        </w:rPr>
        <w:t>ry</w:t>
      </w:r>
      <w:r>
        <w:rPr>
          <w:b/>
        </w:rPr>
        <w:t xml:space="preserve"> Material </w:t>
      </w:r>
    </w:p>
    <w:p w:rsidR="003116C4" w:rsidRDefault="003116C4" w:rsidP="00E83D50">
      <w:pPr>
        <w:spacing w:line="480" w:lineRule="auto"/>
        <w:jc w:val="center"/>
        <w:rPr>
          <w:b/>
        </w:rPr>
      </w:pPr>
      <w:r w:rsidRPr="003116C4">
        <w:rPr>
          <w:b/>
        </w:rPr>
        <w:t>Effects of Pre-analytic Variables on Circulating MicroRNAs</w:t>
      </w:r>
      <w:r w:rsidR="00E83D50">
        <w:rPr>
          <w:b/>
        </w:rPr>
        <w:t xml:space="preserve"> in Whole Blood</w:t>
      </w:r>
    </w:p>
    <w:p w:rsidR="003116C4" w:rsidRDefault="003116C4" w:rsidP="003116C4">
      <w:pPr>
        <w:spacing w:line="480" w:lineRule="auto"/>
        <w:jc w:val="center"/>
        <w:rPr>
          <w:b/>
        </w:rPr>
      </w:pPr>
    </w:p>
    <w:p w:rsidR="00E83D50" w:rsidRPr="00E83D50" w:rsidRDefault="00E83D50" w:rsidP="00E83D50">
      <w:pPr>
        <w:spacing w:line="480" w:lineRule="auto"/>
        <w:jc w:val="center"/>
      </w:pPr>
      <w:r w:rsidRPr="00E83D50">
        <w:t>Hua Zhao</w:t>
      </w:r>
      <w:r w:rsidRPr="00E83D50">
        <w:rPr>
          <w:vertAlign w:val="superscript"/>
        </w:rPr>
        <w:t>1*</w:t>
      </w:r>
      <w:r w:rsidRPr="00E83D50">
        <w:t>, Jie Shen</w:t>
      </w:r>
      <w:r w:rsidRPr="00E83D50">
        <w:rPr>
          <w:vertAlign w:val="superscript"/>
        </w:rPr>
        <w:t>1</w:t>
      </w:r>
      <w:r w:rsidRPr="00E83D50">
        <w:t>, Qiang Hu</w:t>
      </w:r>
      <w:r w:rsidRPr="00E83D50">
        <w:rPr>
          <w:vertAlign w:val="superscript"/>
        </w:rPr>
        <w:t>2,4</w:t>
      </w:r>
      <w:r w:rsidRPr="00E83D50">
        <w:t>,</w:t>
      </w:r>
      <w:r w:rsidRPr="00E83D50">
        <w:rPr>
          <w:vertAlign w:val="superscript"/>
        </w:rPr>
        <w:t xml:space="preserve"> </w:t>
      </w:r>
      <w:r w:rsidRPr="00E83D50">
        <w:t>Warren Davis</w:t>
      </w:r>
      <w:r w:rsidRPr="00E83D50">
        <w:rPr>
          <w:vertAlign w:val="superscript"/>
        </w:rPr>
        <w:t>3</w:t>
      </w:r>
      <w:r w:rsidRPr="00E83D50">
        <w:t>, Leonardo Medico</w:t>
      </w:r>
      <w:r w:rsidRPr="00E83D50">
        <w:rPr>
          <w:vertAlign w:val="superscript"/>
        </w:rPr>
        <w:t>3</w:t>
      </w:r>
      <w:r w:rsidRPr="00E83D50">
        <w:t>,</w:t>
      </w:r>
      <w:r w:rsidRPr="00E83D50">
        <w:rPr>
          <w:vertAlign w:val="superscript"/>
        </w:rPr>
        <w:t xml:space="preserve"> </w:t>
      </w:r>
      <w:r w:rsidRPr="00E83D50">
        <w:t>Dan Wang</w:t>
      </w:r>
      <w:r w:rsidRPr="00E83D50">
        <w:rPr>
          <w:vertAlign w:val="superscript"/>
        </w:rPr>
        <w:t>2</w:t>
      </w:r>
      <w:r w:rsidRPr="00E83D50">
        <w:t>, Li Yan</w:t>
      </w:r>
      <w:r w:rsidRPr="00E83D50">
        <w:rPr>
          <w:vertAlign w:val="superscript"/>
        </w:rPr>
        <w:t>2</w:t>
      </w:r>
      <w:r w:rsidRPr="00E83D50">
        <w:t>, Yuqing Guo</w:t>
      </w:r>
      <w:r w:rsidRPr="00E83D50">
        <w:rPr>
          <w:vertAlign w:val="superscript"/>
        </w:rPr>
        <w:t>3</w:t>
      </w:r>
      <w:r w:rsidRPr="00E83D50">
        <w:t>, Biao Liu</w:t>
      </w:r>
      <w:r w:rsidRPr="00E83D50">
        <w:rPr>
          <w:vertAlign w:val="superscript"/>
        </w:rPr>
        <w:t>2</w:t>
      </w:r>
      <w:r w:rsidRPr="00E83D50">
        <w:t>, Maochun Qin</w:t>
      </w:r>
      <w:r w:rsidRPr="00E83D50">
        <w:rPr>
          <w:vertAlign w:val="superscript"/>
        </w:rPr>
        <w:t>2</w:t>
      </w:r>
      <w:r w:rsidRPr="00E83D50">
        <w:t>, Mary Nesline</w:t>
      </w:r>
      <w:r w:rsidRPr="00E83D50">
        <w:rPr>
          <w:vertAlign w:val="superscript"/>
        </w:rPr>
        <w:t>3</w:t>
      </w:r>
      <w:r w:rsidRPr="00E83D50">
        <w:t>, Qianqian Zhu</w:t>
      </w:r>
      <w:r w:rsidRPr="00E83D50">
        <w:rPr>
          <w:vertAlign w:val="superscript"/>
        </w:rPr>
        <w:t>2</w:t>
      </w:r>
      <w:r w:rsidRPr="00E83D50">
        <w:t>, Song Yao</w:t>
      </w:r>
      <w:r w:rsidRPr="00E83D50">
        <w:rPr>
          <w:vertAlign w:val="superscript"/>
        </w:rPr>
        <w:t>3</w:t>
      </w:r>
      <w:r w:rsidRPr="00E83D50">
        <w:t xml:space="preserve">, </w:t>
      </w:r>
    </w:p>
    <w:p w:rsidR="00E83D50" w:rsidRDefault="00E83D50" w:rsidP="00E83D50">
      <w:pPr>
        <w:spacing w:line="480" w:lineRule="auto"/>
        <w:jc w:val="center"/>
        <w:rPr>
          <w:vertAlign w:val="superscript"/>
        </w:rPr>
      </w:pPr>
      <w:r w:rsidRPr="00E83D50">
        <w:t>Christine B. Ambrosone</w:t>
      </w:r>
      <w:r w:rsidRPr="00E83D50">
        <w:rPr>
          <w:vertAlign w:val="superscript"/>
        </w:rPr>
        <w:t>3*</w:t>
      </w:r>
      <w:r w:rsidRPr="00E83D50">
        <w:t>, Song Liu</w:t>
      </w:r>
      <w:r w:rsidRPr="00E83D50">
        <w:rPr>
          <w:vertAlign w:val="superscript"/>
        </w:rPr>
        <w:t>2*</w:t>
      </w:r>
    </w:p>
    <w:p w:rsidR="00A46CD7" w:rsidRPr="00E83D50" w:rsidRDefault="00A46CD7" w:rsidP="00E83D50">
      <w:pPr>
        <w:spacing w:line="480" w:lineRule="auto"/>
        <w:jc w:val="center"/>
      </w:pPr>
    </w:p>
    <w:p w:rsidR="00E83D50" w:rsidRPr="00DA476E" w:rsidRDefault="00E83D50" w:rsidP="00E83D50">
      <w:pPr>
        <w:spacing w:line="480" w:lineRule="auto"/>
        <w:jc w:val="both"/>
        <w:rPr>
          <w:rFonts w:eastAsia="Calibri"/>
        </w:rPr>
      </w:pPr>
      <w:r w:rsidRPr="00E83D50">
        <w:rPr>
          <w:rFonts w:eastAsia="Calibri"/>
          <w:vertAlign w:val="superscript"/>
        </w:rPr>
        <w:t>1</w:t>
      </w:r>
      <w:r w:rsidRPr="00E83D50">
        <w:rPr>
          <w:rFonts w:eastAsia="Calibri"/>
        </w:rPr>
        <w:t>Department of Epidemiology, the University of Texas MD Anderson Cancer Center, Houston, TX 77030, USA</w:t>
      </w:r>
      <w:r w:rsidRPr="00A46CD7">
        <w:rPr>
          <w:rFonts w:eastAsia="Calibri"/>
        </w:rPr>
        <w:t xml:space="preserve"> </w:t>
      </w:r>
      <w:r w:rsidR="00A46CD7" w:rsidRPr="00A46CD7">
        <w:rPr>
          <w:rFonts w:eastAsia="Calibri"/>
        </w:rPr>
        <w:t>;</w:t>
      </w:r>
      <w:r w:rsidR="00A46CD7">
        <w:rPr>
          <w:rFonts w:eastAsia="Calibri"/>
          <w:vertAlign w:val="superscript"/>
        </w:rPr>
        <w:t xml:space="preserve"> </w:t>
      </w:r>
      <w:r w:rsidRPr="00E83D50">
        <w:rPr>
          <w:rFonts w:eastAsia="Calibri"/>
          <w:vertAlign w:val="superscript"/>
        </w:rPr>
        <w:t>2</w:t>
      </w:r>
      <w:r w:rsidRPr="00E83D50">
        <w:rPr>
          <w:rFonts w:eastAsia="Calibri"/>
        </w:rPr>
        <w:t xml:space="preserve">Department of Biostatistics &amp; Bioinformatics, </w:t>
      </w:r>
      <w:r w:rsidRPr="00E83D50">
        <w:rPr>
          <w:rFonts w:eastAsia="Calibri"/>
          <w:vertAlign w:val="superscript"/>
        </w:rPr>
        <w:t>3</w:t>
      </w:r>
      <w:r w:rsidRPr="00E83D50">
        <w:rPr>
          <w:rFonts w:eastAsia="Calibri"/>
        </w:rPr>
        <w:t>Department of Cancer Prevention and Control, Roswell Park Cancer Institute, Buffalo, NY 14263, USA</w:t>
      </w:r>
      <w:r w:rsidR="00A46CD7">
        <w:rPr>
          <w:rFonts w:eastAsia="Calibri"/>
        </w:rPr>
        <w:t xml:space="preserve">; </w:t>
      </w:r>
      <w:r w:rsidRPr="00E83D50">
        <w:rPr>
          <w:vertAlign w:val="superscript"/>
        </w:rPr>
        <w:t>4</w:t>
      </w:r>
      <w:r w:rsidRPr="00E83D50">
        <w:t>School of Basic Medicine, Peking Union Medical College, Beijing 100005, P.R.China</w:t>
      </w:r>
    </w:p>
    <w:p w:rsidR="00DA476E" w:rsidRPr="00DA476E" w:rsidRDefault="00DA476E" w:rsidP="00DA476E">
      <w:pPr>
        <w:spacing w:line="480" w:lineRule="auto"/>
        <w:rPr>
          <w:rFonts w:eastAsia="Calibri"/>
          <w:vertAlign w:val="superscript"/>
        </w:rPr>
      </w:pPr>
    </w:p>
    <w:p w:rsidR="00D510A3" w:rsidRDefault="00DA476E" w:rsidP="00DA476E">
      <w:pPr>
        <w:spacing w:line="480" w:lineRule="auto"/>
        <w:rPr>
          <w:rFonts w:eastAsia="Calibri"/>
        </w:rPr>
      </w:pPr>
      <w:r w:rsidRPr="00DA476E">
        <w:rPr>
          <w:rFonts w:eastAsia="Calibri"/>
          <w:vertAlign w:val="superscript"/>
        </w:rPr>
        <w:t>*</w:t>
      </w:r>
      <w:r w:rsidRPr="00DA476E">
        <w:rPr>
          <w:rFonts w:eastAsia="Calibri"/>
          <w:b/>
        </w:rPr>
        <w:t>Request for reprints:</w:t>
      </w:r>
      <w:r w:rsidRPr="00DA476E">
        <w:rPr>
          <w:rFonts w:eastAsia="Calibri"/>
        </w:rPr>
        <w:t xml:space="preserve"> Hua Zhao, Department of Epidemiology, the University of Texas MD Anderson Cancer Center, 1155 Pressler Street, Houston, TX 77030</w:t>
      </w:r>
      <w:r w:rsidRPr="00DA476E">
        <w:rPr>
          <w:rFonts w:eastAsia="Calibri"/>
          <w:vertAlign w:val="superscript"/>
        </w:rPr>
        <w:t xml:space="preserve"> </w:t>
      </w:r>
      <w:r w:rsidRPr="00DA476E">
        <w:rPr>
          <w:rFonts w:eastAsia="Calibri"/>
        </w:rPr>
        <w:t xml:space="preserve">Phone: 713-745-7597; Fax: 713-794-1964; E-mail: </w:t>
      </w:r>
      <w:hyperlink r:id="rId8" w:history="1">
        <w:r w:rsidRPr="00DA476E">
          <w:rPr>
            <w:rFonts w:eastAsia="Calibri"/>
            <w:color w:val="0000FF"/>
            <w:u w:val="single"/>
          </w:rPr>
          <w:t>hzhao2@mdanderson.org</w:t>
        </w:r>
      </w:hyperlink>
      <w:r w:rsidRPr="00DA476E">
        <w:rPr>
          <w:rFonts w:eastAsia="Calibri"/>
        </w:rPr>
        <w:t xml:space="preserve">; </w:t>
      </w:r>
    </w:p>
    <w:p w:rsidR="00DA476E" w:rsidRDefault="00DA476E" w:rsidP="00DA476E">
      <w:pPr>
        <w:spacing w:line="480" w:lineRule="auto"/>
        <w:rPr>
          <w:rFonts w:eastAsia="Calibri"/>
        </w:rPr>
      </w:pPr>
      <w:r w:rsidRPr="00DA476E">
        <w:rPr>
          <w:rFonts w:eastAsia="Calibri"/>
        </w:rPr>
        <w:t xml:space="preserve">Song Liu, Department of Biostatistics &amp; Bioinformatics, Roswell Park Cancer Institute, Elm and Carlton Streets, Buffalo, NY 14263. Phone: 716-881-7505; Fax: 716-849-6654; E-mail: </w:t>
      </w:r>
      <w:hyperlink r:id="rId9" w:history="1">
        <w:r w:rsidRPr="00DA476E">
          <w:rPr>
            <w:rFonts w:eastAsia="Calibri"/>
            <w:color w:val="0000FF"/>
            <w:u w:val="single"/>
          </w:rPr>
          <w:t>song.liu@roswellpark.org</w:t>
        </w:r>
      </w:hyperlink>
      <w:r w:rsidRPr="00DA476E">
        <w:rPr>
          <w:rFonts w:eastAsia="Calibri"/>
        </w:rPr>
        <w:t>.</w:t>
      </w:r>
    </w:p>
    <w:p w:rsidR="00D510A3" w:rsidRDefault="00D510A3" w:rsidP="00DA476E">
      <w:pPr>
        <w:spacing w:line="480" w:lineRule="auto"/>
        <w:rPr>
          <w:rFonts w:eastAsia="Calibri"/>
        </w:rPr>
      </w:pPr>
      <w:r>
        <w:rPr>
          <w:rFonts w:eastAsia="Calibri"/>
        </w:rPr>
        <w:t xml:space="preserve">Christine Ambrosone, </w:t>
      </w:r>
      <w:r w:rsidRPr="00D510A3">
        <w:rPr>
          <w:rFonts w:eastAsia="Calibri"/>
        </w:rPr>
        <w:t xml:space="preserve">Department of </w:t>
      </w:r>
      <w:r w:rsidR="00FB2DF9">
        <w:rPr>
          <w:rFonts w:eastAsia="Calibri"/>
        </w:rPr>
        <w:t>Cancer Prevention and Control</w:t>
      </w:r>
      <w:r w:rsidRPr="00D510A3">
        <w:rPr>
          <w:rFonts w:eastAsia="Calibri"/>
        </w:rPr>
        <w:t>, Roswell Park Cancer Institute, Elm and Carlton Streets, Buffalo, NY 14263. Phone: 716-8</w:t>
      </w:r>
      <w:r w:rsidR="00FB2DF9">
        <w:rPr>
          <w:rFonts w:eastAsia="Calibri"/>
        </w:rPr>
        <w:t>45</w:t>
      </w:r>
      <w:r w:rsidRPr="00D510A3">
        <w:rPr>
          <w:rFonts w:eastAsia="Calibri"/>
        </w:rPr>
        <w:t>-</w:t>
      </w:r>
      <w:r w:rsidR="00FB2DF9">
        <w:rPr>
          <w:rFonts w:eastAsia="Calibri"/>
        </w:rPr>
        <w:t>3082</w:t>
      </w:r>
      <w:r w:rsidRPr="00D510A3">
        <w:rPr>
          <w:rFonts w:eastAsia="Calibri"/>
        </w:rPr>
        <w:t>; Fax: 716-</w:t>
      </w:r>
      <w:r w:rsidR="00FB2DF9">
        <w:rPr>
          <w:rFonts w:eastAsia="Calibri"/>
        </w:rPr>
        <w:t>845</w:t>
      </w:r>
      <w:r w:rsidRPr="00D510A3">
        <w:rPr>
          <w:rFonts w:eastAsia="Calibri"/>
        </w:rPr>
        <w:t>-</w:t>
      </w:r>
      <w:r w:rsidR="00FB2DF9">
        <w:rPr>
          <w:rFonts w:eastAsia="Calibri"/>
        </w:rPr>
        <w:t>8125</w:t>
      </w:r>
      <w:r w:rsidRPr="00D510A3">
        <w:rPr>
          <w:rFonts w:eastAsia="Calibri"/>
        </w:rPr>
        <w:t xml:space="preserve">; E-mail: </w:t>
      </w:r>
      <w:hyperlink r:id="rId10" w:history="1">
        <w:r w:rsidR="00FB2DF9" w:rsidRPr="00F82D83">
          <w:rPr>
            <w:rStyle w:val="Hyperlink"/>
            <w:rFonts w:eastAsia="Calibri"/>
          </w:rPr>
          <w:t>Christine.ambrosone@roswellpark.org</w:t>
        </w:r>
      </w:hyperlink>
      <w:r w:rsidRPr="00D510A3">
        <w:rPr>
          <w:rFonts w:eastAsia="Calibri"/>
        </w:rPr>
        <w:t>.</w:t>
      </w:r>
    </w:p>
    <w:p w:rsidR="00BB129F" w:rsidRDefault="00BB129F" w:rsidP="00DA476E">
      <w:pPr>
        <w:spacing w:line="480" w:lineRule="auto"/>
        <w:rPr>
          <w:rFonts w:eastAsia="Calibri"/>
        </w:rPr>
      </w:pPr>
    </w:p>
    <w:p w:rsidR="00FB2DF9" w:rsidRDefault="00BB129F" w:rsidP="00DA476E">
      <w:pPr>
        <w:spacing w:line="480" w:lineRule="auto"/>
        <w:rPr>
          <w:rFonts w:eastAsia="Calibri"/>
        </w:rPr>
      </w:pPr>
      <w:r w:rsidRPr="00BB129F">
        <w:rPr>
          <w:rFonts w:eastAsia="Calibri"/>
          <w:b/>
        </w:rPr>
        <w:t>Running title:</w:t>
      </w:r>
      <w:r>
        <w:rPr>
          <w:rFonts w:eastAsia="Calibri"/>
        </w:rPr>
        <w:t xml:space="preserve"> </w:t>
      </w:r>
      <w:r w:rsidRPr="00BB129F">
        <w:rPr>
          <w:rFonts w:eastAsia="Calibri"/>
        </w:rPr>
        <w:t>quality of circulating microRNAs in whole bloods</w:t>
      </w:r>
    </w:p>
    <w:p w:rsidR="009D6A5A" w:rsidRPr="009D6A5A" w:rsidRDefault="009D6A5A" w:rsidP="00C47EA8">
      <w:pPr>
        <w:spacing w:line="480" w:lineRule="auto"/>
        <w:jc w:val="both"/>
        <w:rPr>
          <w:b/>
        </w:rPr>
      </w:pPr>
      <w:r w:rsidRPr="009D6A5A">
        <w:rPr>
          <w:b/>
        </w:rPr>
        <w:lastRenderedPageBreak/>
        <w:t>Materials</w:t>
      </w:r>
      <w:r w:rsidR="004965ED">
        <w:rPr>
          <w:b/>
        </w:rPr>
        <w:t xml:space="preserve"> and Methods</w:t>
      </w:r>
    </w:p>
    <w:p w:rsidR="00D22F5D" w:rsidRPr="00D22F5D" w:rsidRDefault="009D6A5A" w:rsidP="00C47EA8">
      <w:pPr>
        <w:spacing w:line="480" w:lineRule="auto"/>
        <w:jc w:val="both"/>
      </w:pPr>
      <w:r w:rsidRPr="009D6A5A">
        <w:rPr>
          <w:b/>
        </w:rPr>
        <w:t>Study population</w:t>
      </w:r>
      <w:r>
        <w:t xml:space="preserve"> </w:t>
      </w:r>
      <w:r w:rsidR="00FD7221">
        <w:t xml:space="preserve">In parallel with whole blood study, we have </w:t>
      </w:r>
      <w:r w:rsidR="0047657F">
        <w:t xml:space="preserve">attempted to study the effects of same four pre-analytic variables on circulating mcroRNAs in </w:t>
      </w:r>
      <w:r>
        <w:t>EDTA-</w:t>
      </w:r>
      <w:r w:rsidR="0047657F">
        <w:t>plasma samples from the same study subjects.</w:t>
      </w:r>
      <w:r w:rsidR="00D22F5D">
        <w:t xml:space="preserve"> </w:t>
      </w:r>
      <w:r w:rsidR="0009348F">
        <w:t>Specifically</w:t>
      </w:r>
      <w:r w:rsidR="00D22F5D">
        <w:t xml:space="preserve">, we </w:t>
      </w:r>
      <w:r w:rsidR="0009348F">
        <w:t xml:space="preserve">have </w:t>
      </w:r>
      <w:r w:rsidR="00D22F5D">
        <w:t xml:space="preserve">evaluated the </w:t>
      </w:r>
      <w:r w:rsidR="0009348F">
        <w:t xml:space="preserve">plasma-level </w:t>
      </w:r>
      <w:r w:rsidR="00D22F5D">
        <w:t xml:space="preserve">expression consistency of </w:t>
      </w:r>
      <w:r w:rsidR="00D22F5D" w:rsidRPr="00D22F5D">
        <w:rPr>
          <w:i/>
        </w:rPr>
        <w:t>miR-346</w:t>
      </w:r>
      <w:r w:rsidR="00D22F5D">
        <w:t xml:space="preserve"> and </w:t>
      </w:r>
      <w:r w:rsidR="00D22F5D" w:rsidRPr="00D22F5D">
        <w:rPr>
          <w:i/>
        </w:rPr>
        <w:t>miR-134</w:t>
      </w:r>
      <w:r w:rsidR="00D22F5D">
        <w:t xml:space="preserve">, the two internal controls identified from the whole blood study, as well as </w:t>
      </w:r>
      <w:r w:rsidR="00D22F5D" w:rsidRPr="00D22F5D">
        <w:rPr>
          <w:i/>
        </w:rPr>
        <w:t>miR-16</w:t>
      </w:r>
      <w:r w:rsidR="00D22F5D">
        <w:t>, one of the most widely used internal control</w:t>
      </w:r>
      <w:r w:rsidR="0009348F">
        <w:t>s</w:t>
      </w:r>
      <w:r w:rsidR="00D22F5D">
        <w:t xml:space="preserve"> for circulating microRNA studies, </w:t>
      </w:r>
      <w:r w:rsidR="0009348F">
        <w:t>in order to determine the suitable internal control for assessing the impact of pre-analytic variables</w:t>
      </w:r>
      <w:r w:rsidR="005D30D1">
        <w:t xml:space="preserve"> in plasmas</w:t>
      </w:r>
      <w:r w:rsidR="0009348F">
        <w:t>. The selected internal control was used to analyze whether its levels in plasma were affected by the four pre-analytic variables</w:t>
      </w:r>
      <w:r w:rsidR="002B503E">
        <w:t>.</w:t>
      </w:r>
      <w:r w:rsidR="0009348F">
        <w:t xml:space="preserve"> </w:t>
      </w:r>
    </w:p>
    <w:p w:rsidR="006A5980" w:rsidRDefault="006A5980" w:rsidP="00C47EA8">
      <w:pPr>
        <w:spacing w:line="480" w:lineRule="auto"/>
        <w:jc w:val="both"/>
      </w:pPr>
    </w:p>
    <w:p w:rsidR="00570088" w:rsidRDefault="00F0578F" w:rsidP="000E508F">
      <w:pPr>
        <w:spacing w:line="480" w:lineRule="auto"/>
        <w:jc w:val="both"/>
      </w:pPr>
      <w:r w:rsidRPr="00035BC3">
        <w:rPr>
          <w:b/>
        </w:rPr>
        <w:t>Selection of pre-analytic variables and study schemes</w:t>
      </w:r>
      <w:r>
        <w:rPr>
          <w:b/>
        </w:rPr>
        <w:t xml:space="preserve"> </w:t>
      </w:r>
      <w:r w:rsidR="00FD7221">
        <w:t xml:space="preserve">The </w:t>
      </w:r>
      <w:r>
        <w:t xml:space="preserve">same </w:t>
      </w:r>
      <w:r w:rsidR="006A5980" w:rsidRPr="00035BC3">
        <w:t>4 pre-analytic variables</w:t>
      </w:r>
      <w:r w:rsidR="00FD7221">
        <w:t xml:space="preserve"> selected for the whole blood study are also assessed in the plasma study</w:t>
      </w:r>
      <w:r w:rsidR="006A5980" w:rsidRPr="00035BC3">
        <w:t xml:space="preserve">.  </w:t>
      </w:r>
      <w:r w:rsidR="00570088" w:rsidRPr="00035BC3">
        <w:t>Below are detailed description</w:t>
      </w:r>
      <w:r w:rsidR="006352AF">
        <w:t>s</w:t>
      </w:r>
      <w:r w:rsidR="00570088" w:rsidRPr="00035BC3">
        <w:t xml:space="preserve"> of each variable and our study </w:t>
      </w:r>
      <w:r w:rsidR="006352AF" w:rsidRPr="00035BC3">
        <w:t>schem</w:t>
      </w:r>
      <w:r w:rsidR="006352AF">
        <w:t>a</w:t>
      </w:r>
      <w:r w:rsidR="00570088" w:rsidRPr="00035BC3">
        <w:t xml:space="preserve">:   </w:t>
      </w:r>
    </w:p>
    <w:p w:rsidR="00A04AC8" w:rsidRPr="00035BC3" w:rsidRDefault="00A04AC8" w:rsidP="000E508F">
      <w:pPr>
        <w:spacing w:line="480" w:lineRule="auto"/>
        <w:jc w:val="both"/>
      </w:pPr>
    </w:p>
    <w:p w:rsidR="006A5980" w:rsidRPr="009D6A5A" w:rsidRDefault="006A5980" w:rsidP="000E508F">
      <w:pPr>
        <w:spacing w:line="480" w:lineRule="auto"/>
        <w:jc w:val="both"/>
      </w:pPr>
      <w:r w:rsidRPr="009D6A5A">
        <w:rPr>
          <w:u w:val="single"/>
        </w:rPr>
        <w:t>P</w:t>
      </w:r>
      <w:r w:rsidR="005A456E" w:rsidRPr="009D6A5A">
        <w:rPr>
          <w:u w:val="single"/>
        </w:rPr>
        <w:t>rocessing delay time</w:t>
      </w:r>
      <w:r w:rsidR="0051639E" w:rsidRPr="009D6A5A">
        <w:rPr>
          <w:u w:val="single"/>
        </w:rPr>
        <w:t xml:space="preserve"> (no delay vs </w:t>
      </w:r>
      <w:r w:rsidR="009D6A5A">
        <w:rPr>
          <w:u w:val="single"/>
        </w:rPr>
        <w:t>18</w:t>
      </w:r>
      <w:r w:rsidR="0051639E" w:rsidRPr="009D6A5A">
        <w:rPr>
          <w:u w:val="single"/>
        </w:rPr>
        <w:t xml:space="preserve"> hours delay)</w:t>
      </w:r>
      <w:r w:rsidRPr="009D6A5A">
        <w:rPr>
          <w:u w:val="single"/>
        </w:rPr>
        <w:t>:</w:t>
      </w:r>
      <w:r w:rsidRPr="009D6A5A">
        <w:t xml:space="preserve">  In this study, we intended to compare no delay vs </w:t>
      </w:r>
      <w:r w:rsidR="009D6A5A">
        <w:t>18</w:t>
      </w:r>
      <w:r w:rsidRPr="009D6A5A">
        <w:t xml:space="preserve"> hours delay. Two </w:t>
      </w:r>
      <w:r w:rsidR="009D6A5A">
        <w:t xml:space="preserve">EDTA blood collection </w:t>
      </w:r>
      <w:r w:rsidRPr="009D6A5A">
        <w:t>tubes were used for each study subject. When the tubes arrive</w:t>
      </w:r>
      <w:r w:rsidR="00DB691F" w:rsidRPr="009D6A5A">
        <w:t>d</w:t>
      </w:r>
      <w:r w:rsidRPr="009D6A5A">
        <w:t xml:space="preserve"> in the DBBR laboratory, one tube was randomly selected to be processed </w:t>
      </w:r>
      <w:r w:rsidR="002C0B1C" w:rsidRPr="009D6A5A">
        <w:t xml:space="preserve">immediately </w:t>
      </w:r>
      <w:r w:rsidR="00A04AC8">
        <w:t>to plasmas</w:t>
      </w:r>
      <w:r w:rsidRPr="009D6A5A">
        <w:t xml:space="preserve">. Another tube was </w:t>
      </w:r>
      <w:r w:rsidR="00497EAD" w:rsidRPr="009D6A5A">
        <w:t xml:space="preserve">purposely </w:t>
      </w:r>
      <w:r w:rsidRPr="009D6A5A">
        <w:t xml:space="preserve">left at room temperature (25°C) for another </w:t>
      </w:r>
      <w:r w:rsidR="009D6A5A">
        <w:t>18</w:t>
      </w:r>
      <w:r w:rsidRPr="009D6A5A">
        <w:t xml:space="preserve"> hours. After the delay, the blood was processed </w:t>
      </w:r>
      <w:r w:rsidR="00A04AC8">
        <w:t xml:space="preserve">to plasma samples. Then, </w:t>
      </w:r>
      <w:r w:rsidRPr="009D6A5A">
        <w:t>RNA</w:t>
      </w:r>
      <w:r w:rsidR="002C0B1C" w:rsidRPr="009D6A5A">
        <w:t xml:space="preserve"> extraction</w:t>
      </w:r>
      <w:r w:rsidR="00A04AC8">
        <w:t xml:space="preserve"> from plasma samples was performed</w:t>
      </w:r>
      <w:r w:rsidRPr="009D6A5A">
        <w:t xml:space="preserve"> using the </w:t>
      </w:r>
      <w:r w:rsidR="00A04AC8">
        <w:t>standard</w:t>
      </w:r>
      <w:r w:rsidRPr="009D6A5A">
        <w:t xml:space="preserve"> protocol.</w:t>
      </w:r>
    </w:p>
    <w:p w:rsidR="006A5980" w:rsidRPr="00F0578F" w:rsidRDefault="006A5980" w:rsidP="000E508F">
      <w:pPr>
        <w:spacing w:line="480" w:lineRule="auto"/>
        <w:jc w:val="both"/>
        <w:rPr>
          <w:highlight w:val="yellow"/>
        </w:rPr>
      </w:pPr>
    </w:p>
    <w:p w:rsidR="00570088" w:rsidRPr="00663DE0" w:rsidRDefault="00570088" w:rsidP="000E508F">
      <w:pPr>
        <w:spacing w:line="480" w:lineRule="auto"/>
        <w:jc w:val="both"/>
      </w:pPr>
      <w:r w:rsidRPr="00663DE0">
        <w:rPr>
          <w:u w:val="single"/>
        </w:rPr>
        <w:t>S</w:t>
      </w:r>
      <w:r w:rsidR="005A456E" w:rsidRPr="00663DE0">
        <w:rPr>
          <w:u w:val="single"/>
        </w:rPr>
        <w:t>torage condition</w:t>
      </w:r>
      <w:r w:rsidR="0051639E" w:rsidRPr="00663DE0">
        <w:rPr>
          <w:u w:val="single"/>
        </w:rPr>
        <w:t xml:space="preserve"> (</w:t>
      </w:r>
      <w:r w:rsidR="009D6A5A" w:rsidRPr="00663DE0">
        <w:rPr>
          <w:u w:val="single"/>
        </w:rPr>
        <w:t>cryovials in -80°C vs straw in liquid nitrogen</w:t>
      </w:r>
      <w:r w:rsidR="0051639E" w:rsidRPr="00663DE0">
        <w:rPr>
          <w:u w:val="single"/>
        </w:rPr>
        <w:t>)</w:t>
      </w:r>
      <w:r w:rsidRPr="00663DE0">
        <w:rPr>
          <w:u w:val="single"/>
        </w:rPr>
        <w:t>:</w:t>
      </w:r>
      <w:r w:rsidRPr="00663DE0">
        <w:t xml:space="preserve"> </w:t>
      </w:r>
      <w:r w:rsidR="00E83D50" w:rsidRPr="00663DE0">
        <w:t xml:space="preserve">In this study, </w:t>
      </w:r>
      <w:r w:rsidR="00720CAC" w:rsidRPr="00663DE0">
        <w:t xml:space="preserve">after the blood samples were processed to plasmas, </w:t>
      </w:r>
      <w:r w:rsidR="008960AF" w:rsidRPr="00663DE0">
        <w:t xml:space="preserve">500µl plasma samples were stored in a cryovial in -80°C </w:t>
      </w:r>
      <w:r w:rsidR="008960AF" w:rsidRPr="00663DE0">
        <w:lastRenderedPageBreak/>
        <w:t xml:space="preserve">freezer. Another 500µl plasma samples were stored in a straw in liquid nitrogen. </w:t>
      </w:r>
      <w:r w:rsidRPr="00663DE0">
        <w:rPr>
          <w:bCs/>
          <w:color w:val="000000"/>
        </w:rPr>
        <w:t xml:space="preserve">After </w:t>
      </w:r>
      <w:r w:rsidR="008960AF" w:rsidRPr="00663DE0">
        <w:rPr>
          <w:bCs/>
          <w:color w:val="000000"/>
        </w:rPr>
        <w:t>six m</w:t>
      </w:r>
      <w:r w:rsidRPr="00663DE0">
        <w:rPr>
          <w:bCs/>
          <w:color w:val="000000"/>
        </w:rPr>
        <w:t>onth</w:t>
      </w:r>
      <w:r w:rsidR="008960AF" w:rsidRPr="00663DE0">
        <w:rPr>
          <w:bCs/>
          <w:color w:val="000000"/>
        </w:rPr>
        <w:t>s</w:t>
      </w:r>
      <w:r w:rsidRPr="00663DE0">
        <w:rPr>
          <w:bCs/>
          <w:color w:val="000000"/>
        </w:rPr>
        <w:t xml:space="preserve"> of storage, both tubes </w:t>
      </w:r>
      <w:r w:rsidR="0052634F" w:rsidRPr="00663DE0">
        <w:rPr>
          <w:bCs/>
          <w:color w:val="000000"/>
        </w:rPr>
        <w:t>were</w:t>
      </w:r>
      <w:r w:rsidRPr="00663DE0">
        <w:rPr>
          <w:bCs/>
          <w:color w:val="000000"/>
        </w:rPr>
        <w:t xml:space="preserve"> </w:t>
      </w:r>
      <w:r w:rsidR="006352AF" w:rsidRPr="00663DE0">
        <w:rPr>
          <w:bCs/>
          <w:color w:val="000000"/>
        </w:rPr>
        <w:t>removed</w:t>
      </w:r>
      <w:r w:rsidRPr="00663DE0">
        <w:rPr>
          <w:bCs/>
          <w:color w:val="000000"/>
        </w:rPr>
        <w:t xml:space="preserve"> from storage</w:t>
      </w:r>
      <w:r w:rsidR="008B4AF7" w:rsidRPr="00663DE0">
        <w:rPr>
          <w:bCs/>
          <w:color w:val="000000"/>
        </w:rPr>
        <w:t xml:space="preserve">, and processed for </w:t>
      </w:r>
      <w:r w:rsidRPr="00663DE0">
        <w:t>RNA extraction.</w:t>
      </w:r>
    </w:p>
    <w:p w:rsidR="0052634F" w:rsidRPr="00663DE0" w:rsidRDefault="0052634F" w:rsidP="000E508F">
      <w:pPr>
        <w:spacing w:line="480" w:lineRule="auto"/>
        <w:jc w:val="both"/>
      </w:pPr>
    </w:p>
    <w:p w:rsidR="00570088" w:rsidRPr="00663DE0" w:rsidRDefault="0052634F" w:rsidP="000E508F">
      <w:pPr>
        <w:spacing w:line="480" w:lineRule="auto"/>
        <w:jc w:val="both"/>
        <w:rPr>
          <w:bCs/>
          <w:color w:val="000000"/>
        </w:rPr>
      </w:pPr>
      <w:r w:rsidRPr="00663DE0">
        <w:rPr>
          <w:u w:val="single"/>
        </w:rPr>
        <w:t>Storage duration</w:t>
      </w:r>
      <w:r w:rsidR="0051639E" w:rsidRPr="00663DE0">
        <w:rPr>
          <w:u w:val="single"/>
        </w:rPr>
        <w:t xml:space="preserve"> (no storage vs </w:t>
      </w:r>
      <w:r w:rsidR="008960AF" w:rsidRPr="00663DE0">
        <w:rPr>
          <w:bCs/>
          <w:color w:val="000000"/>
          <w:u w:val="single"/>
        </w:rPr>
        <w:t>liquid nitrogen</w:t>
      </w:r>
      <w:r w:rsidR="0051639E" w:rsidRPr="00663DE0">
        <w:rPr>
          <w:bCs/>
          <w:color w:val="000000"/>
          <w:u w:val="single"/>
        </w:rPr>
        <w:t xml:space="preserve"> for 6 months)</w:t>
      </w:r>
      <w:r w:rsidRPr="00663DE0">
        <w:rPr>
          <w:u w:val="single"/>
        </w:rPr>
        <w:t>:</w:t>
      </w:r>
      <w:r w:rsidRPr="00663DE0">
        <w:t xml:space="preserve"> </w:t>
      </w:r>
      <w:r w:rsidR="008960AF" w:rsidRPr="00663DE0">
        <w:t xml:space="preserve">In this study, after the blood samples were processed to plasmas, 500µl plasma samples were processed for RNA extraction immediately. Another 500µl plasma samples were stored in straw in liquid nitrogen for 6 months.   </w:t>
      </w:r>
      <w:r w:rsidRPr="00663DE0">
        <w:rPr>
          <w:bCs/>
          <w:color w:val="000000"/>
        </w:rPr>
        <w:t xml:space="preserve">After 6 months of storage, the </w:t>
      </w:r>
      <w:r w:rsidR="008960AF" w:rsidRPr="00663DE0">
        <w:rPr>
          <w:bCs/>
          <w:color w:val="000000"/>
        </w:rPr>
        <w:t xml:space="preserve">plasma samples </w:t>
      </w:r>
      <w:r w:rsidR="00DB691F" w:rsidRPr="00663DE0">
        <w:rPr>
          <w:bCs/>
          <w:color w:val="000000"/>
        </w:rPr>
        <w:t>w</w:t>
      </w:r>
      <w:r w:rsidR="008960AF" w:rsidRPr="00663DE0">
        <w:rPr>
          <w:bCs/>
          <w:color w:val="000000"/>
        </w:rPr>
        <w:t>ere</w:t>
      </w:r>
      <w:r w:rsidRPr="00663DE0">
        <w:rPr>
          <w:bCs/>
          <w:color w:val="000000"/>
        </w:rPr>
        <w:t xml:space="preserve"> </w:t>
      </w:r>
      <w:r w:rsidR="00497EAD" w:rsidRPr="00663DE0">
        <w:rPr>
          <w:bCs/>
          <w:color w:val="000000"/>
        </w:rPr>
        <w:t xml:space="preserve">pulled </w:t>
      </w:r>
      <w:r w:rsidRPr="00663DE0">
        <w:rPr>
          <w:bCs/>
          <w:color w:val="000000"/>
        </w:rPr>
        <w:t>out from the storage</w:t>
      </w:r>
      <w:r w:rsidR="008B4AF7" w:rsidRPr="00663DE0">
        <w:rPr>
          <w:bCs/>
          <w:color w:val="000000"/>
        </w:rPr>
        <w:t xml:space="preserve">, and processed </w:t>
      </w:r>
      <w:r w:rsidRPr="00663DE0">
        <w:rPr>
          <w:bCs/>
          <w:color w:val="000000"/>
        </w:rPr>
        <w:t>for RNA extraction.</w:t>
      </w:r>
    </w:p>
    <w:p w:rsidR="0051639E" w:rsidRPr="00663DE0" w:rsidRDefault="0051639E" w:rsidP="000E508F">
      <w:pPr>
        <w:spacing w:line="480" w:lineRule="auto"/>
        <w:jc w:val="both"/>
      </w:pPr>
    </w:p>
    <w:p w:rsidR="00DB691F" w:rsidRPr="00035BC3" w:rsidRDefault="00DB691F" w:rsidP="000E508F">
      <w:pPr>
        <w:spacing w:line="480" w:lineRule="auto"/>
        <w:jc w:val="both"/>
      </w:pPr>
      <w:r w:rsidRPr="00663DE0">
        <w:rPr>
          <w:u w:val="single"/>
        </w:rPr>
        <w:t>F</w:t>
      </w:r>
      <w:r w:rsidR="005A456E" w:rsidRPr="00663DE0">
        <w:rPr>
          <w:u w:val="single"/>
        </w:rPr>
        <w:t>reeze/thaw cycles</w:t>
      </w:r>
      <w:r w:rsidR="0051639E" w:rsidRPr="00663DE0">
        <w:rPr>
          <w:u w:val="single"/>
        </w:rPr>
        <w:t xml:space="preserve"> (0 vs 1</w:t>
      </w:r>
      <w:r w:rsidR="00A04AC8" w:rsidRPr="00663DE0">
        <w:rPr>
          <w:u w:val="single"/>
        </w:rPr>
        <w:t xml:space="preserve">, </w:t>
      </w:r>
      <w:r w:rsidR="0051639E" w:rsidRPr="00663DE0">
        <w:rPr>
          <w:u w:val="single"/>
        </w:rPr>
        <w:t>2</w:t>
      </w:r>
      <w:r w:rsidR="00A04AC8" w:rsidRPr="00663DE0">
        <w:rPr>
          <w:u w:val="single"/>
        </w:rPr>
        <w:t xml:space="preserve"> and 4</w:t>
      </w:r>
      <w:r w:rsidR="0051639E" w:rsidRPr="00663DE0">
        <w:rPr>
          <w:u w:val="single"/>
        </w:rPr>
        <w:t>)</w:t>
      </w:r>
      <w:r w:rsidRPr="00663DE0">
        <w:rPr>
          <w:u w:val="single"/>
        </w:rPr>
        <w:t>:</w:t>
      </w:r>
      <w:r w:rsidRPr="00663DE0">
        <w:t xml:space="preserve"> </w:t>
      </w:r>
      <w:r w:rsidR="00A04AC8" w:rsidRPr="00663DE0">
        <w:t xml:space="preserve">In this study, after the blood samples were processed to plasmas, 500µl plasma samples were processed for RNA extraction immediately. Another 1,500µl plasma samples were stored in three straws (500µl each) in liquid nitrogen. </w:t>
      </w:r>
      <w:r w:rsidRPr="00663DE0">
        <w:t xml:space="preserve">After 2 weeks, </w:t>
      </w:r>
      <w:r w:rsidR="00A04AC8" w:rsidRPr="00663DE0">
        <w:t>all three straws</w:t>
      </w:r>
      <w:r w:rsidRPr="00663DE0">
        <w:t xml:space="preserve"> w</w:t>
      </w:r>
      <w:r w:rsidR="002C0B1C" w:rsidRPr="00663DE0">
        <w:t>ere</w:t>
      </w:r>
      <w:r w:rsidRPr="00663DE0">
        <w:t xml:space="preserve"> pulled out and thawed. After reaching room temperature, </w:t>
      </w:r>
      <w:r w:rsidR="002C0B1C" w:rsidRPr="00663DE0">
        <w:t xml:space="preserve">one </w:t>
      </w:r>
      <w:r w:rsidR="00A04AC8" w:rsidRPr="00663DE0">
        <w:t>straw</w:t>
      </w:r>
      <w:r w:rsidR="002C0B1C" w:rsidRPr="00663DE0">
        <w:t xml:space="preserve"> was randomly selected to be processed for RNA extraction and </w:t>
      </w:r>
      <w:r w:rsidR="0051639E" w:rsidRPr="00663DE0">
        <w:t xml:space="preserve">the </w:t>
      </w:r>
      <w:r w:rsidR="002C0B1C" w:rsidRPr="00663DE0">
        <w:t xml:space="preserve">other </w:t>
      </w:r>
      <w:r w:rsidR="00A04AC8" w:rsidRPr="00663DE0">
        <w:t>two were put back to liquid nitrogen</w:t>
      </w:r>
      <w:r w:rsidR="006352AF" w:rsidRPr="00663DE0">
        <w:t xml:space="preserve"> for an</w:t>
      </w:r>
      <w:r w:rsidRPr="00663DE0">
        <w:t xml:space="preserve"> additional 2 weeks. After that, </w:t>
      </w:r>
      <w:r w:rsidR="00A04AC8" w:rsidRPr="00663DE0">
        <w:t>both straws were</w:t>
      </w:r>
      <w:r w:rsidRPr="00663DE0">
        <w:t xml:space="preserve"> pulled out</w:t>
      </w:r>
      <w:r w:rsidR="00A04AC8" w:rsidRPr="00663DE0">
        <w:t>. After reaching room temperature, one straw was randomly selected to be processed for RNA extraction and the other was put back to liquid nitrogen for an additional 2 weeks.</w:t>
      </w:r>
      <w:r w:rsidRPr="00663DE0">
        <w:t xml:space="preserve"> </w:t>
      </w:r>
      <w:r w:rsidR="00A04AC8" w:rsidRPr="00663DE0">
        <w:t xml:space="preserve">After 2 weeks, the straw was pulled out, </w:t>
      </w:r>
      <w:r w:rsidRPr="00663DE0">
        <w:t>thawed and processed for RNA extraction.</w:t>
      </w:r>
      <w:r w:rsidRPr="00035BC3">
        <w:t xml:space="preserve"> </w:t>
      </w:r>
    </w:p>
    <w:p w:rsidR="00FD7221" w:rsidRDefault="00FD7221" w:rsidP="00FD7221">
      <w:pPr>
        <w:spacing w:line="480" w:lineRule="auto"/>
        <w:jc w:val="both"/>
      </w:pPr>
    </w:p>
    <w:p w:rsidR="00101C86" w:rsidRPr="00101C86" w:rsidRDefault="00101C86" w:rsidP="00101C86">
      <w:pPr>
        <w:spacing w:line="480" w:lineRule="auto"/>
        <w:jc w:val="both"/>
      </w:pPr>
      <w:r w:rsidRPr="00112DBF">
        <w:rPr>
          <w:b/>
        </w:rPr>
        <w:t>RESULTS</w:t>
      </w:r>
    </w:p>
    <w:p w:rsidR="00101C86" w:rsidRDefault="00101C86" w:rsidP="00101C86">
      <w:pPr>
        <w:spacing w:line="480" w:lineRule="auto"/>
        <w:jc w:val="both"/>
      </w:pPr>
      <w:r>
        <w:t xml:space="preserve">In the </w:t>
      </w:r>
      <w:r w:rsidR="00C91673">
        <w:t>evaluation</w:t>
      </w:r>
      <w:r>
        <w:t xml:space="preserve"> cohort, we found </w:t>
      </w:r>
      <w:r w:rsidR="007F75B8">
        <w:t xml:space="preserve">only </w:t>
      </w:r>
      <w:r w:rsidR="00A162AF" w:rsidRPr="00093797">
        <w:rPr>
          <w:i/>
        </w:rPr>
        <w:t>miR-16</w:t>
      </w:r>
      <w:r>
        <w:t xml:space="preserve"> </w:t>
      </w:r>
      <w:r w:rsidR="00A162AF">
        <w:t xml:space="preserve">was </w:t>
      </w:r>
      <w:r>
        <w:t xml:space="preserve">ubiquitously expressed (Ct &lt; 33) in </w:t>
      </w:r>
      <w:r w:rsidR="00A162AF">
        <w:t>plasma</w:t>
      </w:r>
      <w:r>
        <w:t xml:space="preserve"> of all 164 study subjects.</w:t>
      </w:r>
      <w:r w:rsidRPr="00C5265F">
        <w:t xml:space="preserve"> </w:t>
      </w:r>
      <w:r w:rsidR="00A162AF">
        <w:t xml:space="preserve">The number of </w:t>
      </w:r>
      <w:r w:rsidR="007F75B8">
        <w:t xml:space="preserve">plasma </w:t>
      </w:r>
      <w:r w:rsidR="00A162AF">
        <w:t xml:space="preserve">samples with Ct &gt; 33 for </w:t>
      </w:r>
      <w:r w:rsidR="00A162AF" w:rsidRPr="00093797">
        <w:rPr>
          <w:i/>
        </w:rPr>
        <w:t>miR-134</w:t>
      </w:r>
      <w:r w:rsidR="00A162AF">
        <w:t xml:space="preserve"> and </w:t>
      </w:r>
      <w:r w:rsidR="00A162AF" w:rsidRPr="00093797">
        <w:rPr>
          <w:i/>
        </w:rPr>
        <w:t>mir-346</w:t>
      </w:r>
      <w:r w:rsidR="00A162AF">
        <w:t xml:space="preserve"> is 6 and 41, respectively. </w:t>
      </w:r>
      <w:r w:rsidR="004E25A2">
        <w:t>For the</w:t>
      </w:r>
      <w:r w:rsidR="00A162AF">
        <w:t>se</w:t>
      </w:r>
      <w:r w:rsidR="004E25A2">
        <w:t xml:space="preserve"> three selected microRNAs, we </w:t>
      </w:r>
      <w:r w:rsidR="00A162AF">
        <w:t xml:space="preserve">also </w:t>
      </w:r>
      <w:r w:rsidR="004E25A2">
        <w:t>evaluated t</w:t>
      </w:r>
      <w:r>
        <w:t xml:space="preserve">he consistency </w:t>
      </w:r>
      <w:r>
        <w:lastRenderedPageBreak/>
        <w:t xml:space="preserve">of their expression level </w:t>
      </w:r>
      <w:r w:rsidRPr="00112DBF">
        <w:t>between overall case</w:t>
      </w:r>
      <w:r>
        <w:t>s</w:t>
      </w:r>
      <w:r w:rsidRPr="00112DBF">
        <w:t xml:space="preserve"> and controls, breast cancer cases and controls, </w:t>
      </w:r>
      <w:r>
        <w:t xml:space="preserve">and </w:t>
      </w:r>
      <w:r w:rsidRPr="00112DBF">
        <w:t xml:space="preserve">prostate cancer cases and controls. </w:t>
      </w:r>
      <w:r>
        <w:t xml:space="preserve">As shown in </w:t>
      </w:r>
      <w:r w:rsidR="00B76235" w:rsidRPr="00B03B9F">
        <w:rPr>
          <w:b/>
        </w:rPr>
        <w:t>Supplementary</w:t>
      </w:r>
      <w:r w:rsidR="00B76235" w:rsidRPr="00FE4626">
        <w:rPr>
          <w:b/>
        </w:rPr>
        <w:t xml:space="preserve"> </w:t>
      </w:r>
      <w:r w:rsidRPr="00FE4626">
        <w:rPr>
          <w:b/>
        </w:rPr>
        <w:t xml:space="preserve">Table </w:t>
      </w:r>
      <w:r>
        <w:rPr>
          <w:b/>
        </w:rPr>
        <w:t>1</w:t>
      </w:r>
      <w:r>
        <w:t xml:space="preserve">, </w:t>
      </w:r>
      <w:r w:rsidR="00C91673">
        <w:t>none of the three microRNAs met the criteria of less than 1.2 fold change in all three case-control comparisons</w:t>
      </w:r>
      <w:r w:rsidR="00C91673">
        <w:rPr>
          <w:i/>
        </w:rPr>
        <w:t>.</w:t>
      </w:r>
      <w:r w:rsidR="00A162AF">
        <w:rPr>
          <w:i/>
        </w:rPr>
        <w:t xml:space="preserve"> </w:t>
      </w:r>
      <w:r w:rsidRPr="008E763F">
        <w:rPr>
          <w:i/>
        </w:rPr>
        <w:t>miR-</w:t>
      </w:r>
      <w:r w:rsidR="00A162AF">
        <w:rPr>
          <w:i/>
        </w:rPr>
        <w:t>134</w:t>
      </w:r>
      <w:r w:rsidR="00A162AF">
        <w:t xml:space="preserve"> </w:t>
      </w:r>
      <w:r>
        <w:t xml:space="preserve">had fold change of </w:t>
      </w:r>
      <w:r w:rsidR="00A162AF">
        <w:t>1.9</w:t>
      </w:r>
      <w:r>
        <w:t xml:space="preserve"> in the </w:t>
      </w:r>
      <w:r w:rsidR="00A162AF">
        <w:t>prostate</w:t>
      </w:r>
      <w:r>
        <w:t xml:space="preserve"> case-control comparisons and was therefore excluded from further analysis. </w:t>
      </w:r>
      <w:r w:rsidRPr="008E763F">
        <w:rPr>
          <w:i/>
        </w:rPr>
        <w:t>miR-</w:t>
      </w:r>
      <w:r w:rsidR="002F265F">
        <w:rPr>
          <w:i/>
        </w:rPr>
        <w:t>134</w:t>
      </w:r>
      <w:r w:rsidR="002F265F">
        <w:t xml:space="preserve"> </w:t>
      </w:r>
      <w:r>
        <w:t xml:space="preserve">had fold change </w:t>
      </w:r>
      <w:r w:rsidR="002F265F">
        <w:t>greater than</w:t>
      </w:r>
      <w:r>
        <w:t xml:space="preserve"> 1.2 in all three case-control comparisons. </w:t>
      </w:r>
      <w:r w:rsidRPr="008E763F">
        <w:rPr>
          <w:i/>
        </w:rPr>
        <w:t>miR-</w:t>
      </w:r>
      <w:r w:rsidR="002F265F">
        <w:rPr>
          <w:i/>
        </w:rPr>
        <w:t>16</w:t>
      </w:r>
      <w:r w:rsidR="002F265F">
        <w:t xml:space="preserve"> </w:t>
      </w:r>
      <w:r>
        <w:t xml:space="preserve">had fold change less than 1.2 in </w:t>
      </w:r>
      <w:r w:rsidR="002F265F">
        <w:t>prostate</w:t>
      </w:r>
      <w:r>
        <w:t xml:space="preserve"> comparisons, and </w:t>
      </w:r>
      <w:r w:rsidR="002F265F">
        <w:t>its CV</w:t>
      </w:r>
      <w:r>
        <w:t xml:space="preserve"> was smaller than </w:t>
      </w:r>
      <w:r w:rsidR="002F265F">
        <w:rPr>
          <w:i/>
        </w:rPr>
        <w:t>miR-134</w:t>
      </w:r>
      <w:r w:rsidR="007F75B8">
        <w:t xml:space="preserve"> in all three study groups. </w:t>
      </w:r>
      <w:r>
        <w:t xml:space="preserve">Therefore, </w:t>
      </w:r>
      <w:r w:rsidRPr="008E763F">
        <w:rPr>
          <w:i/>
        </w:rPr>
        <w:t>miR-1</w:t>
      </w:r>
      <w:r w:rsidR="002F265F">
        <w:rPr>
          <w:i/>
        </w:rPr>
        <w:t>6</w:t>
      </w:r>
      <w:r>
        <w:t xml:space="preserve"> </w:t>
      </w:r>
      <w:r w:rsidR="002F265F">
        <w:t>was used as</w:t>
      </w:r>
      <w:r>
        <w:t xml:space="preserve"> the final internal control to assess the impact of pre-analytic variables</w:t>
      </w:r>
      <w:r w:rsidR="002F265F">
        <w:t xml:space="preserve"> in plasma samples</w:t>
      </w:r>
      <w:r>
        <w:t xml:space="preserve">. </w:t>
      </w:r>
    </w:p>
    <w:p w:rsidR="00101C86" w:rsidRDefault="00101C86" w:rsidP="00101C86">
      <w:pPr>
        <w:spacing w:line="480" w:lineRule="auto"/>
        <w:jc w:val="both"/>
      </w:pPr>
    </w:p>
    <w:p w:rsidR="00101C86" w:rsidRDefault="007D02B3" w:rsidP="00101C86">
      <w:pPr>
        <w:spacing w:line="480" w:lineRule="auto"/>
        <w:jc w:val="both"/>
      </w:pPr>
      <w:r>
        <w:t>We</w:t>
      </w:r>
      <w:r w:rsidR="00101C86">
        <w:t xml:space="preserve"> analyzed whether </w:t>
      </w:r>
      <w:r>
        <w:t xml:space="preserve">the plasma </w:t>
      </w:r>
      <w:r w:rsidR="00101C86">
        <w:t xml:space="preserve">levels </w:t>
      </w:r>
      <w:r>
        <w:t xml:space="preserve">of </w:t>
      </w:r>
      <w:r w:rsidRPr="00093797">
        <w:rPr>
          <w:i/>
        </w:rPr>
        <w:t>miR-16</w:t>
      </w:r>
      <w:r w:rsidR="00101C86">
        <w:t xml:space="preserve"> were affected by the four different pre-analytic variables, namely</w:t>
      </w:r>
      <w:r w:rsidR="00101C86" w:rsidRPr="008E763F">
        <w:t xml:space="preserve"> </w:t>
      </w:r>
      <w:r w:rsidR="00101C86">
        <w:t xml:space="preserve">processing delay time (no delay vs. </w:t>
      </w:r>
      <w:r w:rsidR="00B76235">
        <w:t xml:space="preserve">18 </w:t>
      </w:r>
      <w:r w:rsidR="00101C86">
        <w:t>hours delay), storage condition (</w:t>
      </w:r>
      <w:r w:rsidR="00B76235">
        <w:t>cryovial</w:t>
      </w:r>
      <w:r w:rsidR="00101C86" w:rsidRPr="00D76E2B">
        <w:t xml:space="preserve"> vs</w:t>
      </w:r>
      <w:r w:rsidR="00101C86">
        <w:t>.</w:t>
      </w:r>
      <w:r w:rsidR="00101C86" w:rsidRPr="00D76E2B">
        <w:t xml:space="preserve"> </w:t>
      </w:r>
      <w:r w:rsidR="00B76235">
        <w:t>straw</w:t>
      </w:r>
      <w:r w:rsidR="00101C86">
        <w:t>), storage duration (no storage</w:t>
      </w:r>
      <w:r w:rsidR="00101C86" w:rsidRPr="001E171F">
        <w:t xml:space="preserve"> vs</w:t>
      </w:r>
      <w:r w:rsidR="00101C86">
        <w:t>.</w:t>
      </w:r>
      <w:r w:rsidR="00101C86" w:rsidRPr="001E171F">
        <w:t xml:space="preserve"> 6 months</w:t>
      </w:r>
      <w:r w:rsidR="00101C86">
        <w:t>), and freeze/thaw cycles (</w:t>
      </w:r>
      <w:r w:rsidR="00101C86" w:rsidRPr="00E83878">
        <w:t>0, 1</w:t>
      </w:r>
      <w:r w:rsidR="00B76235">
        <w:t>, 2</w:t>
      </w:r>
      <w:r w:rsidR="00101C86">
        <w:t xml:space="preserve"> vs.</w:t>
      </w:r>
      <w:r w:rsidR="00101C86" w:rsidRPr="00E83878">
        <w:t xml:space="preserve"> </w:t>
      </w:r>
      <w:r w:rsidR="00B76235">
        <w:t>4</w:t>
      </w:r>
      <w:r w:rsidR="00101C86">
        <w:t xml:space="preserve">). The results are summarized in </w:t>
      </w:r>
      <w:r w:rsidR="00B76235" w:rsidRPr="00B03B9F">
        <w:rPr>
          <w:b/>
        </w:rPr>
        <w:t>Supplementary</w:t>
      </w:r>
      <w:r w:rsidR="00B76235" w:rsidRPr="008B455B">
        <w:rPr>
          <w:b/>
        </w:rPr>
        <w:t xml:space="preserve"> </w:t>
      </w:r>
      <w:r w:rsidR="00101C86" w:rsidRPr="008B455B">
        <w:rPr>
          <w:b/>
        </w:rPr>
        <w:t xml:space="preserve">Table </w:t>
      </w:r>
      <w:r w:rsidR="00101C86">
        <w:rPr>
          <w:b/>
        </w:rPr>
        <w:t>2</w:t>
      </w:r>
      <w:r w:rsidR="007F75B8">
        <w:t xml:space="preserve"> and shown </w:t>
      </w:r>
      <w:r w:rsidR="00101C86">
        <w:t xml:space="preserve">in </w:t>
      </w:r>
      <w:r w:rsidR="00B76235" w:rsidRPr="00B03B9F">
        <w:rPr>
          <w:b/>
        </w:rPr>
        <w:t>Supplementary</w:t>
      </w:r>
      <w:r w:rsidR="00B76235" w:rsidRPr="00D55507">
        <w:rPr>
          <w:b/>
        </w:rPr>
        <w:t xml:space="preserve"> </w:t>
      </w:r>
      <w:r w:rsidR="00101C86" w:rsidRPr="00D55507">
        <w:rPr>
          <w:b/>
        </w:rPr>
        <w:t xml:space="preserve">Figure </w:t>
      </w:r>
      <w:r w:rsidR="00B76235">
        <w:rPr>
          <w:b/>
        </w:rPr>
        <w:t>5</w:t>
      </w:r>
      <w:r w:rsidR="007F75B8">
        <w:t>.</w:t>
      </w:r>
      <w:r w:rsidR="00101C86">
        <w:t xml:space="preserve"> </w:t>
      </w:r>
      <w:r w:rsidR="007F75B8">
        <w:t>S</w:t>
      </w:r>
      <w:r w:rsidR="00B76235">
        <w:t xml:space="preserve">imilar to the whole blood study, </w:t>
      </w:r>
      <w:r w:rsidR="00101C86">
        <w:t xml:space="preserve">we did not observe significant difference for the </w:t>
      </w:r>
      <w:r w:rsidR="00B76235">
        <w:t xml:space="preserve">plasma </w:t>
      </w:r>
      <w:r w:rsidR="00101C86">
        <w:t xml:space="preserve">level of </w:t>
      </w:r>
      <w:r w:rsidR="00101C86" w:rsidRPr="008E763F">
        <w:rPr>
          <w:i/>
        </w:rPr>
        <w:t>miR-</w:t>
      </w:r>
      <w:r w:rsidR="00B76235">
        <w:rPr>
          <w:i/>
        </w:rPr>
        <w:t>16</w:t>
      </w:r>
      <w:r w:rsidR="00101C86">
        <w:t xml:space="preserve"> in storage condition and storage duration</w:t>
      </w:r>
      <w:r w:rsidR="00B76235">
        <w:t xml:space="preserve">, and we observed significant differences for the plasma levels of </w:t>
      </w:r>
      <w:r w:rsidR="00B76235" w:rsidRPr="00093797">
        <w:rPr>
          <w:i/>
        </w:rPr>
        <w:t>miR-16</w:t>
      </w:r>
      <w:r w:rsidR="00B76235">
        <w:t xml:space="preserve"> among freeze-</w:t>
      </w:r>
      <w:r w:rsidR="00B76235" w:rsidRPr="001C5E58">
        <w:t>thaw cycl</w:t>
      </w:r>
      <w:r w:rsidR="00B76235" w:rsidRPr="00E83878">
        <w:rPr>
          <w:i/>
        </w:rPr>
        <w:t>es</w:t>
      </w:r>
      <w:r w:rsidR="00B76235">
        <w:t xml:space="preserve"> (0, 1, 2 vs. 4). Specifically, </w:t>
      </w:r>
      <w:r w:rsidR="00B76235" w:rsidRPr="00D67E3C">
        <w:t xml:space="preserve">the </w:t>
      </w:r>
      <w:r w:rsidR="007F75B8">
        <w:t xml:space="preserve">plasma </w:t>
      </w:r>
      <w:r w:rsidR="00B76235" w:rsidRPr="00D67E3C">
        <w:t xml:space="preserve">levels of </w:t>
      </w:r>
      <w:r w:rsidR="00B76235">
        <w:rPr>
          <w:i/>
        </w:rPr>
        <w:t>miR-1</w:t>
      </w:r>
      <w:r w:rsidR="00B76235" w:rsidRPr="00FC3E37">
        <w:rPr>
          <w:i/>
        </w:rPr>
        <w:t>6</w:t>
      </w:r>
      <w:r w:rsidR="00B76235">
        <w:t xml:space="preserve"> </w:t>
      </w:r>
      <w:r w:rsidR="00B76235" w:rsidRPr="00D67E3C">
        <w:t>decreased significantly</w:t>
      </w:r>
      <w:r w:rsidR="00B76235">
        <w:t xml:space="preserve"> when</w:t>
      </w:r>
      <w:r w:rsidR="00B76235" w:rsidRPr="00D67E3C">
        <w:t xml:space="preserve"> the </w:t>
      </w:r>
      <w:r w:rsidR="00B76235">
        <w:t xml:space="preserve">number of freeze-thaw cycles increased. </w:t>
      </w:r>
      <w:r w:rsidR="00101C86">
        <w:t xml:space="preserve">On the other hand, </w:t>
      </w:r>
      <w:r w:rsidR="00B76235">
        <w:t xml:space="preserve">unlike the whole blood study, </w:t>
      </w:r>
      <w:r w:rsidR="00101C86">
        <w:t xml:space="preserve">significant differences were observed for the </w:t>
      </w:r>
      <w:r w:rsidR="007F75B8">
        <w:t xml:space="preserve">plasma </w:t>
      </w:r>
      <w:r w:rsidR="00101C86">
        <w:t xml:space="preserve">levels of </w:t>
      </w:r>
      <w:r w:rsidR="00101C86" w:rsidRPr="00FC3E37">
        <w:rPr>
          <w:i/>
        </w:rPr>
        <w:t>miR-</w:t>
      </w:r>
      <w:r w:rsidR="00B76235">
        <w:rPr>
          <w:i/>
        </w:rPr>
        <w:t>16</w:t>
      </w:r>
      <w:r w:rsidR="00101C86">
        <w:t xml:space="preserve"> </w:t>
      </w:r>
      <w:r w:rsidR="00B76235">
        <w:t>in processing delay time</w:t>
      </w:r>
      <w:r w:rsidR="00101C86">
        <w:t xml:space="preserve"> (</w:t>
      </w:r>
      <w:r w:rsidR="00B76235">
        <w:t>no delay vs. 18 hours delay</w:t>
      </w:r>
      <w:r w:rsidR="00101C86">
        <w:t xml:space="preserve">). Specifically, </w:t>
      </w:r>
      <w:r w:rsidR="00101C86" w:rsidRPr="00D67E3C">
        <w:t xml:space="preserve">the </w:t>
      </w:r>
      <w:r w:rsidR="007F75B8">
        <w:t xml:space="preserve">plasma </w:t>
      </w:r>
      <w:r w:rsidR="00101C86" w:rsidRPr="00D67E3C">
        <w:t xml:space="preserve">levels of </w:t>
      </w:r>
      <w:r w:rsidR="00101C86" w:rsidRPr="00FC3E37">
        <w:rPr>
          <w:i/>
        </w:rPr>
        <w:t>miR-</w:t>
      </w:r>
      <w:r w:rsidR="00093797">
        <w:rPr>
          <w:i/>
        </w:rPr>
        <w:t>16</w:t>
      </w:r>
      <w:r w:rsidR="007F75B8">
        <w:rPr>
          <w:i/>
        </w:rPr>
        <w:t xml:space="preserve"> </w:t>
      </w:r>
      <w:r w:rsidR="00101C86" w:rsidRPr="00D67E3C">
        <w:t>decreased significantly</w:t>
      </w:r>
      <w:r w:rsidR="00101C86">
        <w:t xml:space="preserve"> when</w:t>
      </w:r>
      <w:r w:rsidR="00101C86" w:rsidRPr="00D67E3C">
        <w:t xml:space="preserve"> </w:t>
      </w:r>
      <w:r w:rsidR="00093797">
        <w:t xml:space="preserve">comparing </w:t>
      </w:r>
      <w:r w:rsidR="009F43F5">
        <w:t xml:space="preserve">the 18 hour delay with no delay </w:t>
      </w:r>
      <w:r w:rsidR="00093797">
        <w:t>(P = 3.03×10</w:t>
      </w:r>
      <w:r w:rsidR="00093797">
        <w:rPr>
          <w:vertAlign w:val="superscript"/>
        </w:rPr>
        <w:t>-7</w:t>
      </w:r>
      <w:r w:rsidR="00093797">
        <w:t>)</w:t>
      </w:r>
      <w:r w:rsidR="00101C86">
        <w:t xml:space="preserve">. </w:t>
      </w:r>
      <w:r w:rsidR="00093797">
        <w:t xml:space="preserve">As we weren’t able to identify a </w:t>
      </w:r>
      <w:r w:rsidR="007F75B8">
        <w:t>suitable</w:t>
      </w:r>
      <w:r w:rsidR="00093797">
        <w:t xml:space="preserve"> internal control for plasma study, future</w:t>
      </w:r>
      <w:r w:rsidR="00093797" w:rsidRPr="00093797">
        <w:t xml:space="preserve"> investigation is warranted </w:t>
      </w:r>
      <w:r w:rsidR="00093797">
        <w:t xml:space="preserve">to determine whether </w:t>
      </w:r>
      <w:r w:rsidR="007F75B8">
        <w:t xml:space="preserve">this </w:t>
      </w:r>
      <w:r w:rsidR="00093797">
        <w:t xml:space="preserve">is a genuine </w:t>
      </w:r>
      <w:r w:rsidR="00093797">
        <w:lastRenderedPageBreak/>
        <w:t xml:space="preserve">observation. </w:t>
      </w:r>
      <w:r w:rsidR="00101C86">
        <w:t>We observed the same trends when the analysis was performed using case (or control) samples only (</w:t>
      </w:r>
      <w:r w:rsidR="00101C86" w:rsidRPr="00B03B9F">
        <w:rPr>
          <w:b/>
        </w:rPr>
        <w:t xml:space="preserve">Supplementary Figure </w:t>
      </w:r>
      <w:r w:rsidR="00B76235">
        <w:rPr>
          <w:b/>
        </w:rPr>
        <w:t>6</w:t>
      </w:r>
      <w:r w:rsidR="00101C86" w:rsidRPr="00B03B9F">
        <w:rPr>
          <w:b/>
        </w:rPr>
        <w:t>-</w:t>
      </w:r>
      <w:r w:rsidR="00B76235">
        <w:rPr>
          <w:b/>
        </w:rPr>
        <w:t>9</w:t>
      </w:r>
      <w:r w:rsidR="00101C86">
        <w:t xml:space="preserve">). </w:t>
      </w:r>
    </w:p>
    <w:p w:rsidR="000E508F" w:rsidRDefault="000E508F" w:rsidP="000E508F">
      <w:pPr>
        <w:spacing w:line="480" w:lineRule="auto"/>
        <w:jc w:val="both"/>
      </w:pPr>
    </w:p>
    <w:p w:rsidR="00E56D09" w:rsidRDefault="00E56D09" w:rsidP="00C47EA8">
      <w:pPr>
        <w:spacing w:line="480" w:lineRule="auto"/>
        <w:jc w:val="both"/>
      </w:pPr>
    </w:p>
    <w:p w:rsidR="00035BC3" w:rsidRPr="009F43F5" w:rsidRDefault="00035BC3">
      <w:pPr>
        <w:spacing w:after="200" w:line="276" w:lineRule="auto"/>
        <w:rPr>
          <w:b/>
        </w:rPr>
      </w:pPr>
      <w:r>
        <w:rPr>
          <w:b/>
        </w:rPr>
        <w:br w:type="page"/>
      </w:r>
    </w:p>
    <w:p w:rsidR="004F195C" w:rsidRPr="00284ACF" w:rsidRDefault="004965ED" w:rsidP="00AF6636">
      <w:pPr>
        <w:ind w:right="-187"/>
        <w:jc w:val="both"/>
      </w:pPr>
      <w:r>
        <w:rPr>
          <w:b/>
        </w:rPr>
        <w:lastRenderedPageBreak/>
        <w:t xml:space="preserve">Supplementary </w:t>
      </w:r>
      <w:r w:rsidR="00EF0101" w:rsidRPr="00EF0101">
        <w:rPr>
          <w:b/>
        </w:rPr>
        <w:t xml:space="preserve">Table 1. </w:t>
      </w:r>
      <w:r w:rsidR="0097272B" w:rsidRPr="005B6616">
        <w:t xml:space="preserve">The </w:t>
      </w:r>
      <w:r w:rsidR="000C602C">
        <w:t>evaluation</w:t>
      </w:r>
      <w:r w:rsidR="0097272B" w:rsidRPr="005B6616">
        <w:t xml:space="preserve"> of </w:t>
      </w:r>
      <w:r w:rsidR="000C602C">
        <w:t xml:space="preserve">candidate </w:t>
      </w:r>
      <w:r w:rsidR="004F195C">
        <w:t xml:space="preserve">internal control </w:t>
      </w:r>
      <w:r w:rsidR="00682ADD">
        <w:t xml:space="preserve">microRNAs </w:t>
      </w:r>
      <w:r w:rsidR="004F195C">
        <w:t xml:space="preserve">in </w:t>
      </w:r>
      <w:r w:rsidR="000C602C">
        <w:t>plasmas</w:t>
      </w:r>
    </w:p>
    <w:tbl>
      <w:tblPr>
        <w:tblW w:w="8910" w:type="dxa"/>
        <w:tblInd w:w="18" w:type="dxa"/>
        <w:tblLook w:val="04A0" w:firstRow="1" w:lastRow="0" w:firstColumn="1" w:lastColumn="0" w:noHBand="0" w:noVBand="1"/>
      </w:tblPr>
      <w:tblGrid>
        <w:gridCol w:w="1260"/>
        <w:gridCol w:w="1710"/>
        <w:gridCol w:w="900"/>
        <w:gridCol w:w="1620"/>
        <w:gridCol w:w="900"/>
        <w:gridCol w:w="1710"/>
        <w:gridCol w:w="810"/>
      </w:tblGrid>
      <w:tr w:rsidR="004F195C" w:rsidRPr="004F195C" w:rsidTr="00284ACF">
        <w:trPr>
          <w:trHeight w:val="300"/>
        </w:trPr>
        <w:tc>
          <w:tcPr>
            <w:tcW w:w="1260" w:type="dxa"/>
            <w:vMerge w:val="restart"/>
            <w:tcBorders>
              <w:top w:val="single" w:sz="8" w:space="0" w:color="auto"/>
              <w:left w:val="nil"/>
              <w:bottom w:val="single" w:sz="4" w:space="0" w:color="auto"/>
              <w:right w:val="nil"/>
            </w:tcBorders>
            <w:shd w:val="clear" w:color="auto" w:fill="auto"/>
            <w:noWrap/>
            <w:vAlign w:val="center"/>
            <w:hideMark/>
          </w:tcPr>
          <w:p w:rsidR="004F195C" w:rsidRPr="004F195C" w:rsidRDefault="004F195C" w:rsidP="004F195C">
            <w:pPr>
              <w:rPr>
                <w:color w:val="000000"/>
                <w:sz w:val="20"/>
                <w:szCs w:val="20"/>
                <w:lang w:eastAsia="zh-CN"/>
              </w:rPr>
            </w:pPr>
          </w:p>
        </w:tc>
        <w:tc>
          <w:tcPr>
            <w:tcW w:w="2610" w:type="dxa"/>
            <w:gridSpan w:val="2"/>
            <w:tcBorders>
              <w:top w:val="single" w:sz="8" w:space="0" w:color="auto"/>
              <w:left w:val="nil"/>
              <w:bottom w:val="single" w:sz="4" w:space="0" w:color="auto"/>
              <w:right w:val="nil"/>
            </w:tcBorders>
            <w:shd w:val="clear" w:color="auto" w:fill="auto"/>
            <w:noWrap/>
            <w:vAlign w:val="center"/>
            <w:hideMark/>
          </w:tcPr>
          <w:p w:rsidR="004F195C" w:rsidRPr="004F195C" w:rsidRDefault="004F195C" w:rsidP="004F195C">
            <w:pPr>
              <w:jc w:val="center"/>
              <w:rPr>
                <w:color w:val="000000"/>
                <w:sz w:val="20"/>
                <w:szCs w:val="20"/>
                <w:lang w:eastAsia="zh-CN"/>
              </w:rPr>
            </w:pPr>
            <w:r w:rsidRPr="004F195C">
              <w:rPr>
                <w:color w:val="000000"/>
                <w:sz w:val="20"/>
                <w:szCs w:val="20"/>
                <w:lang w:eastAsia="zh-CN"/>
              </w:rPr>
              <w:t>Overall Cancer Cases vs. Controls</w:t>
            </w:r>
          </w:p>
        </w:tc>
        <w:tc>
          <w:tcPr>
            <w:tcW w:w="2520" w:type="dxa"/>
            <w:gridSpan w:val="2"/>
            <w:tcBorders>
              <w:top w:val="single" w:sz="8" w:space="0" w:color="auto"/>
              <w:left w:val="nil"/>
              <w:bottom w:val="single" w:sz="4" w:space="0" w:color="auto"/>
              <w:right w:val="nil"/>
            </w:tcBorders>
            <w:shd w:val="clear" w:color="auto" w:fill="auto"/>
            <w:noWrap/>
            <w:vAlign w:val="center"/>
            <w:hideMark/>
          </w:tcPr>
          <w:p w:rsidR="004F195C" w:rsidRPr="004F195C" w:rsidRDefault="004F195C" w:rsidP="004F195C">
            <w:pPr>
              <w:jc w:val="center"/>
              <w:rPr>
                <w:color w:val="000000"/>
                <w:sz w:val="20"/>
                <w:szCs w:val="20"/>
                <w:lang w:eastAsia="zh-CN"/>
              </w:rPr>
            </w:pPr>
            <w:r w:rsidRPr="004F195C">
              <w:rPr>
                <w:color w:val="000000"/>
                <w:sz w:val="20"/>
                <w:szCs w:val="20"/>
                <w:lang w:eastAsia="zh-CN"/>
              </w:rPr>
              <w:t>Breast Cancer Cases vs. Control</w:t>
            </w:r>
          </w:p>
        </w:tc>
        <w:tc>
          <w:tcPr>
            <w:tcW w:w="2520" w:type="dxa"/>
            <w:gridSpan w:val="2"/>
            <w:tcBorders>
              <w:top w:val="single" w:sz="8" w:space="0" w:color="auto"/>
              <w:left w:val="nil"/>
              <w:bottom w:val="single" w:sz="4" w:space="0" w:color="auto"/>
              <w:right w:val="nil"/>
            </w:tcBorders>
            <w:shd w:val="clear" w:color="auto" w:fill="auto"/>
            <w:noWrap/>
            <w:vAlign w:val="center"/>
            <w:hideMark/>
          </w:tcPr>
          <w:p w:rsidR="004F195C" w:rsidRPr="004F195C" w:rsidRDefault="004F195C" w:rsidP="004F195C">
            <w:pPr>
              <w:jc w:val="center"/>
              <w:rPr>
                <w:color w:val="000000"/>
                <w:sz w:val="20"/>
                <w:szCs w:val="20"/>
                <w:lang w:eastAsia="zh-CN"/>
              </w:rPr>
            </w:pPr>
            <w:r w:rsidRPr="004F195C">
              <w:rPr>
                <w:color w:val="000000"/>
                <w:sz w:val="20"/>
                <w:szCs w:val="20"/>
                <w:lang w:eastAsia="zh-CN"/>
              </w:rPr>
              <w:t>Prostate Cancer Cases vs. Controls</w:t>
            </w:r>
          </w:p>
        </w:tc>
      </w:tr>
      <w:tr w:rsidR="004F195C" w:rsidRPr="004F195C" w:rsidTr="004F195C">
        <w:trPr>
          <w:trHeight w:val="315"/>
        </w:trPr>
        <w:tc>
          <w:tcPr>
            <w:tcW w:w="1260" w:type="dxa"/>
            <w:vMerge/>
            <w:tcBorders>
              <w:top w:val="single" w:sz="4" w:space="0" w:color="auto"/>
              <w:left w:val="nil"/>
              <w:right w:val="nil"/>
            </w:tcBorders>
            <w:vAlign w:val="center"/>
            <w:hideMark/>
          </w:tcPr>
          <w:p w:rsidR="004F195C" w:rsidRPr="004F195C" w:rsidRDefault="004F195C" w:rsidP="004F195C">
            <w:pPr>
              <w:rPr>
                <w:color w:val="000000"/>
                <w:sz w:val="20"/>
                <w:szCs w:val="20"/>
                <w:lang w:eastAsia="zh-CN"/>
              </w:rPr>
            </w:pPr>
          </w:p>
        </w:tc>
        <w:tc>
          <w:tcPr>
            <w:tcW w:w="2610" w:type="dxa"/>
            <w:gridSpan w:val="2"/>
            <w:tcBorders>
              <w:top w:val="single" w:sz="4" w:space="0" w:color="auto"/>
              <w:left w:val="nil"/>
              <w:right w:val="nil"/>
            </w:tcBorders>
            <w:shd w:val="clear" w:color="auto" w:fill="auto"/>
            <w:noWrap/>
            <w:vAlign w:val="center"/>
            <w:hideMark/>
          </w:tcPr>
          <w:p w:rsidR="004F195C" w:rsidRPr="004F195C" w:rsidRDefault="004F195C" w:rsidP="004F195C">
            <w:pPr>
              <w:jc w:val="center"/>
              <w:rPr>
                <w:color w:val="000000"/>
                <w:sz w:val="20"/>
                <w:szCs w:val="20"/>
                <w:lang w:eastAsia="zh-CN"/>
              </w:rPr>
            </w:pPr>
            <w:r w:rsidRPr="004F195C">
              <w:rPr>
                <w:color w:val="000000"/>
                <w:sz w:val="20"/>
                <w:szCs w:val="20"/>
                <w:lang w:eastAsia="zh-CN"/>
              </w:rPr>
              <w:t xml:space="preserve">(74 vs. 90) </w:t>
            </w:r>
          </w:p>
        </w:tc>
        <w:tc>
          <w:tcPr>
            <w:tcW w:w="2520" w:type="dxa"/>
            <w:gridSpan w:val="2"/>
            <w:tcBorders>
              <w:top w:val="single" w:sz="4" w:space="0" w:color="auto"/>
              <w:left w:val="nil"/>
              <w:right w:val="nil"/>
            </w:tcBorders>
            <w:shd w:val="clear" w:color="auto" w:fill="auto"/>
            <w:noWrap/>
            <w:vAlign w:val="center"/>
            <w:hideMark/>
          </w:tcPr>
          <w:p w:rsidR="004F195C" w:rsidRPr="004F195C" w:rsidRDefault="004F195C" w:rsidP="004F195C">
            <w:pPr>
              <w:jc w:val="center"/>
              <w:rPr>
                <w:color w:val="000000"/>
                <w:sz w:val="20"/>
                <w:szCs w:val="20"/>
                <w:lang w:eastAsia="zh-CN"/>
              </w:rPr>
            </w:pPr>
            <w:r w:rsidRPr="004F195C">
              <w:rPr>
                <w:color w:val="000000"/>
                <w:sz w:val="20"/>
                <w:szCs w:val="20"/>
                <w:lang w:eastAsia="zh-CN"/>
              </w:rPr>
              <w:t>(41 vs. 70)</w:t>
            </w:r>
          </w:p>
        </w:tc>
        <w:tc>
          <w:tcPr>
            <w:tcW w:w="2520" w:type="dxa"/>
            <w:gridSpan w:val="2"/>
            <w:tcBorders>
              <w:top w:val="single" w:sz="4" w:space="0" w:color="auto"/>
              <w:left w:val="nil"/>
              <w:right w:val="nil"/>
            </w:tcBorders>
            <w:shd w:val="clear" w:color="auto" w:fill="auto"/>
            <w:noWrap/>
            <w:vAlign w:val="center"/>
            <w:hideMark/>
          </w:tcPr>
          <w:p w:rsidR="004F195C" w:rsidRPr="004F195C" w:rsidRDefault="004F195C" w:rsidP="004F195C">
            <w:pPr>
              <w:jc w:val="center"/>
              <w:rPr>
                <w:color w:val="000000"/>
                <w:sz w:val="20"/>
                <w:szCs w:val="20"/>
                <w:lang w:eastAsia="zh-CN"/>
              </w:rPr>
            </w:pPr>
            <w:r w:rsidRPr="004F195C">
              <w:rPr>
                <w:color w:val="000000"/>
                <w:sz w:val="20"/>
                <w:szCs w:val="20"/>
                <w:lang w:eastAsia="zh-CN"/>
              </w:rPr>
              <w:t>(26 vs. 20)</w:t>
            </w:r>
          </w:p>
        </w:tc>
      </w:tr>
      <w:tr w:rsidR="004F195C" w:rsidRPr="004F195C" w:rsidTr="004F195C">
        <w:trPr>
          <w:trHeight w:val="330"/>
        </w:trPr>
        <w:tc>
          <w:tcPr>
            <w:tcW w:w="1260" w:type="dxa"/>
            <w:tcBorders>
              <w:left w:val="nil"/>
              <w:bottom w:val="single" w:sz="4" w:space="0" w:color="auto"/>
              <w:right w:val="nil"/>
            </w:tcBorders>
            <w:shd w:val="clear" w:color="auto" w:fill="auto"/>
            <w:noWrap/>
            <w:vAlign w:val="center"/>
            <w:hideMark/>
          </w:tcPr>
          <w:p w:rsidR="004F195C" w:rsidRPr="004F195C" w:rsidRDefault="004F195C" w:rsidP="004F195C">
            <w:pPr>
              <w:rPr>
                <w:color w:val="000000"/>
                <w:sz w:val="20"/>
                <w:szCs w:val="20"/>
                <w:lang w:eastAsia="zh-CN"/>
              </w:rPr>
            </w:pPr>
            <w:r w:rsidRPr="004F195C">
              <w:rPr>
                <w:color w:val="000000"/>
                <w:sz w:val="20"/>
                <w:szCs w:val="20"/>
                <w:lang w:eastAsia="zh-CN"/>
              </w:rPr>
              <w:t>ID</w:t>
            </w:r>
          </w:p>
        </w:tc>
        <w:tc>
          <w:tcPr>
            <w:tcW w:w="1710" w:type="dxa"/>
            <w:tcBorders>
              <w:left w:val="nil"/>
              <w:bottom w:val="single" w:sz="4" w:space="0" w:color="auto"/>
              <w:right w:val="nil"/>
            </w:tcBorders>
            <w:shd w:val="clear" w:color="auto" w:fill="auto"/>
            <w:noWrap/>
            <w:vAlign w:val="center"/>
            <w:hideMark/>
          </w:tcPr>
          <w:p w:rsidR="004F195C" w:rsidRPr="004F195C" w:rsidRDefault="004F195C" w:rsidP="004F195C">
            <w:pPr>
              <w:jc w:val="center"/>
              <w:rPr>
                <w:color w:val="000000"/>
                <w:sz w:val="20"/>
                <w:szCs w:val="20"/>
                <w:lang w:eastAsia="zh-CN"/>
              </w:rPr>
            </w:pPr>
            <w:r w:rsidRPr="004F195C">
              <w:rPr>
                <w:color w:val="000000"/>
                <w:sz w:val="20"/>
                <w:szCs w:val="20"/>
                <w:lang w:eastAsia="zh-CN"/>
              </w:rPr>
              <w:t>Fold change</w:t>
            </w:r>
          </w:p>
        </w:tc>
        <w:tc>
          <w:tcPr>
            <w:tcW w:w="900" w:type="dxa"/>
            <w:tcBorders>
              <w:left w:val="nil"/>
              <w:bottom w:val="single" w:sz="4" w:space="0" w:color="auto"/>
              <w:right w:val="nil"/>
            </w:tcBorders>
            <w:shd w:val="clear" w:color="auto" w:fill="auto"/>
            <w:noWrap/>
            <w:vAlign w:val="center"/>
            <w:hideMark/>
          </w:tcPr>
          <w:p w:rsidR="004F195C" w:rsidRPr="004F195C" w:rsidRDefault="004F195C" w:rsidP="004F195C">
            <w:pPr>
              <w:jc w:val="center"/>
              <w:rPr>
                <w:color w:val="000000"/>
                <w:sz w:val="20"/>
                <w:szCs w:val="20"/>
                <w:lang w:eastAsia="zh-CN"/>
              </w:rPr>
            </w:pPr>
            <w:r>
              <w:rPr>
                <w:color w:val="000000"/>
                <w:sz w:val="20"/>
                <w:szCs w:val="20"/>
                <w:lang w:eastAsia="zh-CN"/>
              </w:rPr>
              <w:t>CV</w:t>
            </w:r>
          </w:p>
        </w:tc>
        <w:tc>
          <w:tcPr>
            <w:tcW w:w="1620" w:type="dxa"/>
            <w:tcBorders>
              <w:left w:val="nil"/>
              <w:bottom w:val="single" w:sz="4" w:space="0" w:color="auto"/>
              <w:right w:val="nil"/>
            </w:tcBorders>
            <w:shd w:val="clear" w:color="auto" w:fill="auto"/>
            <w:noWrap/>
            <w:vAlign w:val="center"/>
            <w:hideMark/>
          </w:tcPr>
          <w:p w:rsidR="004F195C" w:rsidRPr="004F195C" w:rsidRDefault="004F195C" w:rsidP="004F195C">
            <w:pPr>
              <w:jc w:val="center"/>
              <w:rPr>
                <w:color w:val="000000"/>
                <w:sz w:val="20"/>
                <w:szCs w:val="20"/>
                <w:lang w:eastAsia="zh-CN"/>
              </w:rPr>
            </w:pPr>
            <w:r w:rsidRPr="004F195C">
              <w:rPr>
                <w:color w:val="000000"/>
                <w:sz w:val="20"/>
                <w:szCs w:val="20"/>
                <w:lang w:eastAsia="zh-CN"/>
              </w:rPr>
              <w:t>Fold change</w:t>
            </w:r>
          </w:p>
        </w:tc>
        <w:tc>
          <w:tcPr>
            <w:tcW w:w="900" w:type="dxa"/>
            <w:tcBorders>
              <w:left w:val="nil"/>
              <w:bottom w:val="single" w:sz="4" w:space="0" w:color="auto"/>
              <w:right w:val="nil"/>
            </w:tcBorders>
            <w:shd w:val="clear" w:color="auto" w:fill="auto"/>
            <w:noWrap/>
            <w:vAlign w:val="center"/>
            <w:hideMark/>
          </w:tcPr>
          <w:p w:rsidR="004F195C" w:rsidRPr="004F195C" w:rsidRDefault="004F195C" w:rsidP="004F195C">
            <w:pPr>
              <w:jc w:val="center"/>
              <w:rPr>
                <w:color w:val="000000"/>
                <w:sz w:val="20"/>
                <w:szCs w:val="20"/>
                <w:lang w:eastAsia="zh-CN"/>
              </w:rPr>
            </w:pPr>
            <w:r>
              <w:rPr>
                <w:color w:val="000000"/>
                <w:sz w:val="20"/>
                <w:szCs w:val="20"/>
                <w:lang w:eastAsia="zh-CN"/>
              </w:rPr>
              <w:t>CV</w:t>
            </w:r>
          </w:p>
        </w:tc>
        <w:tc>
          <w:tcPr>
            <w:tcW w:w="1710" w:type="dxa"/>
            <w:tcBorders>
              <w:left w:val="nil"/>
              <w:bottom w:val="single" w:sz="4" w:space="0" w:color="auto"/>
              <w:right w:val="nil"/>
            </w:tcBorders>
            <w:shd w:val="clear" w:color="auto" w:fill="auto"/>
            <w:noWrap/>
            <w:vAlign w:val="center"/>
            <w:hideMark/>
          </w:tcPr>
          <w:p w:rsidR="004F195C" w:rsidRPr="004F195C" w:rsidRDefault="004F195C" w:rsidP="004F195C">
            <w:pPr>
              <w:jc w:val="center"/>
              <w:rPr>
                <w:color w:val="000000"/>
                <w:sz w:val="20"/>
                <w:szCs w:val="20"/>
                <w:lang w:eastAsia="zh-CN"/>
              </w:rPr>
            </w:pPr>
            <w:r w:rsidRPr="004F195C">
              <w:rPr>
                <w:color w:val="000000"/>
                <w:sz w:val="20"/>
                <w:szCs w:val="20"/>
                <w:lang w:eastAsia="zh-CN"/>
              </w:rPr>
              <w:t>Fold change</w:t>
            </w:r>
          </w:p>
        </w:tc>
        <w:tc>
          <w:tcPr>
            <w:tcW w:w="810" w:type="dxa"/>
            <w:tcBorders>
              <w:left w:val="nil"/>
              <w:bottom w:val="single" w:sz="4" w:space="0" w:color="auto"/>
              <w:right w:val="nil"/>
            </w:tcBorders>
            <w:shd w:val="clear" w:color="auto" w:fill="auto"/>
            <w:noWrap/>
            <w:vAlign w:val="center"/>
            <w:hideMark/>
          </w:tcPr>
          <w:p w:rsidR="004F195C" w:rsidRPr="004F195C" w:rsidRDefault="004F195C" w:rsidP="004F195C">
            <w:pPr>
              <w:jc w:val="center"/>
              <w:rPr>
                <w:color w:val="000000"/>
                <w:sz w:val="20"/>
                <w:szCs w:val="20"/>
                <w:lang w:eastAsia="zh-CN"/>
              </w:rPr>
            </w:pPr>
            <w:r>
              <w:rPr>
                <w:color w:val="000000"/>
                <w:sz w:val="20"/>
                <w:szCs w:val="20"/>
                <w:lang w:eastAsia="zh-CN"/>
              </w:rPr>
              <w:t>CV</w:t>
            </w:r>
          </w:p>
        </w:tc>
      </w:tr>
      <w:tr w:rsidR="004F195C" w:rsidRPr="004F195C" w:rsidTr="004F195C">
        <w:trPr>
          <w:trHeight w:val="315"/>
        </w:trPr>
        <w:tc>
          <w:tcPr>
            <w:tcW w:w="1260" w:type="dxa"/>
            <w:tcBorders>
              <w:top w:val="single" w:sz="4" w:space="0" w:color="auto"/>
              <w:left w:val="nil"/>
              <w:bottom w:val="nil"/>
              <w:right w:val="nil"/>
            </w:tcBorders>
            <w:shd w:val="clear" w:color="auto" w:fill="auto"/>
            <w:noWrap/>
            <w:vAlign w:val="center"/>
            <w:hideMark/>
          </w:tcPr>
          <w:p w:rsidR="004F195C" w:rsidRPr="004F195C" w:rsidRDefault="00423BF7" w:rsidP="004F195C">
            <w:pPr>
              <w:rPr>
                <w:iCs/>
                <w:color w:val="000000"/>
                <w:sz w:val="20"/>
                <w:szCs w:val="20"/>
                <w:lang w:eastAsia="zh-CN"/>
              </w:rPr>
            </w:pPr>
            <w:r>
              <w:rPr>
                <w:iCs/>
                <w:color w:val="000000"/>
                <w:sz w:val="20"/>
                <w:szCs w:val="20"/>
                <w:lang w:eastAsia="zh-CN"/>
              </w:rPr>
              <w:t>miR-346</w:t>
            </w:r>
          </w:p>
        </w:tc>
        <w:tc>
          <w:tcPr>
            <w:tcW w:w="1710" w:type="dxa"/>
            <w:tcBorders>
              <w:top w:val="single" w:sz="4" w:space="0" w:color="auto"/>
              <w:left w:val="nil"/>
              <w:bottom w:val="nil"/>
              <w:right w:val="nil"/>
            </w:tcBorders>
            <w:shd w:val="clear" w:color="auto" w:fill="auto"/>
            <w:noWrap/>
            <w:vAlign w:val="center"/>
            <w:hideMark/>
          </w:tcPr>
          <w:p w:rsidR="004F195C" w:rsidRPr="00C03388" w:rsidRDefault="004F195C" w:rsidP="003F3482">
            <w:pPr>
              <w:jc w:val="center"/>
              <w:rPr>
                <w:color w:val="000000"/>
                <w:sz w:val="20"/>
                <w:szCs w:val="20"/>
                <w:lang w:eastAsia="zh-CN"/>
              </w:rPr>
            </w:pPr>
            <w:r w:rsidRPr="00C03388">
              <w:rPr>
                <w:color w:val="000000"/>
                <w:sz w:val="20"/>
                <w:szCs w:val="20"/>
                <w:lang w:eastAsia="zh-CN"/>
              </w:rPr>
              <w:t>-</w:t>
            </w:r>
            <w:r w:rsidR="003F3482" w:rsidRPr="00C03388">
              <w:rPr>
                <w:color w:val="000000"/>
                <w:sz w:val="20"/>
                <w:szCs w:val="20"/>
                <w:lang w:eastAsia="zh-CN"/>
              </w:rPr>
              <w:t>1.254</w:t>
            </w:r>
          </w:p>
        </w:tc>
        <w:tc>
          <w:tcPr>
            <w:tcW w:w="900" w:type="dxa"/>
            <w:tcBorders>
              <w:top w:val="single" w:sz="4" w:space="0" w:color="auto"/>
              <w:left w:val="nil"/>
              <w:bottom w:val="nil"/>
              <w:right w:val="nil"/>
            </w:tcBorders>
            <w:shd w:val="clear" w:color="auto" w:fill="auto"/>
            <w:noWrap/>
            <w:vAlign w:val="center"/>
            <w:hideMark/>
          </w:tcPr>
          <w:p w:rsidR="004F195C" w:rsidRPr="00C03388" w:rsidRDefault="004F195C" w:rsidP="003F3482">
            <w:pPr>
              <w:jc w:val="center"/>
              <w:rPr>
                <w:color w:val="000000"/>
                <w:sz w:val="20"/>
                <w:szCs w:val="20"/>
                <w:lang w:eastAsia="zh-CN"/>
              </w:rPr>
            </w:pPr>
            <w:r w:rsidRPr="00C03388">
              <w:rPr>
                <w:color w:val="000000"/>
                <w:sz w:val="20"/>
                <w:szCs w:val="20"/>
                <w:lang w:eastAsia="zh-CN"/>
              </w:rPr>
              <w:t>0.0</w:t>
            </w:r>
            <w:r w:rsidR="003F3482" w:rsidRPr="00C03388">
              <w:rPr>
                <w:color w:val="000000"/>
                <w:sz w:val="20"/>
                <w:szCs w:val="20"/>
                <w:lang w:eastAsia="zh-CN"/>
              </w:rPr>
              <w:t>55</w:t>
            </w:r>
          </w:p>
        </w:tc>
        <w:tc>
          <w:tcPr>
            <w:tcW w:w="1620" w:type="dxa"/>
            <w:tcBorders>
              <w:top w:val="single" w:sz="4" w:space="0" w:color="auto"/>
              <w:left w:val="nil"/>
              <w:bottom w:val="nil"/>
              <w:right w:val="nil"/>
            </w:tcBorders>
            <w:shd w:val="clear" w:color="auto" w:fill="auto"/>
            <w:noWrap/>
            <w:vAlign w:val="center"/>
            <w:hideMark/>
          </w:tcPr>
          <w:p w:rsidR="004F195C" w:rsidRPr="00C03388" w:rsidRDefault="004F195C" w:rsidP="003F3482">
            <w:pPr>
              <w:jc w:val="center"/>
              <w:rPr>
                <w:color w:val="000000"/>
                <w:sz w:val="20"/>
                <w:szCs w:val="20"/>
                <w:lang w:eastAsia="zh-CN"/>
              </w:rPr>
            </w:pPr>
            <w:r w:rsidRPr="00C03388">
              <w:rPr>
                <w:color w:val="000000"/>
                <w:sz w:val="20"/>
                <w:szCs w:val="20"/>
                <w:lang w:eastAsia="zh-CN"/>
              </w:rPr>
              <w:t>-</w:t>
            </w:r>
            <w:r w:rsidR="003F3482" w:rsidRPr="00C03388">
              <w:rPr>
                <w:color w:val="000000"/>
                <w:sz w:val="20"/>
                <w:szCs w:val="20"/>
                <w:lang w:eastAsia="zh-CN"/>
              </w:rPr>
              <w:t>1.109</w:t>
            </w:r>
          </w:p>
        </w:tc>
        <w:tc>
          <w:tcPr>
            <w:tcW w:w="900" w:type="dxa"/>
            <w:tcBorders>
              <w:top w:val="single" w:sz="4" w:space="0" w:color="auto"/>
              <w:left w:val="nil"/>
              <w:bottom w:val="nil"/>
              <w:right w:val="nil"/>
            </w:tcBorders>
            <w:shd w:val="clear" w:color="auto" w:fill="auto"/>
            <w:noWrap/>
            <w:vAlign w:val="center"/>
            <w:hideMark/>
          </w:tcPr>
          <w:p w:rsidR="004F195C" w:rsidRPr="00C03388" w:rsidRDefault="004F195C" w:rsidP="003F3482">
            <w:pPr>
              <w:jc w:val="center"/>
              <w:rPr>
                <w:color w:val="000000"/>
                <w:sz w:val="20"/>
                <w:szCs w:val="20"/>
                <w:lang w:eastAsia="zh-CN"/>
              </w:rPr>
            </w:pPr>
            <w:r w:rsidRPr="00C03388">
              <w:rPr>
                <w:color w:val="000000"/>
                <w:sz w:val="20"/>
                <w:szCs w:val="20"/>
                <w:lang w:eastAsia="zh-CN"/>
              </w:rPr>
              <w:t>0.0</w:t>
            </w:r>
            <w:r w:rsidR="003F3482" w:rsidRPr="00C03388">
              <w:rPr>
                <w:color w:val="000000"/>
                <w:sz w:val="20"/>
                <w:szCs w:val="20"/>
                <w:lang w:eastAsia="zh-CN"/>
              </w:rPr>
              <w:t>54</w:t>
            </w:r>
          </w:p>
        </w:tc>
        <w:tc>
          <w:tcPr>
            <w:tcW w:w="1710" w:type="dxa"/>
            <w:tcBorders>
              <w:top w:val="single" w:sz="4" w:space="0" w:color="auto"/>
              <w:left w:val="nil"/>
              <w:bottom w:val="nil"/>
              <w:right w:val="nil"/>
            </w:tcBorders>
            <w:shd w:val="clear" w:color="auto" w:fill="auto"/>
            <w:noWrap/>
            <w:vAlign w:val="center"/>
            <w:hideMark/>
          </w:tcPr>
          <w:p w:rsidR="004F195C" w:rsidRPr="00C03388" w:rsidRDefault="004F195C" w:rsidP="003F3482">
            <w:pPr>
              <w:jc w:val="center"/>
              <w:rPr>
                <w:color w:val="000000"/>
                <w:sz w:val="20"/>
                <w:szCs w:val="20"/>
                <w:lang w:eastAsia="zh-CN"/>
              </w:rPr>
            </w:pPr>
            <w:r w:rsidRPr="00C03388">
              <w:rPr>
                <w:color w:val="000000"/>
                <w:sz w:val="20"/>
                <w:szCs w:val="20"/>
                <w:lang w:eastAsia="zh-CN"/>
              </w:rPr>
              <w:t>-</w:t>
            </w:r>
            <w:r w:rsidR="003F3482" w:rsidRPr="00C03388">
              <w:rPr>
                <w:color w:val="000000"/>
                <w:sz w:val="20"/>
                <w:szCs w:val="20"/>
                <w:lang w:eastAsia="zh-CN"/>
              </w:rPr>
              <w:t>1.911</w:t>
            </w:r>
          </w:p>
        </w:tc>
        <w:tc>
          <w:tcPr>
            <w:tcW w:w="810" w:type="dxa"/>
            <w:tcBorders>
              <w:top w:val="single" w:sz="4" w:space="0" w:color="auto"/>
              <w:left w:val="nil"/>
              <w:bottom w:val="nil"/>
              <w:right w:val="nil"/>
            </w:tcBorders>
            <w:shd w:val="clear" w:color="auto" w:fill="auto"/>
            <w:noWrap/>
            <w:vAlign w:val="center"/>
            <w:hideMark/>
          </w:tcPr>
          <w:p w:rsidR="004F195C" w:rsidRPr="00C03388" w:rsidRDefault="004F195C" w:rsidP="003F3482">
            <w:pPr>
              <w:jc w:val="center"/>
              <w:rPr>
                <w:color w:val="000000"/>
                <w:sz w:val="20"/>
                <w:szCs w:val="20"/>
                <w:lang w:eastAsia="zh-CN"/>
              </w:rPr>
            </w:pPr>
            <w:r w:rsidRPr="00C03388">
              <w:rPr>
                <w:color w:val="000000"/>
                <w:sz w:val="20"/>
                <w:szCs w:val="20"/>
                <w:lang w:eastAsia="zh-CN"/>
              </w:rPr>
              <w:t>0.0</w:t>
            </w:r>
            <w:r w:rsidR="003F3482" w:rsidRPr="00C03388">
              <w:rPr>
                <w:color w:val="000000"/>
                <w:sz w:val="20"/>
                <w:szCs w:val="20"/>
                <w:lang w:eastAsia="zh-CN"/>
              </w:rPr>
              <w:t>58</w:t>
            </w:r>
          </w:p>
        </w:tc>
      </w:tr>
      <w:tr w:rsidR="004F195C" w:rsidRPr="004F195C" w:rsidTr="004F195C">
        <w:trPr>
          <w:trHeight w:val="315"/>
        </w:trPr>
        <w:tc>
          <w:tcPr>
            <w:tcW w:w="1260" w:type="dxa"/>
            <w:tcBorders>
              <w:top w:val="nil"/>
              <w:left w:val="nil"/>
              <w:bottom w:val="nil"/>
              <w:right w:val="nil"/>
            </w:tcBorders>
            <w:shd w:val="clear" w:color="auto" w:fill="auto"/>
            <w:noWrap/>
            <w:vAlign w:val="center"/>
            <w:hideMark/>
          </w:tcPr>
          <w:p w:rsidR="004F195C" w:rsidRPr="004F195C" w:rsidRDefault="00423BF7" w:rsidP="004F195C">
            <w:pPr>
              <w:rPr>
                <w:iCs/>
                <w:color w:val="000000"/>
                <w:sz w:val="20"/>
                <w:szCs w:val="20"/>
                <w:lang w:eastAsia="zh-CN"/>
              </w:rPr>
            </w:pPr>
            <w:r>
              <w:rPr>
                <w:iCs/>
                <w:color w:val="000000"/>
                <w:sz w:val="20"/>
                <w:szCs w:val="20"/>
                <w:lang w:eastAsia="zh-CN"/>
              </w:rPr>
              <w:t>miR</w:t>
            </w:r>
            <w:r w:rsidR="004F195C" w:rsidRPr="004F195C">
              <w:rPr>
                <w:iCs/>
                <w:color w:val="000000"/>
                <w:sz w:val="20"/>
                <w:szCs w:val="20"/>
                <w:lang w:eastAsia="zh-CN"/>
              </w:rPr>
              <w:t>-134</w:t>
            </w:r>
          </w:p>
        </w:tc>
        <w:tc>
          <w:tcPr>
            <w:tcW w:w="1710" w:type="dxa"/>
            <w:tcBorders>
              <w:top w:val="nil"/>
              <w:left w:val="nil"/>
              <w:bottom w:val="nil"/>
              <w:right w:val="nil"/>
            </w:tcBorders>
            <w:shd w:val="clear" w:color="auto" w:fill="auto"/>
            <w:noWrap/>
            <w:vAlign w:val="center"/>
            <w:hideMark/>
          </w:tcPr>
          <w:p w:rsidR="004F195C" w:rsidRPr="00C03388" w:rsidRDefault="00284ACF" w:rsidP="004F195C">
            <w:pPr>
              <w:jc w:val="center"/>
              <w:rPr>
                <w:color w:val="000000"/>
                <w:sz w:val="20"/>
                <w:szCs w:val="20"/>
                <w:lang w:eastAsia="zh-CN"/>
              </w:rPr>
            </w:pPr>
            <w:r w:rsidRPr="00C03388">
              <w:rPr>
                <w:color w:val="000000"/>
                <w:sz w:val="20"/>
                <w:szCs w:val="20"/>
                <w:lang w:eastAsia="zh-CN"/>
              </w:rPr>
              <w:t>1.421</w:t>
            </w:r>
          </w:p>
        </w:tc>
        <w:tc>
          <w:tcPr>
            <w:tcW w:w="900" w:type="dxa"/>
            <w:tcBorders>
              <w:top w:val="nil"/>
              <w:left w:val="nil"/>
              <w:bottom w:val="nil"/>
              <w:right w:val="nil"/>
            </w:tcBorders>
            <w:shd w:val="clear" w:color="auto" w:fill="auto"/>
            <w:noWrap/>
            <w:vAlign w:val="center"/>
            <w:hideMark/>
          </w:tcPr>
          <w:p w:rsidR="004F195C" w:rsidRPr="00C03388" w:rsidRDefault="00284ACF" w:rsidP="004F195C">
            <w:pPr>
              <w:jc w:val="center"/>
              <w:rPr>
                <w:color w:val="000000"/>
                <w:sz w:val="20"/>
                <w:szCs w:val="20"/>
                <w:lang w:eastAsia="zh-CN"/>
              </w:rPr>
            </w:pPr>
            <w:r w:rsidRPr="00C03388">
              <w:rPr>
                <w:color w:val="000000"/>
                <w:sz w:val="20"/>
                <w:szCs w:val="20"/>
                <w:lang w:eastAsia="zh-CN"/>
              </w:rPr>
              <w:t>0.079</w:t>
            </w:r>
          </w:p>
        </w:tc>
        <w:tc>
          <w:tcPr>
            <w:tcW w:w="1620" w:type="dxa"/>
            <w:tcBorders>
              <w:top w:val="nil"/>
              <w:left w:val="nil"/>
              <w:bottom w:val="nil"/>
              <w:right w:val="nil"/>
            </w:tcBorders>
            <w:shd w:val="clear" w:color="auto" w:fill="auto"/>
            <w:noWrap/>
            <w:vAlign w:val="center"/>
            <w:hideMark/>
          </w:tcPr>
          <w:p w:rsidR="004F195C" w:rsidRPr="00C03388" w:rsidRDefault="00284ACF" w:rsidP="004F195C">
            <w:pPr>
              <w:jc w:val="center"/>
              <w:rPr>
                <w:color w:val="000000"/>
                <w:sz w:val="20"/>
                <w:szCs w:val="20"/>
                <w:lang w:eastAsia="zh-CN"/>
              </w:rPr>
            </w:pPr>
            <w:r w:rsidRPr="00C03388">
              <w:rPr>
                <w:color w:val="000000"/>
                <w:sz w:val="20"/>
                <w:szCs w:val="20"/>
                <w:lang w:eastAsia="zh-CN"/>
              </w:rPr>
              <w:t>1.516</w:t>
            </w:r>
          </w:p>
        </w:tc>
        <w:tc>
          <w:tcPr>
            <w:tcW w:w="900" w:type="dxa"/>
            <w:tcBorders>
              <w:top w:val="nil"/>
              <w:left w:val="nil"/>
              <w:bottom w:val="nil"/>
              <w:right w:val="nil"/>
            </w:tcBorders>
            <w:shd w:val="clear" w:color="auto" w:fill="auto"/>
            <w:noWrap/>
            <w:vAlign w:val="center"/>
            <w:hideMark/>
          </w:tcPr>
          <w:p w:rsidR="004F195C" w:rsidRPr="00C03388" w:rsidRDefault="004F195C" w:rsidP="00284ACF">
            <w:pPr>
              <w:jc w:val="center"/>
              <w:rPr>
                <w:color w:val="000000"/>
                <w:sz w:val="20"/>
                <w:szCs w:val="20"/>
                <w:lang w:eastAsia="zh-CN"/>
              </w:rPr>
            </w:pPr>
            <w:r w:rsidRPr="00C03388">
              <w:rPr>
                <w:color w:val="000000"/>
                <w:sz w:val="20"/>
                <w:szCs w:val="20"/>
                <w:lang w:eastAsia="zh-CN"/>
              </w:rPr>
              <w:t>0.0</w:t>
            </w:r>
            <w:r w:rsidR="00284ACF" w:rsidRPr="00C03388">
              <w:rPr>
                <w:color w:val="000000"/>
                <w:sz w:val="20"/>
                <w:szCs w:val="20"/>
                <w:lang w:eastAsia="zh-CN"/>
              </w:rPr>
              <w:t>83</w:t>
            </w:r>
          </w:p>
        </w:tc>
        <w:tc>
          <w:tcPr>
            <w:tcW w:w="1710" w:type="dxa"/>
            <w:tcBorders>
              <w:top w:val="nil"/>
              <w:left w:val="nil"/>
              <w:bottom w:val="nil"/>
              <w:right w:val="nil"/>
            </w:tcBorders>
            <w:shd w:val="clear" w:color="auto" w:fill="auto"/>
            <w:noWrap/>
            <w:vAlign w:val="center"/>
            <w:hideMark/>
          </w:tcPr>
          <w:p w:rsidR="004F195C" w:rsidRPr="00C03388" w:rsidRDefault="00284ACF" w:rsidP="004F195C">
            <w:pPr>
              <w:jc w:val="center"/>
              <w:rPr>
                <w:color w:val="000000"/>
                <w:sz w:val="20"/>
                <w:szCs w:val="20"/>
                <w:lang w:eastAsia="zh-CN"/>
              </w:rPr>
            </w:pPr>
            <w:r w:rsidRPr="00C03388">
              <w:rPr>
                <w:color w:val="000000"/>
                <w:sz w:val="20"/>
                <w:szCs w:val="20"/>
                <w:lang w:eastAsia="zh-CN"/>
              </w:rPr>
              <w:t>1.466</w:t>
            </w:r>
          </w:p>
        </w:tc>
        <w:tc>
          <w:tcPr>
            <w:tcW w:w="810" w:type="dxa"/>
            <w:tcBorders>
              <w:top w:val="nil"/>
              <w:left w:val="nil"/>
              <w:bottom w:val="nil"/>
              <w:right w:val="nil"/>
            </w:tcBorders>
            <w:shd w:val="clear" w:color="auto" w:fill="auto"/>
            <w:noWrap/>
            <w:vAlign w:val="center"/>
            <w:hideMark/>
          </w:tcPr>
          <w:p w:rsidR="004F195C" w:rsidRPr="00C03388" w:rsidRDefault="004F195C" w:rsidP="00284ACF">
            <w:pPr>
              <w:jc w:val="center"/>
              <w:rPr>
                <w:color w:val="000000"/>
                <w:sz w:val="20"/>
                <w:szCs w:val="20"/>
                <w:lang w:eastAsia="zh-CN"/>
              </w:rPr>
            </w:pPr>
            <w:r w:rsidRPr="00C03388">
              <w:rPr>
                <w:color w:val="000000"/>
                <w:sz w:val="20"/>
                <w:szCs w:val="20"/>
                <w:lang w:eastAsia="zh-CN"/>
              </w:rPr>
              <w:t>0.0</w:t>
            </w:r>
            <w:r w:rsidR="00284ACF" w:rsidRPr="00C03388">
              <w:rPr>
                <w:color w:val="000000"/>
                <w:sz w:val="20"/>
                <w:szCs w:val="20"/>
                <w:lang w:eastAsia="zh-CN"/>
              </w:rPr>
              <w:t>71</w:t>
            </w:r>
          </w:p>
        </w:tc>
      </w:tr>
      <w:tr w:rsidR="004F195C" w:rsidRPr="004F195C" w:rsidTr="004F195C">
        <w:trPr>
          <w:trHeight w:val="330"/>
        </w:trPr>
        <w:tc>
          <w:tcPr>
            <w:tcW w:w="1260" w:type="dxa"/>
            <w:tcBorders>
              <w:top w:val="nil"/>
              <w:left w:val="nil"/>
              <w:bottom w:val="single" w:sz="8" w:space="0" w:color="auto"/>
              <w:right w:val="nil"/>
            </w:tcBorders>
            <w:shd w:val="clear" w:color="auto" w:fill="auto"/>
            <w:noWrap/>
            <w:vAlign w:val="center"/>
            <w:hideMark/>
          </w:tcPr>
          <w:p w:rsidR="004F195C" w:rsidRPr="004F195C" w:rsidRDefault="00423BF7" w:rsidP="004F195C">
            <w:pPr>
              <w:rPr>
                <w:iCs/>
                <w:color w:val="000000"/>
                <w:sz w:val="20"/>
                <w:szCs w:val="20"/>
                <w:lang w:eastAsia="zh-CN"/>
              </w:rPr>
            </w:pPr>
            <w:r>
              <w:rPr>
                <w:iCs/>
                <w:color w:val="000000"/>
                <w:sz w:val="20"/>
                <w:szCs w:val="20"/>
                <w:lang w:eastAsia="zh-CN"/>
              </w:rPr>
              <w:t>miR-16</w:t>
            </w:r>
          </w:p>
        </w:tc>
        <w:tc>
          <w:tcPr>
            <w:tcW w:w="1710" w:type="dxa"/>
            <w:tcBorders>
              <w:top w:val="nil"/>
              <w:left w:val="nil"/>
              <w:bottom w:val="single" w:sz="8" w:space="0" w:color="auto"/>
              <w:right w:val="nil"/>
            </w:tcBorders>
            <w:shd w:val="clear" w:color="auto" w:fill="auto"/>
            <w:noWrap/>
            <w:vAlign w:val="center"/>
            <w:hideMark/>
          </w:tcPr>
          <w:p w:rsidR="004F195C" w:rsidRPr="00C03388" w:rsidRDefault="00284ACF" w:rsidP="004F195C">
            <w:pPr>
              <w:jc w:val="center"/>
              <w:rPr>
                <w:color w:val="000000"/>
                <w:sz w:val="20"/>
                <w:szCs w:val="20"/>
                <w:lang w:eastAsia="zh-CN"/>
              </w:rPr>
            </w:pPr>
            <w:r w:rsidRPr="00C03388">
              <w:rPr>
                <w:color w:val="000000"/>
                <w:sz w:val="20"/>
                <w:szCs w:val="20"/>
                <w:lang w:eastAsia="zh-CN"/>
              </w:rPr>
              <w:t>-1.479</w:t>
            </w:r>
          </w:p>
        </w:tc>
        <w:tc>
          <w:tcPr>
            <w:tcW w:w="900" w:type="dxa"/>
            <w:tcBorders>
              <w:top w:val="nil"/>
              <w:left w:val="nil"/>
              <w:bottom w:val="single" w:sz="8" w:space="0" w:color="auto"/>
              <w:right w:val="nil"/>
            </w:tcBorders>
            <w:shd w:val="clear" w:color="auto" w:fill="auto"/>
            <w:noWrap/>
            <w:vAlign w:val="center"/>
            <w:hideMark/>
          </w:tcPr>
          <w:p w:rsidR="004F195C" w:rsidRPr="00C03388" w:rsidRDefault="004F195C" w:rsidP="00284ACF">
            <w:pPr>
              <w:jc w:val="center"/>
              <w:rPr>
                <w:color w:val="000000"/>
                <w:sz w:val="20"/>
                <w:szCs w:val="20"/>
                <w:lang w:eastAsia="zh-CN"/>
              </w:rPr>
            </w:pPr>
            <w:r w:rsidRPr="00C03388">
              <w:rPr>
                <w:color w:val="000000"/>
                <w:sz w:val="20"/>
                <w:szCs w:val="20"/>
                <w:lang w:eastAsia="zh-CN"/>
              </w:rPr>
              <w:t>0.0</w:t>
            </w:r>
            <w:r w:rsidR="00284ACF" w:rsidRPr="00C03388">
              <w:rPr>
                <w:color w:val="000000"/>
                <w:sz w:val="20"/>
                <w:szCs w:val="20"/>
                <w:lang w:eastAsia="zh-CN"/>
              </w:rPr>
              <w:t>63</w:t>
            </w:r>
          </w:p>
        </w:tc>
        <w:tc>
          <w:tcPr>
            <w:tcW w:w="1620" w:type="dxa"/>
            <w:tcBorders>
              <w:top w:val="nil"/>
              <w:left w:val="nil"/>
              <w:bottom w:val="single" w:sz="8" w:space="0" w:color="auto"/>
              <w:right w:val="nil"/>
            </w:tcBorders>
            <w:shd w:val="clear" w:color="auto" w:fill="auto"/>
            <w:noWrap/>
            <w:vAlign w:val="center"/>
            <w:hideMark/>
          </w:tcPr>
          <w:p w:rsidR="004F195C" w:rsidRPr="00C03388" w:rsidRDefault="00284ACF" w:rsidP="00284ACF">
            <w:pPr>
              <w:jc w:val="center"/>
              <w:rPr>
                <w:color w:val="000000"/>
                <w:sz w:val="20"/>
                <w:szCs w:val="20"/>
                <w:lang w:eastAsia="zh-CN"/>
              </w:rPr>
            </w:pPr>
            <w:r w:rsidRPr="00C03388">
              <w:rPr>
                <w:color w:val="000000"/>
                <w:sz w:val="20"/>
                <w:szCs w:val="20"/>
                <w:lang w:eastAsia="zh-CN"/>
              </w:rPr>
              <w:t>-</w:t>
            </w:r>
            <w:r w:rsidR="004F195C" w:rsidRPr="00C03388">
              <w:rPr>
                <w:color w:val="000000"/>
                <w:sz w:val="20"/>
                <w:szCs w:val="20"/>
                <w:lang w:eastAsia="zh-CN"/>
              </w:rPr>
              <w:t>1.</w:t>
            </w:r>
            <w:r w:rsidRPr="00C03388">
              <w:rPr>
                <w:color w:val="000000"/>
                <w:sz w:val="20"/>
                <w:szCs w:val="20"/>
                <w:lang w:eastAsia="zh-CN"/>
              </w:rPr>
              <w:t>582</w:t>
            </w:r>
          </w:p>
        </w:tc>
        <w:tc>
          <w:tcPr>
            <w:tcW w:w="900" w:type="dxa"/>
            <w:tcBorders>
              <w:top w:val="nil"/>
              <w:left w:val="nil"/>
              <w:bottom w:val="single" w:sz="8" w:space="0" w:color="auto"/>
              <w:right w:val="nil"/>
            </w:tcBorders>
            <w:shd w:val="clear" w:color="auto" w:fill="auto"/>
            <w:noWrap/>
            <w:vAlign w:val="center"/>
            <w:hideMark/>
          </w:tcPr>
          <w:p w:rsidR="004F195C" w:rsidRPr="00C03388" w:rsidRDefault="004F195C" w:rsidP="00284ACF">
            <w:pPr>
              <w:jc w:val="center"/>
              <w:rPr>
                <w:color w:val="000000"/>
                <w:sz w:val="20"/>
                <w:szCs w:val="20"/>
                <w:lang w:eastAsia="zh-CN"/>
              </w:rPr>
            </w:pPr>
            <w:r w:rsidRPr="00C03388">
              <w:rPr>
                <w:color w:val="000000"/>
                <w:sz w:val="20"/>
                <w:szCs w:val="20"/>
                <w:lang w:eastAsia="zh-CN"/>
              </w:rPr>
              <w:t>0.0</w:t>
            </w:r>
            <w:r w:rsidR="00284ACF" w:rsidRPr="00C03388">
              <w:rPr>
                <w:color w:val="000000"/>
                <w:sz w:val="20"/>
                <w:szCs w:val="20"/>
                <w:lang w:eastAsia="zh-CN"/>
              </w:rPr>
              <w:t>62</w:t>
            </w:r>
          </w:p>
        </w:tc>
        <w:tc>
          <w:tcPr>
            <w:tcW w:w="1710" w:type="dxa"/>
            <w:tcBorders>
              <w:top w:val="nil"/>
              <w:left w:val="nil"/>
              <w:bottom w:val="single" w:sz="8" w:space="0" w:color="auto"/>
              <w:right w:val="nil"/>
            </w:tcBorders>
            <w:shd w:val="clear" w:color="auto" w:fill="auto"/>
            <w:noWrap/>
            <w:vAlign w:val="center"/>
            <w:hideMark/>
          </w:tcPr>
          <w:p w:rsidR="004F195C" w:rsidRPr="00C03388" w:rsidRDefault="00284ACF" w:rsidP="00284ACF">
            <w:pPr>
              <w:jc w:val="center"/>
              <w:rPr>
                <w:color w:val="000000"/>
                <w:sz w:val="20"/>
                <w:szCs w:val="20"/>
                <w:lang w:eastAsia="zh-CN"/>
              </w:rPr>
            </w:pPr>
            <w:r w:rsidRPr="00C03388">
              <w:rPr>
                <w:color w:val="000000"/>
                <w:sz w:val="20"/>
                <w:szCs w:val="20"/>
                <w:lang w:eastAsia="zh-CN"/>
              </w:rPr>
              <w:t>-</w:t>
            </w:r>
            <w:r w:rsidR="004F195C" w:rsidRPr="00C03388">
              <w:rPr>
                <w:color w:val="000000"/>
                <w:sz w:val="20"/>
                <w:szCs w:val="20"/>
                <w:lang w:eastAsia="zh-CN"/>
              </w:rPr>
              <w:t>1.</w:t>
            </w:r>
            <w:r w:rsidRPr="00C03388">
              <w:rPr>
                <w:color w:val="000000"/>
                <w:sz w:val="20"/>
                <w:szCs w:val="20"/>
                <w:lang w:eastAsia="zh-CN"/>
              </w:rPr>
              <w:t>148</w:t>
            </w:r>
          </w:p>
        </w:tc>
        <w:tc>
          <w:tcPr>
            <w:tcW w:w="810" w:type="dxa"/>
            <w:tcBorders>
              <w:top w:val="nil"/>
              <w:left w:val="nil"/>
              <w:bottom w:val="single" w:sz="8" w:space="0" w:color="auto"/>
              <w:right w:val="nil"/>
            </w:tcBorders>
            <w:shd w:val="clear" w:color="auto" w:fill="auto"/>
            <w:noWrap/>
            <w:vAlign w:val="center"/>
            <w:hideMark/>
          </w:tcPr>
          <w:p w:rsidR="004F195C" w:rsidRPr="00C03388" w:rsidRDefault="004F195C" w:rsidP="00284ACF">
            <w:pPr>
              <w:jc w:val="center"/>
              <w:rPr>
                <w:color w:val="000000"/>
                <w:sz w:val="20"/>
                <w:szCs w:val="20"/>
                <w:lang w:eastAsia="zh-CN"/>
              </w:rPr>
            </w:pPr>
            <w:r w:rsidRPr="00C03388">
              <w:rPr>
                <w:color w:val="000000"/>
                <w:sz w:val="20"/>
                <w:szCs w:val="20"/>
                <w:lang w:eastAsia="zh-CN"/>
              </w:rPr>
              <w:t>0.0</w:t>
            </w:r>
            <w:r w:rsidR="00284ACF" w:rsidRPr="00C03388">
              <w:rPr>
                <w:color w:val="000000"/>
                <w:sz w:val="20"/>
                <w:szCs w:val="20"/>
                <w:lang w:eastAsia="zh-CN"/>
              </w:rPr>
              <w:t>62</w:t>
            </w:r>
          </w:p>
        </w:tc>
      </w:tr>
    </w:tbl>
    <w:p w:rsidR="00815FDA" w:rsidRDefault="00815FDA" w:rsidP="00C367BF">
      <w:pPr>
        <w:spacing w:line="480" w:lineRule="auto"/>
      </w:pPr>
    </w:p>
    <w:p w:rsidR="00815FDA" w:rsidRDefault="00815FDA">
      <w:pPr>
        <w:spacing w:after="200" w:line="276" w:lineRule="auto"/>
      </w:pPr>
      <w:r>
        <w:br w:type="page"/>
      </w:r>
    </w:p>
    <w:tbl>
      <w:tblPr>
        <w:tblW w:w="10368" w:type="dxa"/>
        <w:tblInd w:w="-499" w:type="dxa"/>
        <w:tblLook w:val="04A0" w:firstRow="1" w:lastRow="0" w:firstColumn="1" w:lastColumn="0" w:noHBand="0" w:noVBand="1"/>
      </w:tblPr>
      <w:tblGrid>
        <w:gridCol w:w="1998"/>
        <w:gridCol w:w="1980"/>
        <w:gridCol w:w="1980"/>
        <w:gridCol w:w="1980"/>
        <w:gridCol w:w="2430"/>
      </w:tblGrid>
      <w:tr w:rsidR="0097272B" w:rsidRPr="004F195C" w:rsidTr="00284ACF">
        <w:trPr>
          <w:trHeight w:val="321"/>
        </w:trPr>
        <w:tc>
          <w:tcPr>
            <w:tcW w:w="10368" w:type="dxa"/>
            <w:gridSpan w:val="5"/>
            <w:tcBorders>
              <w:top w:val="nil"/>
              <w:left w:val="nil"/>
              <w:bottom w:val="single" w:sz="8" w:space="0" w:color="auto"/>
              <w:right w:val="nil"/>
            </w:tcBorders>
            <w:shd w:val="clear" w:color="auto" w:fill="auto"/>
            <w:noWrap/>
            <w:vAlign w:val="bottom"/>
            <w:hideMark/>
          </w:tcPr>
          <w:p w:rsidR="0097272B" w:rsidRPr="0075339D" w:rsidRDefault="004965ED" w:rsidP="00164B6A">
            <w:pPr>
              <w:rPr>
                <w:color w:val="000000"/>
                <w:szCs w:val="20"/>
                <w:vertAlign w:val="superscript"/>
              </w:rPr>
            </w:pPr>
            <w:r>
              <w:rPr>
                <w:b/>
                <w:color w:val="000000"/>
                <w:szCs w:val="20"/>
              </w:rPr>
              <w:lastRenderedPageBreak/>
              <w:t xml:space="preserve">Supplementary Table </w:t>
            </w:r>
            <w:r w:rsidR="004F195C" w:rsidRPr="004F195C">
              <w:rPr>
                <w:b/>
                <w:color w:val="000000"/>
                <w:szCs w:val="20"/>
              </w:rPr>
              <w:t>2</w:t>
            </w:r>
            <w:r w:rsidR="0097272B" w:rsidRPr="004F195C">
              <w:rPr>
                <w:b/>
                <w:color w:val="000000"/>
                <w:szCs w:val="20"/>
              </w:rPr>
              <w:t>.</w:t>
            </w:r>
            <w:r w:rsidR="00DA20B0">
              <w:rPr>
                <w:color w:val="000000"/>
                <w:szCs w:val="20"/>
              </w:rPr>
              <w:t xml:space="preserve">The </w:t>
            </w:r>
            <w:r w:rsidR="00A76CE1">
              <w:rPr>
                <w:color w:val="000000"/>
                <w:szCs w:val="20"/>
              </w:rPr>
              <w:t xml:space="preserve">effects </w:t>
            </w:r>
            <w:r w:rsidR="00DA20B0">
              <w:rPr>
                <w:color w:val="000000"/>
                <w:szCs w:val="20"/>
              </w:rPr>
              <w:t xml:space="preserve">of selected pre-analytic variables on </w:t>
            </w:r>
            <w:r w:rsidR="00164B6A">
              <w:rPr>
                <w:color w:val="000000"/>
                <w:szCs w:val="20"/>
              </w:rPr>
              <w:t>miR-16</w:t>
            </w:r>
            <w:r w:rsidR="00DA20B0">
              <w:rPr>
                <w:color w:val="000000"/>
                <w:szCs w:val="20"/>
              </w:rPr>
              <w:t xml:space="preserve"> in </w:t>
            </w:r>
            <w:r w:rsidR="00164B6A">
              <w:rPr>
                <w:color w:val="000000"/>
                <w:szCs w:val="20"/>
              </w:rPr>
              <w:t>plasma</w:t>
            </w:r>
            <w:r w:rsidR="00DA20B0">
              <w:rPr>
                <w:color w:val="000000"/>
                <w:szCs w:val="20"/>
              </w:rPr>
              <w:t xml:space="preserve"> samples</w:t>
            </w:r>
            <w:r w:rsidR="0075339D">
              <w:rPr>
                <w:color w:val="000000"/>
                <w:szCs w:val="20"/>
                <w:vertAlign w:val="superscript"/>
              </w:rPr>
              <w:t>*</w:t>
            </w:r>
          </w:p>
        </w:tc>
      </w:tr>
      <w:tr w:rsidR="0097272B" w:rsidRPr="00815FDA" w:rsidTr="00284ACF">
        <w:trPr>
          <w:trHeight w:val="321"/>
        </w:trPr>
        <w:tc>
          <w:tcPr>
            <w:tcW w:w="1998" w:type="dxa"/>
            <w:tcBorders>
              <w:top w:val="single" w:sz="8" w:space="0" w:color="auto"/>
              <w:left w:val="nil"/>
              <w:bottom w:val="nil"/>
              <w:right w:val="nil"/>
            </w:tcBorders>
            <w:shd w:val="clear" w:color="auto" w:fill="auto"/>
            <w:noWrap/>
            <w:vAlign w:val="bottom"/>
            <w:hideMark/>
          </w:tcPr>
          <w:p w:rsidR="0097272B" w:rsidRPr="00815FDA" w:rsidRDefault="0097272B">
            <w:pPr>
              <w:rPr>
                <w:color w:val="000000"/>
                <w:sz w:val="20"/>
                <w:szCs w:val="20"/>
              </w:rPr>
            </w:pPr>
            <w:r w:rsidRPr="00815FDA">
              <w:rPr>
                <w:color w:val="000000"/>
                <w:sz w:val="20"/>
                <w:szCs w:val="20"/>
              </w:rPr>
              <w:t> </w:t>
            </w:r>
          </w:p>
        </w:tc>
        <w:tc>
          <w:tcPr>
            <w:tcW w:w="1980" w:type="dxa"/>
            <w:tcBorders>
              <w:top w:val="single" w:sz="8" w:space="0" w:color="auto"/>
              <w:left w:val="nil"/>
              <w:bottom w:val="single" w:sz="4" w:space="0" w:color="auto"/>
              <w:right w:val="nil"/>
            </w:tcBorders>
            <w:shd w:val="clear" w:color="auto" w:fill="auto"/>
            <w:noWrap/>
            <w:vAlign w:val="bottom"/>
            <w:hideMark/>
          </w:tcPr>
          <w:p w:rsidR="0097272B" w:rsidRPr="00815FDA" w:rsidRDefault="0097272B">
            <w:pPr>
              <w:jc w:val="center"/>
              <w:rPr>
                <w:color w:val="000000"/>
                <w:sz w:val="20"/>
                <w:szCs w:val="20"/>
              </w:rPr>
            </w:pPr>
            <w:r w:rsidRPr="00815FDA">
              <w:rPr>
                <w:color w:val="000000"/>
                <w:sz w:val="20"/>
                <w:szCs w:val="20"/>
              </w:rPr>
              <w:t>Processing Delay Time</w:t>
            </w:r>
          </w:p>
        </w:tc>
        <w:tc>
          <w:tcPr>
            <w:tcW w:w="1980" w:type="dxa"/>
            <w:tcBorders>
              <w:top w:val="single" w:sz="8" w:space="0" w:color="auto"/>
              <w:left w:val="nil"/>
              <w:bottom w:val="single" w:sz="4" w:space="0" w:color="auto"/>
              <w:right w:val="nil"/>
            </w:tcBorders>
            <w:shd w:val="clear" w:color="auto" w:fill="auto"/>
            <w:noWrap/>
            <w:vAlign w:val="bottom"/>
            <w:hideMark/>
          </w:tcPr>
          <w:p w:rsidR="0097272B" w:rsidRPr="00815FDA" w:rsidRDefault="0097272B">
            <w:pPr>
              <w:jc w:val="center"/>
              <w:rPr>
                <w:color w:val="000000"/>
                <w:sz w:val="20"/>
                <w:szCs w:val="20"/>
              </w:rPr>
            </w:pPr>
            <w:r w:rsidRPr="00815FDA">
              <w:rPr>
                <w:color w:val="000000"/>
                <w:sz w:val="20"/>
                <w:szCs w:val="20"/>
              </w:rPr>
              <w:t>Storage Condition</w:t>
            </w:r>
          </w:p>
        </w:tc>
        <w:tc>
          <w:tcPr>
            <w:tcW w:w="1980" w:type="dxa"/>
            <w:tcBorders>
              <w:top w:val="single" w:sz="8" w:space="0" w:color="auto"/>
              <w:left w:val="nil"/>
              <w:bottom w:val="single" w:sz="4" w:space="0" w:color="auto"/>
              <w:right w:val="nil"/>
            </w:tcBorders>
            <w:shd w:val="clear" w:color="auto" w:fill="auto"/>
            <w:noWrap/>
            <w:vAlign w:val="bottom"/>
            <w:hideMark/>
          </w:tcPr>
          <w:p w:rsidR="0097272B" w:rsidRPr="00815FDA" w:rsidRDefault="0097272B">
            <w:pPr>
              <w:jc w:val="center"/>
              <w:rPr>
                <w:color w:val="000000"/>
                <w:sz w:val="20"/>
                <w:szCs w:val="20"/>
              </w:rPr>
            </w:pPr>
            <w:r w:rsidRPr="00815FDA">
              <w:rPr>
                <w:color w:val="000000"/>
                <w:sz w:val="20"/>
                <w:szCs w:val="20"/>
              </w:rPr>
              <w:t>Storage Duration</w:t>
            </w:r>
          </w:p>
        </w:tc>
        <w:tc>
          <w:tcPr>
            <w:tcW w:w="2430" w:type="dxa"/>
            <w:tcBorders>
              <w:top w:val="single" w:sz="8" w:space="0" w:color="auto"/>
              <w:left w:val="nil"/>
              <w:bottom w:val="single" w:sz="4" w:space="0" w:color="auto"/>
              <w:right w:val="nil"/>
            </w:tcBorders>
            <w:shd w:val="clear" w:color="auto" w:fill="auto"/>
            <w:noWrap/>
            <w:vAlign w:val="bottom"/>
            <w:hideMark/>
          </w:tcPr>
          <w:p w:rsidR="0097272B" w:rsidRPr="00815FDA" w:rsidRDefault="0097272B">
            <w:pPr>
              <w:jc w:val="center"/>
              <w:rPr>
                <w:color w:val="000000"/>
                <w:sz w:val="20"/>
                <w:szCs w:val="20"/>
              </w:rPr>
            </w:pPr>
            <w:r w:rsidRPr="00815FDA">
              <w:rPr>
                <w:color w:val="000000"/>
                <w:sz w:val="20"/>
                <w:szCs w:val="20"/>
              </w:rPr>
              <w:t>Freeze-thaw Cycle</w:t>
            </w:r>
          </w:p>
        </w:tc>
      </w:tr>
      <w:tr w:rsidR="00E6298C" w:rsidRPr="00FC3E37" w:rsidTr="002C1A4C">
        <w:trPr>
          <w:trHeight w:val="321"/>
        </w:trPr>
        <w:tc>
          <w:tcPr>
            <w:tcW w:w="1998" w:type="dxa"/>
            <w:tcBorders>
              <w:top w:val="nil"/>
              <w:left w:val="nil"/>
              <w:bottom w:val="nil"/>
              <w:right w:val="nil"/>
            </w:tcBorders>
            <w:shd w:val="clear" w:color="auto" w:fill="auto"/>
            <w:noWrap/>
            <w:vAlign w:val="bottom"/>
            <w:hideMark/>
          </w:tcPr>
          <w:p w:rsidR="00E6298C" w:rsidRPr="00FC3E37" w:rsidRDefault="00E6298C">
            <w:pPr>
              <w:rPr>
                <w:i/>
                <w:color w:val="000000"/>
                <w:sz w:val="20"/>
                <w:szCs w:val="20"/>
              </w:rPr>
            </w:pPr>
          </w:p>
        </w:tc>
        <w:tc>
          <w:tcPr>
            <w:tcW w:w="1980" w:type="dxa"/>
            <w:tcBorders>
              <w:top w:val="nil"/>
              <w:left w:val="nil"/>
              <w:bottom w:val="single" w:sz="4" w:space="0" w:color="auto"/>
              <w:right w:val="nil"/>
            </w:tcBorders>
            <w:shd w:val="clear" w:color="auto" w:fill="auto"/>
            <w:noWrap/>
            <w:vAlign w:val="bottom"/>
            <w:hideMark/>
          </w:tcPr>
          <w:p w:rsidR="00E6298C" w:rsidRPr="00FC3E37" w:rsidRDefault="00E6298C" w:rsidP="009031C9">
            <w:pPr>
              <w:jc w:val="center"/>
              <w:rPr>
                <w:i/>
                <w:color w:val="000000"/>
                <w:sz w:val="20"/>
                <w:szCs w:val="20"/>
              </w:rPr>
            </w:pPr>
            <w:r>
              <w:rPr>
                <w:i/>
                <w:color w:val="000000"/>
                <w:sz w:val="20"/>
                <w:szCs w:val="20"/>
              </w:rPr>
              <w:t>miR16</w:t>
            </w:r>
          </w:p>
        </w:tc>
        <w:tc>
          <w:tcPr>
            <w:tcW w:w="1980" w:type="dxa"/>
            <w:tcBorders>
              <w:top w:val="nil"/>
              <w:left w:val="nil"/>
              <w:bottom w:val="single" w:sz="4" w:space="0" w:color="auto"/>
              <w:right w:val="nil"/>
            </w:tcBorders>
            <w:shd w:val="clear" w:color="auto" w:fill="auto"/>
            <w:noWrap/>
            <w:vAlign w:val="bottom"/>
            <w:hideMark/>
          </w:tcPr>
          <w:p w:rsidR="00E6298C" w:rsidRPr="00FC3E37" w:rsidRDefault="00E6298C" w:rsidP="009031C9">
            <w:pPr>
              <w:jc w:val="center"/>
              <w:rPr>
                <w:i/>
                <w:color w:val="000000"/>
                <w:sz w:val="20"/>
                <w:szCs w:val="20"/>
              </w:rPr>
            </w:pPr>
            <w:r w:rsidRPr="00FC3E37">
              <w:rPr>
                <w:i/>
                <w:color w:val="000000"/>
                <w:sz w:val="20"/>
                <w:szCs w:val="20"/>
              </w:rPr>
              <w:t>miR-</w:t>
            </w:r>
            <w:r>
              <w:rPr>
                <w:i/>
                <w:color w:val="000000"/>
                <w:sz w:val="20"/>
                <w:szCs w:val="20"/>
              </w:rPr>
              <w:t>16</w:t>
            </w:r>
          </w:p>
        </w:tc>
        <w:tc>
          <w:tcPr>
            <w:tcW w:w="1980" w:type="dxa"/>
            <w:tcBorders>
              <w:top w:val="nil"/>
              <w:left w:val="nil"/>
              <w:bottom w:val="single" w:sz="4" w:space="0" w:color="auto"/>
              <w:right w:val="nil"/>
            </w:tcBorders>
            <w:shd w:val="clear" w:color="auto" w:fill="auto"/>
            <w:noWrap/>
            <w:vAlign w:val="bottom"/>
            <w:hideMark/>
          </w:tcPr>
          <w:p w:rsidR="00E6298C" w:rsidRPr="00FC3E37" w:rsidRDefault="00E6298C" w:rsidP="009031C9">
            <w:pPr>
              <w:jc w:val="center"/>
              <w:rPr>
                <w:i/>
                <w:color w:val="000000"/>
                <w:sz w:val="20"/>
                <w:szCs w:val="20"/>
              </w:rPr>
            </w:pPr>
            <w:r w:rsidRPr="00FC3E37">
              <w:rPr>
                <w:i/>
                <w:color w:val="000000"/>
                <w:sz w:val="20"/>
                <w:szCs w:val="20"/>
              </w:rPr>
              <w:t>miR-</w:t>
            </w:r>
            <w:r>
              <w:rPr>
                <w:i/>
                <w:color w:val="000000"/>
                <w:sz w:val="20"/>
                <w:szCs w:val="20"/>
              </w:rPr>
              <w:t>16</w:t>
            </w:r>
          </w:p>
        </w:tc>
        <w:tc>
          <w:tcPr>
            <w:tcW w:w="2430" w:type="dxa"/>
            <w:tcBorders>
              <w:top w:val="nil"/>
              <w:left w:val="nil"/>
              <w:bottom w:val="single" w:sz="4" w:space="0" w:color="auto"/>
              <w:right w:val="nil"/>
            </w:tcBorders>
            <w:shd w:val="clear" w:color="auto" w:fill="auto"/>
            <w:noWrap/>
            <w:vAlign w:val="bottom"/>
            <w:hideMark/>
          </w:tcPr>
          <w:p w:rsidR="00E6298C" w:rsidRPr="00FC3E37" w:rsidRDefault="00E6298C" w:rsidP="009031C9">
            <w:pPr>
              <w:jc w:val="center"/>
              <w:rPr>
                <w:i/>
                <w:color w:val="000000"/>
                <w:sz w:val="20"/>
                <w:szCs w:val="20"/>
              </w:rPr>
            </w:pPr>
            <w:r w:rsidRPr="00FC3E37">
              <w:rPr>
                <w:i/>
                <w:color w:val="000000"/>
                <w:sz w:val="20"/>
                <w:szCs w:val="20"/>
              </w:rPr>
              <w:t>miR-</w:t>
            </w:r>
            <w:r>
              <w:rPr>
                <w:i/>
                <w:color w:val="000000"/>
                <w:sz w:val="20"/>
                <w:szCs w:val="20"/>
              </w:rPr>
              <w:t>16</w:t>
            </w:r>
          </w:p>
        </w:tc>
      </w:tr>
      <w:tr w:rsidR="00E6298C" w:rsidRPr="00815FDA" w:rsidTr="002C1A4C">
        <w:trPr>
          <w:trHeight w:val="321"/>
        </w:trPr>
        <w:tc>
          <w:tcPr>
            <w:tcW w:w="1998" w:type="dxa"/>
            <w:tcBorders>
              <w:top w:val="nil"/>
              <w:left w:val="nil"/>
              <w:bottom w:val="nil"/>
              <w:right w:val="nil"/>
            </w:tcBorders>
            <w:shd w:val="clear" w:color="auto" w:fill="auto"/>
            <w:noWrap/>
            <w:vAlign w:val="bottom"/>
            <w:hideMark/>
          </w:tcPr>
          <w:p w:rsidR="00E6298C" w:rsidRPr="00815FDA" w:rsidRDefault="00E6298C">
            <w:pPr>
              <w:rPr>
                <w:color w:val="000000"/>
                <w:sz w:val="20"/>
                <w:szCs w:val="20"/>
              </w:rPr>
            </w:pPr>
            <w:r w:rsidRPr="00815FDA">
              <w:rPr>
                <w:color w:val="000000"/>
                <w:sz w:val="20"/>
                <w:szCs w:val="20"/>
              </w:rPr>
              <w:t>All study subjects</w:t>
            </w:r>
          </w:p>
        </w:tc>
        <w:tc>
          <w:tcPr>
            <w:tcW w:w="1980" w:type="dxa"/>
            <w:tcBorders>
              <w:top w:val="single" w:sz="4" w:space="0" w:color="auto"/>
              <w:left w:val="nil"/>
              <w:bottom w:val="nil"/>
              <w:right w:val="nil"/>
            </w:tcBorders>
            <w:shd w:val="clear" w:color="auto" w:fill="auto"/>
            <w:noWrap/>
            <w:vAlign w:val="bottom"/>
            <w:hideMark/>
          </w:tcPr>
          <w:p w:rsidR="00E6298C" w:rsidRPr="00815FDA" w:rsidRDefault="00E6298C" w:rsidP="009031C9">
            <w:pPr>
              <w:jc w:val="center"/>
              <w:rPr>
                <w:color w:val="000000"/>
                <w:sz w:val="20"/>
                <w:szCs w:val="20"/>
              </w:rPr>
            </w:pPr>
            <w:r>
              <w:rPr>
                <w:bCs/>
                <w:color w:val="000000"/>
                <w:sz w:val="20"/>
                <w:szCs w:val="20"/>
              </w:rPr>
              <w:t>3.03</w:t>
            </w:r>
            <w:r w:rsidRPr="00815FDA">
              <w:rPr>
                <w:bCs/>
                <w:color w:val="000000"/>
                <w:sz w:val="20"/>
                <w:szCs w:val="20"/>
              </w:rPr>
              <w:t>×10</w:t>
            </w:r>
            <w:r>
              <w:rPr>
                <w:bCs/>
                <w:color w:val="000000"/>
                <w:sz w:val="20"/>
                <w:szCs w:val="20"/>
                <w:vertAlign w:val="superscript"/>
              </w:rPr>
              <w:t>-7</w:t>
            </w:r>
          </w:p>
        </w:tc>
        <w:tc>
          <w:tcPr>
            <w:tcW w:w="1980" w:type="dxa"/>
            <w:tcBorders>
              <w:top w:val="single" w:sz="4" w:space="0" w:color="auto"/>
              <w:left w:val="nil"/>
              <w:bottom w:val="nil"/>
              <w:right w:val="nil"/>
            </w:tcBorders>
            <w:shd w:val="clear" w:color="auto" w:fill="auto"/>
            <w:noWrap/>
            <w:vAlign w:val="bottom"/>
            <w:hideMark/>
          </w:tcPr>
          <w:p w:rsidR="00E6298C" w:rsidRPr="00815FDA" w:rsidRDefault="00E6298C" w:rsidP="009031C9">
            <w:pPr>
              <w:jc w:val="center"/>
              <w:rPr>
                <w:color w:val="000000"/>
                <w:sz w:val="20"/>
                <w:szCs w:val="20"/>
              </w:rPr>
            </w:pPr>
            <w:r w:rsidRPr="00815FDA">
              <w:rPr>
                <w:color w:val="000000"/>
                <w:sz w:val="20"/>
                <w:szCs w:val="20"/>
              </w:rPr>
              <w:t>0.</w:t>
            </w:r>
            <w:r>
              <w:rPr>
                <w:color w:val="000000"/>
                <w:sz w:val="20"/>
                <w:szCs w:val="20"/>
              </w:rPr>
              <w:t>24</w:t>
            </w:r>
          </w:p>
        </w:tc>
        <w:tc>
          <w:tcPr>
            <w:tcW w:w="1980" w:type="dxa"/>
            <w:tcBorders>
              <w:top w:val="single" w:sz="4" w:space="0" w:color="auto"/>
              <w:left w:val="nil"/>
              <w:bottom w:val="nil"/>
              <w:right w:val="nil"/>
            </w:tcBorders>
            <w:shd w:val="clear" w:color="auto" w:fill="auto"/>
            <w:noWrap/>
            <w:vAlign w:val="bottom"/>
            <w:hideMark/>
          </w:tcPr>
          <w:p w:rsidR="00E6298C" w:rsidRPr="00815FDA" w:rsidRDefault="00E6298C" w:rsidP="009031C9">
            <w:pPr>
              <w:jc w:val="center"/>
              <w:rPr>
                <w:color w:val="000000"/>
                <w:sz w:val="20"/>
                <w:szCs w:val="20"/>
              </w:rPr>
            </w:pPr>
            <w:r w:rsidRPr="00815FDA">
              <w:rPr>
                <w:color w:val="000000"/>
                <w:sz w:val="20"/>
                <w:szCs w:val="20"/>
              </w:rPr>
              <w:t>0.</w:t>
            </w:r>
            <w:r>
              <w:rPr>
                <w:color w:val="000000"/>
                <w:sz w:val="20"/>
                <w:szCs w:val="20"/>
              </w:rPr>
              <w:t>49</w:t>
            </w:r>
          </w:p>
        </w:tc>
        <w:tc>
          <w:tcPr>
            <w:tcW w:w="2430" w:type="dxa"/>
            <w:tcBorders>
              <w:top w:val="single" w:sz="4" w:space="0" w:color="auto"/>
              <w:left w:val="nil"/>
              <w:bottom w:val="nil"/>
              <w:right w:val="nil"/>
            </w:tcBorders>
            <w:shd w:val="clear" w:color="auto" w:fill="auto"/>
            <w:noWrap/>
            <w:vAlign w:val="bottom"/>
            <w:hideMark/>
          </w:tcPr>
          <w:p w:rsidR="00E6298C" w:rsidRPr="00815FDA" w:rsidRDefault="00E6298C" w:rsidP="009031C9">
            <w:pPr>
              <w:jc w:val="center"/>
              <w:rPr>
                <w:bCs/>
                <w:color w:val="000000"/>
                <w:sz w:val="20"/>
                <w:szCs w:val="20"/>
                <w:vertAlign w:val="superscript"/>
              </w:rPr>
            </w:pPr>
            <w:r>
              <w:rPr>
                <w:bCs/>
                <w:color w:val="000000"/>
                <w:sz w:val="20"/>
                <w:szCs w:val="20"/>
              </w:rPr>
              <w:t>2.34</w:t>
            </w:r>
            <w:r w:rsidRPr="00815FDA">
              <w:rPr>
                <w:bCs/>
                <w:color w:val="000000"/>
                <w:sz w:val="20"/>
                <w:szCs w:val="20"/>
              </w:rPr>
              <w:t>×10</w:t>
            </w:r>
            <w:r>
              <w:rPr>
                <w:bCs/>
                <w:color w:val="000000"/>
                <w:sz w:val="20"/>
                <w:szCs w:val="20"/>
                <w:vertAlign w:val="superscript"/>
              </w:rPr>
              <w:t>-17</w:t>
            </w:r>
          </w:p>
        </w:tc>
      </w:tr>
      <w:tr w:rsidR="00E6298C" w:rsidRPr="00815FDA" w:rsidTr="002C1A4C">
        <w:trPr>
          <w:trHeight w:val="321"/>
        </w:trPr>
        <w:tc>
          <w:tcPr>
            <w:tcW w:w="1998" w:type="dxa"/>
            <w:tcBorders>
              <w:top w:val="nil"/>
              <w:left w:val="nil"/>
              <w:bottom w:val="nil"/>
              <w:right w:val="nil"/>
            </w:tcBorders>
            <w:shd w:val="clear" w:color="auto" w:fill="auto"/>
            <w:noWrap/>
            <w:vAlign w:val="bottom"/>
            <w:hideMark/>
          </w:tcPr>
          <w:p w:rsidR="00E6298C" w:rsidRPr="00815FDA" w:rsidRDefault="00E6298C">
            <w:pPr>
              <w:rPr>
                <w:color w:val="000000"/>
                <w:sz w:val="20"/>
                <w:szCs w:val="20"/>
              </w:rPr>
            </w:pPr>
            <w:r w:rsidRPr="00815FDA">
              <w:rPr>
                <w:color w:val="000000"/>
                <w:sz w:val="20"/>
                <w:szCs w:val="20"/>
              </w:rPr>
              <w:t>Cancer cases only</w:t>
            </w:r>
          </w:p>
        </w:tc>
        <w:tc>
          <w:tcPr>
            <w:tcW w:w="1980" w:type="dxa"/>
            <w:tcBorders>
              <w:top w:val="nil"/>
              <w:left w:val="nil"/>
              <w:bottom w:val="nil"/>
              <w:right w:val="nil"/>
            </w:tcBorders>
            <w:shd w:val="clear" w:color="auto" w:fill="auto"/>
            <w:noWrap/>
            <w:vAlign w:val="bottom"/>
            <w:hideMark/>
          </w:tcPr>
          <w:p w:rsidR="00E6298C" w:rsidRPr="00815FDA" w:rsidRDefault="00E6298C" w:rsidP="009031C9">
            <w:pPr>
              <w:jc w:val="center"/>
              <w:rPr>
                <w:color w:val="000000"/>
                <w:sz w:val="20"/>
                <w:szCs w:val="20"/>
              </w:rPr>
            </w:pPr>
            <w:r>
              <w:rPr>
                <w:color w:val="000000"/>
                <w:sz w:val="20"/>
                <w:szCs w:val="20"/>
              </w:rPr>
              <w:t>1.10</w:t>
            </w:r>
            <w:r w:rsidRPr="00815FDA">
              <w:rPr>
                <w:bCs/>
                <w:color w:val="000000"/>
                <w:sz w:val="20"/>
                <w:szCs w:val="20"/>
              </w:rPr>
              <w:t>×10</w:t>
            </w:r>
            <w:r>
              <w:rPr>
                <w:bCs/>
                <w:color w:val="000000"/>
                <w:sz w:val="20"/>
                <w:szCs w:val="20"/>
                <w:vertAlign w:val="superscript"/>
              </w:rPr>
              <w:t>-4</w:t>
            </w:r>
          </w:p>
        </w:tc>
        <w:tc>
          <w:tcPr>
            <w:tcW w:w="1980" w:type="dxa"/>
            <w:tcBorders>
              <w:top w:val="nil"/>
              <w:left w:val="nil"/>
              <w:bottom w:val="nil"/>
              <w:right w:val="nil"/>
            </w:tcBorders>
            <w:shd w:val="clear" w:color="auto" w:fill="auto"/>
            <w:noWrap/>
            <w:vAlign w:val="bottom"/>
            <w:hideMark/>
          </w:tcPr>
          <w:p w:rsidR="00E6298C" w:rsidRPr="00815FDA" w:rsidRDefault="00E6298C" w:rsidP="009031C9">
            <w:pPr>
              <w:jc w:val="center"/>
              <w:rPr>
                <w:color w:val="000000"/>
                <w:sz w:val="20"/>
                <w:szCs w:val="20"/>
              </w:rPr>
            </w:pPr>
            <w:r w:rsidRPr="00815FDA">
              <w:rPr>
                <w:color w:val="000000"/>
                <w:sz w:val="20"/>
                <w:szCs w:val="20"/>
              </w:rPr>
              <w:t>0.1</w:t>
            </w:r>
            <w:r>
              <w:rPr>
                <w:color w:val="000000"/>
                <w:sz w:val="20"/>
                <w:szCs w:val="20"/>
              </w:rPr>
              <w:t>7</w:t>
            </w:r>
          </w:p>
        </w:tc>
        <w:tc>
          <w:tcPr>
            <w:tcW w:w="1980" w:type="dxa"/>
            <w:tcBorders>
              <w:top w:val="nil"/>
              <w:left w:val="nil"/>
              <w:bottom w:val="nil"/>
              <w:right w:val="nil"/>
            </w:tcBorders>
            <w:shd w:val="clear" w:color="auto" w:fill="auto"/>
            <w:noWrap/>
            <w:vAlign w:val="bottom"/>
            <w:hideMark/>
          </w:tcPr>
          <w:p w:rsidR="00E6298C" w:rsidRPr="00815FDA" w:rsidRDefault="00E6298C" w:rsidP="009031C9">
            <w:pPr>
              <w:jc w:val="center"/>
              <w:rPr>
                <w:color w:val="000000"/>
                <w:sz w:val="20"/>
                <w:szCs w:val="20"/>
              </w:rPr>
            </w:pPr>
            <w:r w:rsidRPr="00815FDA">
              <w:rPr>
                <w:color w:val="000000"/>
                <w:sz w:val="20"/>
                <w:szCs w:val="20"/>
              </w:rPr>
              <w:t>0.</w:t>
            </w:r>
            <w:r>
              <w:rPr>
                <w:color w:val="000000"/>
                <w:sz w:val="20"/>
                <w:szCs w:val="20"/>
              </w:rPr>
              <w:t>57</w:t>
            </w:r>
          </w:p>
        </w:tc>
        <w:tc>
          <w:tcPr>
            <w:tcW w:w="2430" w:type="dxa"/>
            <w:tcBorders>
              <w:top w:val="nil"/>
              <w:left w:val="nil"/>
              <w:bottom w:val="nil"/>
              <w:right w:val="nil"/>
            </w:tcBorders>
            <w:shd w:val="clear" w:color="auto" w:fill="auto"/>
            <w:noWrap/>
            <w:vAlign w:val="bottom"/>
            <w:hideMark/>
          </w:tcPr>
          <w:p w:rsidR="00E6298C" w:rsidRPr="00815FDA" w:rsidRDefault="00E6298C" w:rsidP="009031C9">
            <w:pPr>
              <w:jc w:val="center"/>
              <w:rPr>
                <w:bCs/>
                <w:color w:val="000000"/>
                <w:sz w:val="20"/>
                <w:szCs w:val="20"/>
              </w:rPr>
            </w:pPr>
            <w:r>
              <w:rPr>
                <w:bCs/>
                <w:color w:val="000000"/>
                <w:sz w:val="20"/>
                <w:szCs w:val="20"/>
              </w:rPr>
              <w:t>2.27</w:t>
            </w:r>
            <w:r w:rsidRPr="00815FDA">
              <w:rPr>
                <w:bCs/>
                <w:color w:val="000000"/>
                <w:sz w:val="20"/>
                <w:szCs w:val="20"/>
              </w:rPr>
              <w:t>×10</w:t>
            </w:r>
            <w:r>
              <w:rPr>
                <w:bCs/>
                <w:color w:val="000000"/>
                <w:sz w:val="20"/>
                <w:szCs w:val="20"/>
                <w:vertAlign w:val="superscript"/>
              </w:rPr>
              <w:t>-8</w:t>
            </w:r>
          </w:p>
        </w:tc>
      </w:tr>
      <w:tr w:rsidR="00E6298C" w:rsidRPr="00815FDA" w:rsidTr="002C1A4C">
        <w:trPr>
          <w:trHeight w:val="321"/>
        </w:trPr>
        <w:tc>
          <w:tcPr>
            <w:tcW w:w="1998" w:type="dxa"/>
            <w:tcBorders>
              <w:top w:val="nil"/>
              <w:left w:val="nil"/>
              <w:bottom w:val="single" w:sz="8" w:space="0" w:color="auto"/>
              <w:right w:val="nil"/>
            </w:tcBorders>
            <w:shd w:val="clear" w:color="auto" w:fill="auto"/>
            <w:noWrap/>
            <w:vAlign w:val="bottom"/>
            <w:hideMark/>
          </w:tcPr>
          <w:p w:rsidR="00E6298C" w:rsidRPr="00815FDA" w:rsidRDefault="00E6298C">
            <w:pPr>
              <w:rPr>
                <w:color w:val="000000"/>
                <w:sz w:val="20"/>
                <w:szCs w:val="20"/>
              </w:rPr>
            </w:pPr>
            <w:r w:rsidRPr="00815FDA">
              <w:rPr>
                <w:color w:val="000000"/>
                <w:sz w:val="20"/>
                <w:szCs w:val="20"/>
              </w:rPr>
              <w:t>Healthy controls only</w:t>
            </w:r>
          </w:p>
        </w:tc>
        <w:tc>
          <w:tcPr>
            <w:tcW w:w="1980" w:type="dxa"/>
            <w:tcBorders>
              <w:top w:val="nil"/>
              <w:left w:val="nil"/>
              <w:bottom w:val="single" w:sz="8" w:space="0" w:color="auto"/>
              <w:right w:val="nil"/>
            </w:tcBorders>
            <w:shd w:val="clear" w:color="auto" w:fill="auto"/>
            <w:noWrap/>
            <w:vAlign w:val="bottom"/>
            <w:hideMark/>
          </w:tcPr>
          <w:p w:rsidR="00E6298C" w:rsidRPr="00815FDA" w:rsidRDefault="00E6298C" w:rsidP="009031C9">
            <w:pPr>
              <w:jc w:val="center"/>
              <w:rPr>
                <w:color w:val="000000"/>
                <w:sz w:val="20"/>
                <w:szCs w:val="20"/>
              </w:rPr>
            </w:pPr>
            <w:r>
              <w:rPr>
                <w:color w:val="000000"/>
                <w:sz w:val="20"/>
                <w:szCs w:val="20"/>
              </w:rPr>
              <w:t>7.38</w:t>
            </w:r>
            <w:r w:rsidRPr="00815FDA">
              <w:rPr>
                <w:bCs/>
                <w:color w:val="000000"/>
                <w:sz w:val="20"/>
                <w:szCs w:val="20"/>
              </w:rPr>
              <w:t>×10</w:t>
            </w:r>
            <w:r>
              <w:rPr>
                <w:bCs/>
                <w:color w:val="000000"/>
                <w:sz w:val="20"/>
                <w:szCs w:val="20"/>
                <w:vertAlign w:val="superscript"/>
              </w:rPr>
              <w:t>-4</w:t>
            </w:r>
          </w:p>
        </w:tc>
        <w:tc>
          <w:tcPr>
            <w:tcW w:w="1980" w:type="dxa"/>
            <w:tcBorders>
              <w:top w:val="nil"/>
              <w:left w:val="nil"/>
              <w:bottom w:val="single" w:sz="8" w:space="0" w:color="auto"/>
              <w:right w:val="nil"/>
            </w:tcBorders>
            <w:shd w:val="clear" w:color="auto" w:fill="auto"/>
            <w:noWrap/>
            <w:vAlign w:val="bottom"/>
            <w:hideMark/>
          </w:tcPr>
          <w:p w:rsidR="00E6298C" w:rsidRPr="00815FDA" w:rsidRDefault="00E6298C" w:rsidP="009031C9">
            <w:pPr>
              <w:jc w:val="center"/>
              <w:rPr>
                <w:color w:val="000000"/>
                <w:sz w:val="20"/>
                <w:szCs w:val="20"/>
              </w:rPr>
            </w:pPr>
            <w:r w:rsidRPr="00815FDA">
              <w:rPr>
                <w:color w:val="000000"/>
                <w:sz w:val="20"/>
                <w:szCs w:val="20"/>
              </w:rPr>
              <w:t>0.</w:t>
            </w:r>
            <w:r>
              <w:rPr>
                <w:color w:val="000000"/>
                <w:sz w:val="20"/>
                <w:szCs w:val="20"/>
              </w:rPr>
              <w:t>59</w:t>
            </w:r>
          </w:p>
        </w:tc>
        <w:tc>
          <w:tcPr>
            <w:tcW w:w="1980" w:type="dxa"/>
            <w:tcBorders>
              <w:top w:val="nil"/>
              <w:left w:val="nil"/>
              <w:bottom w:val="single" w:sz="8" w:space="0" w:color="auto"/>
              <w:right w:val="nil"/>
            </w:tcBorders>
            <w:shd w:val="clear" w:color="auto" w:fill="auto"/>
            <w:noWrap/>
            <w:vAlign w:val="bottom"/>
            <w:hideMark/>
          </w:tcPr>
          <w:p w:rsidR="00E6298C" w:rsidRPr="00815FDA" w:rsidRDefault="00E6298C" w:rsidP="009031C9">
            <w:pPr>
              <w:jc w:val="center"/>
              <w:rPr>
                <w:color w:val="000000"/>
                <w:sz w:val="20"/>
                <w:szCs w:val="20"/>
              </w:rPr>
            </w:pPr>
            <w:r>
              <w:rPr>
                <w:color w:val="000000"/>
                <w:sz w:val="20"/>
                <w:szCs w:val="20"/>
              </w:rPr>
              <w:t>0.74</w:t>
            </w:r>
          </w:p>
        </w:tc>
        <w:tc>
          <w:tcPr>
            <w:tcW w:w="2430" w:type="dxa"/>
            <w:tcBorders>
              <w:top w:val="nil"/>
              <w:left w:val="nil"/>
              <w:bottom w:val="single" w:sz="8" w:space="0" w:color="auto"/>
              <w:right w:val="nil"/>
            </w:tcBorders>
            <w:shd w:val="clear" w:color="auto" w:fill="auto"/>
            <w:noWrap/>
            <w:vAlign w:val="bottom"/>
            <w:hideMark/>
          </w:tcPr>
          <w:p w:rsidR="00E6298C" w:rsidRPr="00815FDA" w:rsidRDefault="00E6298C" w:rsidP="009031C9">
            <w:pPr>
              <w:jc w:val="center"/>
              <w:rPr>
                <w:bCs/>
                <w:color w:val="000000"/>
                <w:sz w:val="20"/>
                <w:szCs w:val="20"/>
              </w:rPr>
            </w:pPr>
            <w:r w:rsidRPr="00815FDA">
              <w:rPr>
                <w:bCs/>
                <w:color w:val="000000"/>
                <w:sz w:val="20"/>
                <w:szCs w:val="20"/>
              </w:rPr>
              <w:t>1.</w:t>
            </w:r>
            <w:r>
              <w:rPr>
                <w:bCs/>
                <w:color w:val="000000"/>
                <w:sz w:val="20"/>
                <w:szCs w:val="20"/>
              </w:rPr>
              <w:t>13</w:t>
            </w:r>
            <w:r w:rsidRPr="00815FDA">
              <w:rPr>
                <w:bCs/>
                <w:color w:val="000000"/>
                <w:sz w:val="20"/>
                <w:szCs w:val="20"/>
              </w:rPr>
              <w:t>×</w:t>
            </w:r>
            <w:r>
              <w:rPr>
                <w:bCs/>
                <w:color w:val="000000"/>
                <w:sz w:val="20"/>
                <w:szCs w:val="20"/>
              </w:rPr>
              <w:t>1</w:t>
            </w:r>
            <w:r w:rsidRPr="00815FDA">
              <w:rPr>
                <w:bCs/>
                <w:color w:val="000000"/>
                <w:sz w:val="20"/>
                <w:szCs w:val="20"/>
              </w:rPr>
              <w:t>0</w:t>
            </w:r>
            <w:r w:rsidRPr="00FC3E37">
              <w:rPr>
                <w:bCs/>
                <w:color w:val="000000"/>
                <w:sz w:val="20"/>
                <w:szCs w:val="20"/>
                <w:vertAlign w:val="superscript"/>
              </w:rPr>
              <w:t>-</w:t>
            </w:r>
            <w:r>
              <w:rPr>
                <w:bCs/>
                <w:color w:val="000000"/>
                <w:sz w:val="20"/>
                <w:szCs w:val="20"/>
                <w:vertAlign w:val="superscript"/>
              </w:rPr>
              <w:t>8</w:t>
            </w:r>
          </w:p>
        </w:tc>
      </w:tr>
    </w:tbl>
    <w:p w:rsidR="00C50828" w:rsidRPr="0075339D" w:rsidRDefault="0075339D" w:rsidP="00C367BF">
      <w:pPr>
        <w:spacing w:line="480" w:lineRule="auto"/>
      </w:pPr>
      <w:r>
        <w:rPr>
          <w:vertAlign w:val="superscript"/>
        </w:rPr>
        <w:t>*</w:t>
      </w:r>
      <w:r>
        <w:t xml:space="preserve">: The p-value of two-way ANOVA is </w:t>
      </w:r>
      <w:r w:rsidR="009F43F5">
        <w:t>displayed</w:t>
      </w:r>
      <w:r>
        <w:t xml:space="preserve"> </w:t>
      </w:r>
    </w:p>
    <w:p w:rsidR="000B1B92" w:rsidRDefault="000B1B92">
      <w:pPr>
        <w:spacing w:after="200" w:line="276" w:lineRule="auto"/>
      </w:pPr>
      <w:r>
        <w:br w:type="page"/>
      </w:r>
    </w:p>
    <w:p w:rsidR="000B1B92" w:rsidRPr="004650B9" w:rsidRDefault="000B1B92" w:rsidP="000B1B92">
      <w:pPr>
        <w:spacing w:line="480" w:lineRule="auto"/>
        <w:jc w:val="both"/>
      </w:pPr>
      <w:r>
        <w:rPr>
          <w:b/>
        </w:rPr>
        <w:lastRenderedPageBreak/>
        <w:t>FIGURE LEGENDS</w:t>
      </w:r>
    </w:p>
    <w:p w:rsidR="00726312" w:rsidRDefault="003A521F" w:rsidP="00726312">
      <w:pPr>
        <w:spacing w:after="120" w:line="480" w:lineRule="auto"/>
        <w:jc w:val="both"/>
      </w:pPr>
      <w:r>
        <w:rPr>
          <w:b/>
        </w:rPr>
        <w:t>Supplementary Figure 1 -</w:t>
      </w:r>
      <w:r w:rsidR="00726312">
        <w:rPr>
          <w:b/>
        </w:rPr>
        <w:t xml:space="preserve"> </w:t>
      </w:r>
      <w:r w:rsidR="00726312" w:rsidRPr="00145BB9">
        <w:t>The effect</w:t>
      </w:r>
      <w:r w:rsidR="00726312">
        <w:t>s</w:t>
      </w:r>
      <w:r w:rsidR="00726312" w:rsidRPr="00145BB9">
        <w:t xml:space="preserve"> of</w:t>
      </w:r>
      <w:r w:rsidR="00726312">
        <w:rPr>
          <w:b/>
        </w:rPr>
        <w:t xml:space="preserve"> </w:t>
      </w:r>
      <w:r w:rsidR="00726312">
        <w:t xml:space="preserve">processing delay time (no delay vs. 24 hours delay) on the </w:t>
      </w:r>
      <w:r w:rsidR="004965ED">
        <w:t>circulation</w:t>
      </w:r>
      <w:r w:rsidR="00726312">
        <w:t xml:space="preserve"> level of miR-346 and miR-134 in </w:t>
      </w:r>
      <w:r w:rsidR="00F75CA1">
        <w:t xml:space="preserve">whole blood of </w:t>
      </w:r>
      <w:r w:rsidR="00726312">
        <w:t xml:space="preserve">cases and controls, separately. </w:t>
      </w:r>
    </w:p>
    <w:p w:rsidR="00726312" w:rsidRDefault="003A521F" w:rsidP="00726312">
      <w:pPr>
        <w:spacing w:after="120" w:line="480" w:lineRule="auto"/>
        <w:jc w:val="both"/>
      </w:pPr>
      <w:r>
        <w:rPr>
          <w:b/>
        </w:rPr>
        <w:t>S</w:t>
      </w:r>
      <w:r>
        <w:rPr>
          <w:b/>
        </w:rPr>
        <w:t>upplementary Figure 2 -</w:t>
      </w:r>
      <w:r w:rsidR="00726312">
        <w:rPr>
          <w:b/>
        </w:rPr>
        <w:t xml:space="preserve"> </w:t>
      </w:r>
      <w:r w:rsidR="00726312" w:rsidRPr="008D1F0C">
        <w:t>The effect</w:t>
      </w:r>
      <w:r w:rsidR="00726312">
        <w:t>s</w:t>
      </w:r>
      <w:r w:rsidR="00726312" w:rsidRPr="008D1F0C">
        <w:t xml:space="preserve"> of</w:t>
      </w:r>
      <w:r w:rsidR="00726312">
        <w:rPr>
          <w:b/>
        </w:rPr>
        <w:t xml:space="preserve"> </w:t>
      </w:r>
      <w:r w:rsidR="00726312">
        <w:t xml:space="preserve">storage condition (baseline, </w:t>
      </w:r>
      <w:r w:rsidR="00726312" w:rsidRPr="00D76E2B">
        <w:t>-20</w:t>
      </w:r>
      <w:r w:rsidR="00726312" w:rsidRPr="00D76E2B">
        <w:sym w:font="Symbol" w:char="F0B0"/>
      </w:r>
      <w:r w:rsidR="00726312" w:rsidRPr="00D76E2B">
        <w:t>C vs</w:t>
      </w:r>
      <w:r w:rsidR="00726312">
        <w:t>.</w:t>
      </w:r>
      <w:r w:rsidR="00726312" w:rsidRPr="00D76E2B">
        <w:t xml:space="preserve"> -80</w:t>
      </w:r>
      <w:r w:rsidR="00726312" w:rsidRPr="00D76E2B">
        <w:sym w:font="Symbol" w:char="F0B0"/>
      </w:r>
      <w:r w:rsidR="00726312" w:rsidRPr="00D76E2B">
        <w:t>C</w:t>
      </w:r>
      <w:r w:rsidR="00726312">
        <w:t xml:space="preserve">) on the </w:t>
      </w:r>
      <w:r w:rsidR="004965ED">
        <w:t>circulation</w:t>
      </w:r>
      <w:r w:rsidR="00726312">
        <w:t xml:space="preserve"> level of miR-346 and miR-134 in </w:t>
      </w:r>
      <w:r w:rsidR="00F75CA1">
        <w:t xml:space="preserve">whole blood of </w:t>
      </w:r>
      <w:r w:rsidR="00726312">
        <w:t xml:space="preserve">cases and controls, separately. </w:t>
      </w:r>
    </w:p>
    <w:p w:rsidR="00726312" w:rsidRDefault="003A521F" w:rsidP="00726312">
      <w:pPr>
        <w:spacing w:after="120" w:line="480" w:lineRule="auto"/>
        <w:jc w:val="both"/>
      </w:pPr>
      <w:r>
        <w:rPr>
          <w:b/>
        </w:rPr>
        <w:t xml:space="preserve">Supplementary Figure </w:t>
      </w:r>
      <w:r>
        <w:rPr>
          <w:b/>
        </w:rPr>
        <w:t>3</w:t>
      </w:r>
      <w:r>
        <w:rPr>
          <w:b/>
        </w:rPr>
        <w:t xml:space="preserve"> - </w:t>
      </w:r>
      <w:r w:rsidR="00726312" w:rsidRPr="008D1F0C">
        <w:t>The effect</w:t>
      </w:r>
      <w:r w:rsidR="00726312">
        <w:t>s</w:t>
      </w:r>
      <w:r w:rsidR="00726312" w:rsidRPr="008D1F0C">
        <w:t xml:space="preserve"> of</w:t>
      </w:r>
      <w:r w:rsidR="00726312">
        <w:rPr>
          <w:b/>
        </w:rPr>
        <w:t xml:space="preserve"> </w:t>
      </w:r>
      <w:r w:rsidR="00726312">
        <w:t>storage duration (baseline</w:t>
      </w:r>
      <w:r w:rsidR="00726312" w:rsidRPr="001E171F">
        <w:t xml:space="preserve"> vs</w:t>
      </w:r>
      <w:r w:rsidR="00726312">
        <w:t>.</w:t>
      </w:r>
      <w:r w:rsidR="00726312" w:rsidRPr="001E171F">
        <w:t xml:space="preserve"> 6 months</w:t>
      </w:r>
      <w:r w:rsidR="00726312">
        <w:t xml:space="preserve">) on the </w:t>
      </w:r>
      <w:r w:rsidR="004965ED">
        <w:t>circulation</w:t>
      </w:r>
      <w:r w:rsidR="00726312">
        <w:t xml:space="preserve"> level of miR-346 and miR-134 in </w:t>
      </w:r>
      <w:r w:rsidR="00F75CA1">
        <w:t xml:space="preserve">whole blood of </w:t>
      </w:r>
      <w:r w:rsidR="00726312">
        <w:t xml:space="preserve">cases and controls, separately. </w:t>
      </w:r>
    </w:p>
    <w:p w:rsidR="00726312" w:rsidRDefault="003A521F" w:rsidP="00726312">
      <w:pPr>
        <w:spacing w:after="120" w:line="480" w:lineRule="auto"/>
        <w:jc w:val="both"/>
      </w:pPr>
      <w:r>
        <w:rPr>
          <w:b/>
        </w:rPr>
        <w:t xml:space="preserve">Supplementary Figure </w:t>
      </w:r>
      <w:r>
        <w:rPr>
          <w:b/>
        </w:rPr>
        <w:t>4</w:t>
      </w:r>
      <w:r>
        <w:rPr>
          <w:b/>
        </w:rPr>
        <w:t xml:space="preserve"> - </w:t>
      </w:r>
      <w:r w:rsidR="00726312" w:rsidRPr="008D1F0C">
        <w:t>The effect</w:t>
      </w:r>
      <w:r w:rsidR="00726312">
        <w:t>s</w:t>
      </w:r>
      <w:r w:rsidR="00726312" w:rsidRPr="008D1F0C">
        <w:t xml:space="preserve"> of</w:t>
      </w:r>
      <w:r w:rsidR="00726312">
        <w:rPr>
          <w:b/>
        </w:rPr>
        <w:t xml:space="preserve"> </w:t>
      </w:r>
      <w:r w:rsidR="00726312">
        <w:t>freeze/thaw cycles (</w:t>
      </w:r>
      <w:r w:rsidR="00726312" w:rsidRPr="00E83878">
        <w:t>0, 1</w:t>
      </w:r>
      <w:r w:rsidR="00726312">
        <w:t xml:space="preserve"> vs.</w:t>
      </w:r>
      <w:r w:rsidR="00726312" w:rsidRPr="00E83878">
        <w:t xml:space="preserve"> 2</w:t>
      </w:r>
      <w:r w:rsidR="00726312">
        <w:t xml:space="preserve">) on the </w:t>
      </w:r>
      <w:r w:rsidR="004965ED">
        <w:t>circulation</w:t>
      </w:r>
      <w:r w:rsidR="00726312">
        <w:t xml:space="preserve"> level of miR-346 and miR-134 in </w:t>
      </w:r>
      <w:r w:rsidR="00F75CA1">
        <w:t xml:space="preserve">whole blood of </w:t>
      </w:r>
      <w:r w:rsidR="00726312">
        <w:t xml:space="preserve">cases and controls, separately. </w:t>
      </w:r>
    </w:p>
    <w:p w:rsidR="007F75B8" w:rsidRDefault="003A521F" w:rsidP="00726312">
      <w:pPr>
        <w:spacing w:after="120" w:line="480" w:lineRule="auto"/>
        <w:jc w:val="both"/>
      </w:pPr>
      <w:r>
        <w:rPr>
          <w:b/>
        </w:rPr>
        <w:t xml:space="preserve">Supplementary Figure </w:t>
      </w:r>
      <w:r>
        <w:rPr>
          <w:b/>
        </w:rPr>
        <w:t>5</w:t>
      </w:r>
      <w:r>
        <w:rPr>
          <w:b/>
        </w:rPr>
        <w:t xml:space="preserve"> - </w:t>
      </w:r>
      <w:r w:rsidR="00726312">
        <w:t xml:space="preserve">The effects of pre-analytic variables on the expression level of </w:t>
      </w:r>
      <w:r w:rsidR="007F75B8">
        <w:t>miR-16</w:t>
      </w:r>
      <w:r w:rsidR="00726312">
        <w:t xml:space="preserve"> in </w:t>
      </w:r>
      <w:r w:rsidR="00F75CA1">
        <w:t>plasma</w:t>
      </w:r>
      <w:r w:rsidR="00726312">
        <w:t>. The pre-analytic variables include</w:t>
      </w:r>
      <w:bookmarkStart w:id="0" w:name="_GoBack"/>
      <w:bookmarkEnd w:id="0"/>
      <w:r w:rsidR="00726312">
        <w:t xml:space="preserve"> processing delay time (no delay vs. </w:t>
      </w:r>
      <w:r w:rsidR="00F75CA1">
        <w:t>18</w:t>
      </w:r>
      <w:r w:rsidR="00726312">
        <w:t xml:space="preserve"> hours delay), storage condition (</w:t>
      </w:r>
      <w:r w:rsidR="00F75CA1">
        <w:t xml:space="preserve">cryovial </w:t>
      </w:r>
      <w:r w:rsidR="00726312" w:rsidRPr="00D76E2B">
        <w:t>vs</w:t>
      </w:r>
      <w:r w:rsidR="00726312">
        <w:t>.</w:t>
      </w:r>
      <w:r w:rsidR="00726312" w:rsidRPr="00D76E2B">
        <w:t xml:space="preserve"> </w:t>
      </w:r>
      <w:r w:rsidR="00F75CA1">
        <w:t>straw</w:t>
      </w:r>
      <w:r w:rsidR="00726312">
        <w:t>), storage duration (baseline</w:t>
      </w:r>
      <w:r w:rsidR="00726312" w:rsidRPr="001E171F">
        <w:t xml:space="preserve"> vs</w:t>
      </w:r>
      <w:r w:rsidR="00726312">
        <w:t>.</w:t>
      </w:r>
      <w:r w:rsidR="00726312" w:rsidRPr="001E171F">
        <w:t xml:space="preserve"> 6 months</w:t>
      </w:r>
      <w:r w:rsidR="00726312">
        <w:t>), and freeze/thaw cycles (</w:t>
      </w:r>
      <w:r w:rsidR="00726312" w:rsidRPr="00E83878">
        <w:t>0, 1</w:t>
      </w:r>
      <w:r w:rsidR="00F75CA1">
        <w:t>, 2</w:t>
      </w:r>
      <w:r w:rsidR="00726312">
        <w:t xml:space="preserve"> vs.</w:t>
      </w:r>
      <w:r w:rsidR="00F75CA1">
        <w:t xml:space="preserve"> 4</w:t>
      </w:r>
      <w:r w:rsidR="00726312">
        <w:t xml:space="preserve">).  </w:t>
      </w:r>
    </w:p>
    <w:p w:rsidR="007F75B8" w:rsidRDefault="003A521F" w:rsidP="007F75B8">
      <w:pPr>
        <w:spacing w:after="120" w:line="480" w:lineRule="auto"/>
        <w:jc w:val="both"/>
      </w:pPr>
      <w:r>
        <w:rPr>
          <w:b/>
        </w:rPr>
        <w:t xml:space="preserve">Supplementary Figure </w:t>
      </w:r>
      <w:r>
        <w:rPr>
          <w:b/>
        </w:rPr>
        <w:t>6</w:t>
      </w:r>
      <w:r>
        <w:rPr>
          <w:b/>
        </w:rPr>
        <w:t xml:space="preserve"> - </w:t>
      </w:r>
      <w:r w:rsidR="007F75B8" w:rsidRPr="00145BB9">
        <w:t>The effect</w:t>
      </w:r>
      <w:r w:rsidR="007F75B8">
        <w:t>s</w:t>
      </w:r>
      <w:r w:rsidR="007F75B8" w:rsidRPr="00145BB9">
        <w:t xml:space="preserve"> of</w:t>
      </w:r>
      <w:r w:rsidR="007F75B8">
        <w:rPr>
          <w:b/>
        </w:rPr>
        <w:t xml:space="preserve"> </w:t>
      </w:r>
      <w:r w:rsidR="007F75B8">
        <w:t xml:space="preserve">processing delay time (no delay vs. </w:t>
      </w:r>
      <w:r w:rsidR="002B503E">
        <w:t>18</w:t>
      </w:r>
      <w:r w:rsidR="007F75B8">
        <w:t xml:space="preserve"> hours delay) on the </w:t>
      </w:r>
      <w:r w:rsidR="004965ED">
        <w:t>circulation</w:t>
      </w:r>
      <w:r w:rsidR="007F75B8">
        <w:t xml:space="preserve"> level of </w:t>
      </w:r>
      <w:r w:rsidR="002B503E">
        <w:t>miR-16</w:t>
      </w:r>
      <w:r w:rsidR="007F75B8">
        <w:t xml:space="preserve"> in </w:t>
      </w:r>
      <w:r w:rsidR="002B503E">
        <w:t>plasma</w:t>
      </w:r>
      <w:r w:rsidR="007F75B8">
        <w:t xml:space="preserve"> of cases and controls, separately. </w:t>
      </w:r>
    </w:p>
    <w:p w:rsidR="007F75B8" w:rsidRDefault="003A521F" w:rsidP="007F75B8">
      <w:pPr>
        <w:spacing w:after="120" w:line="480" w:lineRule="auto"/>
        <w:jc w:val="both"/>
      </w:pPr>
      <w:r>
        <w:rPr>
          <w:b/>
        </w:rPr>
        <w:t xml:space="preserve">Supplementary Figure </w:t>
      </w:r>
      <w:r>
        <w:rPr>
          <w:b/>
        </w:rPr>
        <w:t>7</w:t>
      </w:r>
      <w:r>
        <w:rPr>
          <w:b/>
        </w:rPr>
        <w:t xml:space="preserve"> - </w:t>
      </w:r>
      <w:r w:rsidR="007F75B8" w:rsidRPr="008D1F0C">
        <w:t>The effect</w:t>
      </w:r>
      <w:r w:rsidR="007F75B8">
        <w:t>s</w:t>
      </w:r>
      <w:r w:rsidR="007F75B8" w:rsidRPr="008D1F0C">
        <w:t xml:space="preserve"> of</w:t>
      </w:r>
      <w:r w:rsidR="007F75B8">
        <w:rPr>
          <w:b/>
        </w:rPr>
        <w:t xml:space="preserve"> </w:t>
      </w:r>
      <w:r w:rsidR="007F75B8">
        <w:t>storage condition (</w:t>
      </w:r>
      <w:r w:rsidR="002B503E">
        <w:t xml:space="preserve">cryovial </w:t>
      </w:r>
      <w:r w:rsidR="007F75B8" w:rsidRPr="00D76E2B">
        <w:t>vs</w:t>
      </w:r>
      <w:r w:rsidR="007F75B8">
        <w:t>.</w:t>
      </w:r>
      <w:r w:rsidR="002B503E">
        <w:t xml:space="preserve"> straw</w:t>
      </w:r>
      <w:r w:rsidR="007F75B8">
        <w:t xml:space="preserve">) on the </w:t>
      </w:r>
      <w:r w:rsidR="004965ED">
        <w:t>circulation</w:t>
      </w:r>
      <w:r w:rsidR="002B503E">
        <w:t xml:space="preserve"> level of miR-16</w:t>
      </w:r>
      <w:r w:rsidR="007F75B8">
        <w:t xml:space="preserve"> in </w:t>
      </w:r>
      <w:r w:rsidR="002B503E">
        <w:t>plasma</w:t>
      </w:r>
      <w:r w:rsidR="007F75B8">
        <w:t xml:space="preserve"> of cases and controls, separately. </w:t>
      </w:r>
    </w:p>
    <w:p w:rsidR="007F75B8" w:rsidRDefault="003A521F" w:rsidP="007F75B8">
      <w:pPr>
        <w:spacing w:after="120" w:line="480" w:lineRule="auto"/>
        <w:jc w:val="both"/>
      </w:pPr>
      <w:r>
        <w:rPr>
          <w:b/>
        </w:rPr>
        <w:t xml:space="preserve">Supplementary Figure </w:t>
      </w:r>
      <w:r>
        <w:rPr>
          <w:b/>
        </w:rPr>
        <w:t>8</w:t>
      </w:r>
      <w:r>
        <w:rPr>
          <w:b/>
        </w:rPr>
        <w:t xml:space="preserve"> - </w:t>
      </w:r>
      <w:r w:rsidR="007F75B8" w:rsidRPr="008D1F0C">
        <w:t>The effect</w:t>
      </w:r>
      <w:r w:rsidR="007F75B8">
        <w:t>s</w:t>
      </w:r>
      <w:r w:rsidR="007F75B8" w:rsidRPr="008D1F0C">
        <w:t xml:space="preserve"> of</w:t>
      </w:r>
      <w:r w:rsidR="007F75B8">
        <w:rPr>
          <w:b/>
        </w:rPr>
        <w:t xml:space="preserve"> </w:t>
      </w:r>
      <w:r w:rsidR="007F75B8">
        <w:t>storage duration (baseline</w:t>
      </w:r>
      <w:r w:rsidR="007F75B8" w:rsidRPr="001E171F">
        <w:t xml:space="preserve"> vs</w:t>
      </w:r>
      <w:r w:rsidR="007F75B8">
        <w:t>.</w:t>
      </w:r>
      <w:r w:rsidR="007F75B8" w:rsidRPr="001E171F">
        <w:t xml:space="preserve"> 6 months</w:t>
      </w:r>
      <w:r w:rsidR="007F75B8">
        <w:t xml:space="preserve">) on the </w:t>
      </w:r>
      <w:r w:rsidR="004965ED">
        <w:t>circulation</w:t>
      </w:r>
      <w:r w:rsidR="002B503E">
        <w:t xml:space="preserve"> level of miR-16</w:t>
      </w:r>
      <w:r w:rsidR="007F75B8">
        <w:t xml:space="preserve"> in </w:t>
      </w:r>
      <w:r w:rsidR="002B503E">
        <w:t>plasma</w:t>
      </w:r>
      <w:r w:rsidR="007F75B8">
        <w:t xml:space="preserve"> of cases and controls, separately. </w:t>
      </w:r>
    </w:p>
    <w:p w:rsidR="00C50828" w:rsidRDefault="003A521F" w:rsidP="007F75B8">
      <w:pPr>
        <w:spacing w:after="120" w:line="480" w:lineRule="auto"/>
        <w:jc w:val="both"/>
      </w:pPr>
      <w:r>
        <w:rPr>
          <w:b/>
        </w:rPr>
        <w:t xml:space="preserve">Supplementary Figure </w:t>
      </w:r>
      <w:r>
        <w:rPr>
          <w:b/>
        </w:rPr>
        <w:t>9</w:t>
      </w:r>
      <w:r>
        <w:rPr>
          <w:b/>
        </w:rPr>
        <w:t xml:space="preserve"> - </w:t>
      </w:r>
      <w:r w:rsidR="007F75B8" w:rsidRPr="008D1F0C">
        <w:t>The effect</w:t>
      </w:r>
      <w:r w:rsidR="007F75B8">
        <w:t>s</w:t>
      </w:r>
      <w:r w:rsidR="007F75B8" w:rsidRPr="008D1F0C">
        <w:t xml:space="preserve"> of</w:t>
      </w:r>
      <w:r w:rsidR="007F75B8">
        <w:rPr>
          <w:b/>
        </w:rPr>
        <w:t xml:space="preserve"> </w:t>
      </w:r>
      <w:r w:rsidR="007F75B8">
        <w:t>freeze/thaw cycles (</w:t>
      </w:r>
      <w:r w:rsidR="007F75B8" w:rsidRPr="00E83878">
        <w:t>0, 1</w:t>
      </w:r>
      <w:r w:rsidR="002B503E">
        <w:t>, 2</w:t>
      </w:r>
      <w:r w:rsidR="007F75B8">
        <w:t xml:space="preserve"> vs.</w:t>
      </w:r>
      <w:r w:rsidR="002B503E">
        <w:t xml:space="preserve"> 4</w:t>
      </w:r>
      <w:r w:rsidR="007F75B8">
        <w:t xml:space="preserve">) on the </w:t>
      </w:r>
      <w:r w:rsidR="004965ED">
        <w:t>circulation</w:t>
      </w:r>
      <w:r w:rsidR="007F75B8">
        <w:t xml:space="preserve"> level of miR-</w:t>
      </w:r>
      <w:r w:rsidR="002B503E">
        <w:t xml:space="preserve">16 </w:t>
      </w:r>
      <w:r w:rsidR="007F75B8">
        <w:t xml:space="preserve">in </w:t>
      </w:r>
      <w:r w:rsidR="002B503E">
        <w:t>plasma</w:t>
      </w:r>
      <w:r w:rsidR="007F75B8">
        <w:t xml:space="preserve"> of cases and controls, separately.</w:t>
      </w:r>
    </w:p>
    <w:sectPr w:rsidR="00C50828" w:rsidSect="0085711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9F" w:rsidRDefault="00623D9F" w:rsidP="00E321FB">
      <w:r>
        <w:separator/>
      </w:r>
    </w:p>
  </w:endnote>
  <w:endnote w:type="continuationSeparator" w:id="0">
    <w:p w:rsidR="00623D9F" w:rsidRDefault="00623D9F" w:rsidP="00E3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233222"/>
      <w:docPartObj>
        <w:docPartGallery w:val="Page Numbers (Bottom of Page)"/>
        <w:docPartUnique/>
      </w:docPartObj>
    </w:sdtPr>
    <w:sdtEndPr>
      <w:rPr>
        <w:noProof/>
      </w:rPr>
    </w:sdtEndPr>
    <w:sdtContent>
      <w:p w:rsidR="00A46CD7" w:rsidRDefault="00A46CD7">
        <w:pPr>
          <w:pStyle w:val="Footer"/>
          <w:jc w:val="right"/>
        </w:pPr>
        <w:r>
          <w:fldChar w:fldCharType="begin"/>
        </w:r>
        <w:r>
          <w:instrText xml:space="preserve"> PAGE   \* MERGEFORMAT </w:instrText>
        </w:r>
        <w:r>
          <w:fldChar w:fldCharType="separate"/>
        </w:r>
        <w:r w:rsidR="003A521F">
          <w:rPr>
            <w:noProof/>
          </w:rPr>
          <w:t>8</w:t>
        </w:r>
        <w:r>
          <w:rPr>
            <w:noProof/>
          </w:rPr>
          <w:fldChar w:fldCharType="end"/>
        </w:r>
      </w:p>
    </w:sdtContent>
  </w:sdt>
  <w:p w:rsidR="00A46CD7" w:rsidRDefault="00A46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9F" w:rsidRDefault="00623D9F" w:rsidP="00E321FB">
      <w:r>
        <w:separator/>
      </w:r>
    </w:p>
  </w:footnote>
  <w:footnote w:type="continuationSeparator" w:id="0">
    <w:p w:rsidR="00623D9F" w:rsidRDefault="00623D9F" w:rsidP="00E32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D7" w:rsidRDefault="00A46CD7">
    <w:pPr>
      <w:pStyle w:val="Header"/>
      <w:jc w:val="right"/>
    </w:pPr>
  </w:p>
  <w:p w:rsidR="00E321FB" w:rsidRDefault="00E32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20Epidemiology%20Biomark[1]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fzx550dixxzxdee59f5dffqwtpzdwzarp5x&quot;&gt;CPRIT grant 06122014&lt;record-ids&gt;&lt;item&gt;437&lt;/item&gt;&lt;item&gt;3015&lt;/item&gt;&lt;item&gt;3016&lt;/item&gt;&lt;item&gt;3017&lt;/item&gt;&lt;item&gt;3018&lt;/item&gt;&lt;/record-ids&gt;&lt;/item&gt;&lt;/Libraries&gt;"/>
  </w:docVars>
  <w:rsids>
    <w:rsidRoot w:val="00C367BF"/>
    <w:rsid w:val="00035BC3"/>
    <w:rsid w:val="000438DF"/>
    <w:rsid w:val="00047C54"/>
    <w:rsid w:val="00077BF1"/>
    <w:rsid w:val="00082694"/>
    <w:rsid w:val="0009348F"/>
    <w:rsid w:val="00093797"/>
    <w:rsid w:val="00094C99"/>
    <w:rsid w:val="000B1B92"/>
    <w:rsid w:val="000C602C"/>
    <w:rsid w:val="000E508F"/>
    <w:rsid w:val="000F1FE0"/>
    <w:rsid w:val="00100835"/>
    <w:rsid w:val="00101C86"/>
    <w:rsid w:val="00112DBF"/>
    <w:rsid w:val="00133BB3"/>
    <w:rsid w:val="001347CB"/>
    <w:rsid w:val="001626E2"/>
    <w:rsid w:val="00164B6A"/>
    <w:rsid w:val="00167D7D"/>
    <w:rsid w:val="00187F0D"/>
    <w:rsid w:val="001B3159"/>
    <w:rsid w:val="001C5E58"/>
    <w:rsid w:val="001E6720"/>
    <w:rsid w:val="00222EDF"/>
    <w:rsid w:val="0025697C"/>
    <w:rsid w:val="00284ACF"/>
    <w:rsid w:val="002A4C62"/>
    <w:rsid w:val="002B503E"/>
    <w:rsid w:val="002C0B1C"/>
    <w:rsid w:val="002C1A4C"/>
    <w:rsid w:val="002D270D"/>
    <w:rsid w:val="002F265F"/>
    <w:rsid w:val="003116C4"/>
    <w:rsid w:val="003877C2"/>
    <w:rsid w:val="003A0BD6"/>
    <w:rsid w:val="003A521F"/>
    <w:rsid w:val="003C5CEE"/>
    <w:rsid w:val="003E4069"/>
    <w:rsid w:val="003F3482"/>
    <w:rsid w:val="0042391D"/>
    <w:rsid w:val="00423BF7"/>
    <w:rsid w:val="00450B88"/>
    <w:rsid w:val="0047657F"/>
    <w:rsid w:val="0048059B"/>
    <w:rsid w:val="00490FB0"/>
    <w:rsid w:val="004965ED"/>
    <w:rsid w:val="00497EAD"/>
    <w:rsid w:val="00497FF7"/>
    <w:rsid w:val="004B566D"/>
    <w:rsid w:val="004C27AA"/>
    <w:rsid w:val="004D58F8"/>
    <w:rsid w:val="004E25A2"/>
    <w:rsid w:val="004F195C"/>
    <w:rsid w:val="0051639E"/>
    <w:rsid w:val="00521573"/>
    <w:rsid w:val="0052634F"/>
    <w:rsid w:val="00567C8D"/>
    <w:rsid w:val="00570088"/>
    <w:rsid w:val="00586529"/>
    <w:rsid w:val="00590D83"/>
    <w:rsid w:val="00594046"/>
    <w:rsid w:val="005A456E"/>
    <w:rsid w:val="005B3875"/>
    <w:rsid w:val="005B6616"/>
    <w:rsid w:val="005D30D1"/>
    <w:rsid w:val="005D79F5"/>
    <w:rsid w:val="005F5F6F"/>
    <w:rsid w:val="005F713D"/>
    <w:rsid w:val="00611FC2"/>
    <w:rsid w:val="0061492D"/>
    <w:rsid w:val="006226A0"/>
    <w:rsid w:val="00623D9F"/>
    <w:rsid w:val="00630134"/>
    <w:rsid w:val="006305CB"/>
    <w:rsid w:val="006352AF"/>
    <w:rsid w:val="00652F21"/>
    <w:rsid w:val="00663DE0"/>
    <w:rsid w:val="00666270"/>
    <w:rsid w:val="00682ADD"/>
    <w:rsid w:val="00683907"/>
    <w:rsid w:val="006A5980"/>
    <w:rsid w:val="006D2956"/>
    <w:rsid w:val="006D5E08"/>
    <w:rsid w:val="00706351"/>
    <w:rsid w:val="0072042C"/>
    <w:rsid w:val="00720CAC"/>
    <w:rsid w:val="00726312"/>
    <w:rsid w:val="0073671F"/>
    <w:rsid w:val="0075339D"/>
    <w:rsid w:val="007737E3"/>
    <w:rsid w:val="007C0408"/>
    <w:rsid w:val="007D02B3"/>
    <w:rsid w:val="007E5A57"/>
    <w:rsid w:val="007F210D"/>
    <w:rsid w:val="007F75B8"/>
    <w:rsid w:val="00805D02"/>
    <w:rsid w:val="00812154"/>
    <w:rsid w:val="00815FDA"/>
    <w:rsid w:val="00857114"/>
    <w:rsid w:val="008770A4"/>
    <w:rsid w:val="00886E1C"/>
    <w:rsid w:val="008960AF"/>
    <w:rsid w:val="008B455B"/>
    <w:rsid w:val="008B4AF7"/>
    <w:rsid w:val="008D317A"/>
    <w:rsid w:val="008E763F"/>
    <w:rsid w:val="00901631"/>
    <w:rsid w:val="009031C9"/>
    <w:rsid w:val="0097272B"/>
    <w:rsid w:val="00974446"/>
    <w:rsid w:val="0098372E"/>
    <w:rsid w:val="00993734"/>
    <w:rsid w:val="009A261E"/>
    <w:rsid w:val="009A743A"/>
    <w:rsid w:val="009C7858"/>
    <w:rsid w:val="009D3C47"/>
    <w:rsid w:val="009D6A5A"/>
    <w:rsid w:val="009E77FE"/>
    <w:rsid w:val="009F43F5"/>
    <w:rsid w:val="00A04AC8"/>
    <w:rsid w:val="00A1201A"/>
    <w:rsid w:val="00A162AF"/>
    <w:rsid w:val="00A45B6E"/>
    <w:rsid w:val="00A46CD7"/>
    <w:rsid w:val="00A5235B"/>
    <w:rsid w:val="00A62167"/>
    <w:rsid w:val="00A73F0B"/>
    <w:rsid w:val="00A75BB3"/>
    <w:rsid w:val="00A76CE1"/>
    <w:rsid w:val="00A868F9"/>
    <w:rsid w:val="00A93557"/>
    <w:rsid w:val="00A93E3A"/>
    <w:rsid w:val="00A942CD"/>
    <w:rsid w:val="00AB27CD"/>
    <w:rsid w:val="00AD0384"/>
    <w:rsid w:val="00AF6636"/>
    <w:rsid w:val="00B03B9F"/>
    <w:rsid w:val="00B11A55"/>
    <w:rsid w:val="00B32A55"/>
    <w:rsid w:val="00B341CC"/>
    <w:rsid w:val="00B369EB"/>
    <w:rsid w:val="00B76235"/>
    <w:rsid w:val="00B838EA"/>
    <w:rsid w:val="00BA3590"/>
    <w:rsid w:val="00BB0E38"/>
    <w:rsid w:val="00BB129F"/>
    <w:rsid w:val="00BF5693"/>
    <w:rsid w:val="00BF6BB8"/>
    <w:rsid w:val="00C03388"/>
    <w:rsid w:val="00C364C4"/>
    <w:rsid w:val="00C367BF"/>
    <w:rsid w:val="00C47EA8"/>
    <w:rsid w:val="00C50828"/>
    <w:rsid w:val="00C91673"/>
    <w:rsid w:val="00C93AA3"/>
    <w:rsid w:val="00CB4339"/>
    <w:rsid w:val="00CD2C7A"/>
    <w:rsid w:val="00CE756D"/>
    <w:rsid w:val="00D02979"/>
    <w:rsid w:val="00D22F5D"/>
    <w:rsid w:val="00D24451"/>
    <w:rsid w:val="00D26F8A"/>
    <w:rsid w:val="00D41B15"/>
    <w:rsid w:val="00D43629"/>
    <w:rsid w:val="00D510A3"/>
    <w:rsid w:val="00D55507"/>
    <w:rsid w:val="00D829CA"/>
    <w:rsid w:val="00D82A40"/>
    <w:rsid w:val="00DA20B0"/>
    <w:rsid w:val="00DA476E"/>
    <w:rsid w:val="00DA4D30"/>
    <w:rsid w:val="00DB691F"/>
    <w:rsid w:val="00DD0858"/>
    <w:rsid w:val="00DD23D0"/>
    <w:rsid w:val="00DE375C"/>
    <w:rsid w:val="00E12E7B"/>
    <w:rsid w:val="00E321FB"/>
    <w:rsid w:val="00E426FE"/>
    <w:rsid w:val="00E56D09"/>
    <w:rsid w:val="00E6224D"/>
    <w:rsid w:val="00E6298C"/>
    <w:rsid w:val="00E6539C"/>
    <w:rsid w:val="00E73369"/>
    <w:rsid w:val="00E77B24"/>
    <w:rsid w:val="00E83D50"/>
    <w:rsid w:val="00E84798"/>
    <w:rsid w:val="00E93EDC"/>
    <w:rsid w:val="00EA0FF4"/>
    <w:rsid w:val="00EB44D7"/>
    <w:rsid w:val="00EE368B"/>
    <w:rsid w:val="00EE6A96"/>
    <w:rsid w:val="00EF0101"/>
    <w:rsid w:val="00F0578F"/>
    <w:rsid w:val="00F07D6D"/>
    <w:rsid w:val="00F41155"/>
    <w:rsid w:val="00F52C57"/>
    <w:rsid w:val="00F548E5"/>
    <w:rsid w:val="00F73987"/>
    <w:rsid w:val="00F75CA1"/>
    <w:rsid w:val="00F777B6"/>
    <w:rsid w:val="00F84A8F"/>
    <w:rsid w:val="00F87F1D"/>
    <w:rsid w:val="00FA6241"/>
    <w:rsid w:val="00FB2DF9"/>
    <w:rsid w:val="00FC3E37"/>
    <w:rsid w:val="00FD7221"/>
    <w:rsid w:val="00FE4626"/>
    <w:rsid w:val="00FF2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B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539C"/>
    <w:rPr>
      <w:sz w:val="16"/>
      <w:szCs w:val="16"/>
    </w:rPr>
  </w:style>
  <w:style w:type="paragraph" w:styleId="CommentText">
    <w:name w:val="annotation text"/>
    <w:basedOn w:val="Normal"/>
    <w:link w:val="CommentTextChar"/>
    <w:uiPriority w:val="99"/>
    <w:semiHidden/>
    <w:unhideWhenUsed/>
    <w:rsid w:val="00E6539C"/>
    <w:rPr>
      <w:sz w:val="20"/>
      <w:szCs w:val="20"/>
    </w:rPr>
  </w:style>
  <w:style w:type="character" w:customStyle="1" w:styleId="CommentTextChar">
    <w:name w:val="Comment Text Char"/>
    <w:basedOn w:val="DefaultParagraphFont"/>
    <w:link w:val="CommentText"/>
    <w:uiPriority w:val="99"/>
    <w:semiHidden/>
    <w:rsid w:val="00E6539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6539C"/>
    <w:rPr>
      <w:b/>
      <w:bCs/>
    </w:rPr>
  </w:style>
  <w:style w:type="character" w:customStyle="1" w:styleId="CommentSubjectChar">
    <w:name w:val="Comment Subject Char"/>
    <w:basedOn w:val="CommentTextChar"/>
    <w:link w:val="CommentSubject"/>
    <w:uiPriority w:val="99"/>
    <w:semiHidden/>
    <w:rsid w:val="00E6539C"/>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E6539C"/>
    <w:rPr>
      <w:rFonts w:ascii="Tahoma" w:hAnsi="Tahoma" w:cs="Tahoma"/>
      <w:sz w:val="16"/>
      <w:szCs w:val="16"/>
    </w:rPr>
  </w:style>
  <w:style w:type="character" w:customStyle="1" w:styleId="BalloonTextChar">
    <w:name w:val="Balloon Text Char"/>
    <w:basedOn w:val="DefaultParagraphFont"/>
    <w:link w:val="BalloonText"/>
    <w:uiPriority w:val="99"/>
    <w:semiHidden/>
    <w:rsid w:val="00E6539C"/>
    <w:rPr>
      <w:rFonts w:ascii="Tahoma" w:eastAsia="Times New Roman" w:hAnsi="Tahoma" w:cs="Tahoma"/>
      <w:sz w:val="16"/>
      <w:szCs w:val="16"/>
      <w:lang w:eastAsia="en-US"/>
    </w:rPr>
  </w:style>
  <w:style w:type="character" w:styleId="Hyperlink">
    <w:name w:val="Hyperlink"/>
    <w:basedOn w:val="DefaultParagraphFont"/>
    <w:uiPriority w:val="99"/>
    <w:unhideWhenUsed/>
    <w:rsid w:val="00FB2DF9"/>
    <w:rPr>
      <w:color w:val="0000FF" w:themeColor="hyperlink"/>
      <w:u w:val="single"/>
    </w:rPr>
  </w:style>
  <w:style w:type="paragraph" w:styleId="Header">
    <w:name w:val="header"/>
    <w:basedOn w:val="Normal"/>
    <w:link w:val="HeaderChar"/>
    <w:uiPriority w:val="99"/>
    <w:unhideWhenUsed/>
    <w:rsid w:val="00E321FB"/>
    <w:pPr>
      <w:tabs>
        <w:tab w:val="center" w:pos="4680"/>
        <w:tab w:val="right" w:pos="9360"/>
      </w:tabs>
    </w:pPr>
  </w:style>
  <w:style w:type="character" w:customStyle="1" w:styleId="HeaderChar">
    <w:name w:val="Header Char"/>
    <w:basedOn w:val="DefaultParagraphFont"/>
    <w:link w:val="Header"/>
    <w:uiPriority w:val="99"/>
    <w:rsid w:val="00E321FB"/>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E321FB"/>
    <w:pPr>
      <w:tabs>
        <w:tab w:val="center" w:pos="4680"/>
        <w:tab w:val="right" w:pos="9360"/>
      </w:tabs>
    </w:pPr>
  </w:style>
  <w:style w:type="character" w:customStyle="1" w:styleId="FooterChar">
    <w:name w:val="Footer Char"/>
    <w:basedOn w:val="DefaultParagraphFont"/>
    <w:link w:val="Footer"/>
    <w:uiPriority w:val="99"/>
    <w:rsid w:val="00E321FB"/>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B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539C"/>
    <w:rPr>
      <w:sz w:val="16"/>
      <w:szCs w:val="16"/>
    </w:rPr>
  </w:style>
  <w:style w:type="paragraph" w:styleId="CommentText">
    <w:name w:val="annotation text"/>
    <w:basedOn w:val="Normal"/>
    <w:link w:val="CommentTextChar"/>
    <w:uiPriority w:val="99"/>
    <w:semiHidden/>
    <w:unhideWhenUsed/>
    <w:rsid w:val="00E6539C"/>
    <w:rPr>
      <w:sz w:val="20"/>
      <w:szCs w:val="20"/>
    </w:rPr>
  </w:style>
  <w:style w:type="character" w:customStyle="1" w:styleId="CommentTextChar">
    <w:name w:val="Comment Text Char"/>
    <w:basedOn w:val="DefaultParagraphFont"/>
    <w:link w:val="CommentText"/>
    <w:uiPriority w:val="99"/>
    <w:semiHidden/>
    <w:rsid w:val="00E6539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6539C"/>
    <w:rPr>
      <w:b/>
      <w:bCs/>
    </w:rPr>
  </w:style>
  <w:style w:type="character" w:customStyle="1" w:styleId="CommentSubjectChar">
    <w:name w:val="Comment Subject Char"/>
    <w:basedOn w:val="CommentTextChar"/>
    <w:link w:val="CommentSubject"/>
    <w:uiPriority w:val="99"/>
    <w:semiHidden/>
    <w:rsid w:val="00E6539C"/>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E6539C"/>
    <w:rPr>
      <w:rFonts w:ascii="Tahoma" w:hAnsi="Tahoma" w:cs="Tahoma"/>
      <w:sz w:val="16"/>
      <w:szCs w:val="16"/>
    </w:rPr>
  </w:style>
  <w:style w:type="character" w:customStyle="1" w:styleId="BalloonTextChar">
    <w:name w:val="Balloon Text Char"/>
    <w:basedOn w:val="DefaultParagraphFont"/>
    <w:link w:val="BalloonText"/>
    <w:uiPriority w:val="99"/>
    <w:semiHidden/>
    <w:rsid w:val="00E6539C"/>
    <w:rPr>
      <w:rFonts w:ascii="Tahoma" w:eastAsia="Times New Roman" w:hAnsi="Tahoma" w:cs="Tahoma"/>
      <w:sz w:val="16"/>
      <w:szCs w:val="16"/>
      <w:lang w:eastAsia="en-US"/>
    </w:rPr>
  </w:style>
  <w:style w:type="character" w:styleId="Hyperlink">
    <w:name w:val="Hyperlink"/>
    <w:basedOn w:val="DefaultParagraphFont"/>
    <w:uiPriority w:val="99"/>
    <w:unhideWhenUsed/>
    <w:rsid w:val="00FB2DF9"/>
    <w:rPr>
      <w:color w:val="0000FF" w:themeColor="hyperlink"/>
      <w:u w:val="single"/>
    </w:rPr>
  </w:style>
  <w:style w:type="paragraph" w:styleId="Header">
    <w:name w:val="header"/>
    <w:basedOn w:val="Normal"/>
    <w:link w:val="HeaderChar"/>
    <w:uiPriority w:val="99"/>
    <w:unhideWhenUsed/>
    <w:rsid w:val="00E321FB"/>
    <w:pPr>
      <w:tabs>
        <w:tab w:val="center" w:pos="4680"/>
        <w:tab w:val="right" w:pos="9360"/>
      </w:tabs>
    </w:pPr>
  </w:style>
  <w:style w:type="character" w:customStyle="1" w:styleId="HeaderChar">
    <w:name w:val="Header Char"/>
    <w:basedOn w:val="DefaultParagraphFont"/>
    <w:link w:val="Header"/>
    <w:uiPriority w:val="99"/>
    <w:rsid w:val="00E321FB"/>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E321FB"/>
    <w:pPr>
      <w:tabs>
        <w:tab w:val="center" w:pos="4680"/>
        <w:tab w:val="right" w:pos="9360"/>
      </w:tabs>
    </w:pPr>
  </w:style>
  <w:style w:type="character" w:customStyle="1" w:styleId="FooterChar">
    <w:name w:val="Footer Char"/>
    <w:basedOn w:val="DefaultParagraphFont"/>
    <w:link w:val="Footer"/>
    <w:uiPriority w:val="99"/>
    <w:rsid w:val="00E321FB"/>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2276">
      <w:bodyDiv w:val="1"/>
      <w:marLeft w:val="0"/>
      <w:marRight w:val="0"/>
      <w:marTop w:val="0"/>
      <w:marBottom w:val="0"/>
      <w:divBdr>
        <w:top w:val="none" w:sz="0" w:space="0" w:color="auto"/>
        <w:left w:val="none" w:sz="0" w:space="0" w:color="auto"/>
        <w:bottom w:val="none" w:sz="0" w:space="0" w:color="auto"/>
        <w:right w:val="none" w:sz="0" w:space="0" w:color="auto"/>
      </w:divBdr>
    </w:div>
    <w:div w:id="992870650">
      <w:bodyDiv w:val="1"/>
      <w:marLeft w:val="0"/>
      <w:marRight w:val="0"/>
      <w:marTop w:val="0"/>
      <w:marBottom w:val="0"/>
      <w:divBdr>
        <w:top w:val="none" w:sz="0" w:space="0" w:color="auto"/>
        <w:left w:val="none" w:sz="0" w:space="0" w:color="auto"/>
        <w:bottom w:val="none" w:sz="0" w:space="0" w:color="auto"/>
        <w:right w:val="none" w:sz="0" w:space="0" w:color="auto"/>
      </w:divBdr>
    </w:div>
    <w:div w:id="20424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zhao2@mdanderson.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ine.ambrosone@roswellpark.org" TargetMode="External"/><Relationship Id="rId4" Type="http://schemas.openxmlformats.org/officeDocument/2006/relationships/settings" Target="settings.xml"/><Relationship Id="rId9" Type="http://schemas.openxmlformats.org/officeDocument/2006/relationships/hyperlink" Target="mailto:song.liu@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E0608-AA0A-4B2A-9BBE-E100E3C1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Zhao,Hua</dc:creator>
  <cp:lastModifiedBy>Buonato, Jamie</cp:lastModifiedBy>
  <cp:revision>2</cp:revision>
  <cp:lastPrinted>2014-07-08T18:29:00Z</cp:lastPrinted>
  <dcterms:created xsi:type="dcterms:W3CDTF">2014-07-29T13:32:00Z</dcterms:created>
  <dcterms:modified xsi:type="dcterms:W3CDTF">2014-07-29T13:32:00Z</dcterms:modified>
</cp:coreProperties>
</file>