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7" w:rsidRPr="005017A7" w:rsidRDefault="005017A7" w:rsidP="005017A7">
      <w:pPr>
        <w:spacing w:after="0" w:line="240" w:lineRule="auto"/>
        <w:rPr>
          <w:rFonts w:cs="Times New Roman"/>
          <w:b/>
          <w:sz w:val="18"/>
          <w:szCs w:val="18"/>
          <w:vertAlign w:val="superscript"/>
        </w:rPr>
      </w:pPr>
      <w:proofErr w:type="gramStart"/>
      <w:r w:rsidRPr="005017A7">
        <w:rPr>
          <w:rFonts w:cs="Times New Roman"/>
          <w:b/>
          <w:sz w:val="18"/>
          <w:szCs w:val="18"/>
        </w:rPr>
        <w:t>Supplementary Table 2.</w:t>
      </w:r>
      <w:proofErr w:type="gramEnd"/>
      <w:r w:rsidRPr="005017A7">
        <w:rPr>
          <w:rFonts w:cs="Times New Roman"/>
          <w:b/>
          <w:sz w:val="18"/>
          <w:szCs w:val="18"/>
        </w:rPr>
        <w:t xml:space="preserve">  Associations of the comp</w:t>
      </w:r>
      <w:r w:rsidR="007A71FD">
        <w:rPr>
          <w:rFonts w:cs="Times New Roman"/>
          <w:b/>
          <w:sz w:val="18"/>
          <w:szCs w:val="18"/>
        </w:rPr>
        <w:t xml:space="preserve">onents of WCRF/AICR index </w:t>
      </w:r>
      <w:r w:rsidRPr="005017A7">
        <w:rPr>
          <w:rFonts w:cs="Times New Roman"/>
          <w:b/>
          <w:sz w:val="18"/>
          <w:szCs w:val="18"/>
        </w:rPr>
        <w:t xml:space="preserve">and prostate cancer risk by cancer </w:t>
      </w:r>
      <w:proofErr w:type="spellStart"/>
      <w:r w:rsidRPr="005017A7">
        <w:rPr>
          <w:rFonts w:cs="Times New Roman"/>
          <w:b/>
          <w:sz w:val="18"/>
          <w:szCs w:val="18"/>
        </w:rPr>
        <w:t>grade.</w:t>
      </w:r>
      <w:r w:rsidRPr="005017A7">
        <w:rPr>
          <w:rFonts w:cs="Times New Roman"/>
          <w:b/>
          <w:sz w:val="18"/>
          <w:szCs w:val="18"/>
          <w:vertAlign w:val="superscript"/>
        </w:rPr>
        <w:t>a</w:t>
      </w:r>
      <w:proofErr w:type="spellEnd"/>
    </w:p>
    <w:p w:rsidR="005017A7" w:rsidRPr="005017A7" w:rsidRDefault="005017A7" w:rsidP="005017A7">
      <w:pPr>
        <w:spacing w:after="0" w:line="240" w:lineRule="auto"/>
        <w:rPr>
          <w:rFonts w:cs="Times New Roman"/>
          <w:sz w:val="18"/>
          <w:szCs w:val="18"/>
          <w:vertAlign w:val="superscript"/>
        </w:rPr>
      </w:pPr>
    </w:p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486"/>
        <w:gridCol w:w="1040"/>
        <w:gridCol w:w="795"/>
        <w:gridCol w:w="1559"/>
        <w:gridCol w:w="709"/>
        <w:gridCol w:w="850"/>
        <w:gridCol w:w="1559"/>
        <w:gridCol w:w="709"/>
        <w:gridCol w:w="1843"/>
        <w:gridCol w:w="709"/>
      </w:tblGrid>
      <w:tr w:rsidR="006B3A6F" w:rsidRPr="005017A7" w:rsidTr="00266B7C">
        <w:trPr>
          <w:trHeight w:val="319"/>
        </w:trPr>
        <w:tc>
          <w:tcPr>
            <w:tcW w:w="1749" w:type="dxa"/>
            <w:vMerge w:val="restart"/>
            <w:tcBorders>
              <w:top w:val="double" w:sz="4" w:space="0" w:color="auto"/>
            </w:tcBorders>
            <w:vAlign w:val="center"/>
          </w:tcPr>
          <w:p w:rsidR="00F07D60" w:rsidRPr="005017A7" w:rsidRDefault="00F07D60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WCRF/AICR index components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</w:tcBorders>
            <w:vAlign w:val="center"/>
          </w:tcPr>
          <w:p w:rsidR="00F07D60" w:rsidRPr="005017A7" w:rsidRDefault="00F07D60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Score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</w:tcBorders>
            <w:vAlign w:val="center"/>
          </w:tcPr>
          <w:p w:rsidR="00443766" w:rsidRDefault="00F07D60" w:rsidP="009B5F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Control</w:t>
            </w:r>
          </w:p>
          <w:p w:rsidR="00F07D60" w:rsidRPr="005017A7" w:rsidRDefault="00443766" w:rsidP="009B5F1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30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D60" w:rsidRPr="005017A7" w:rsidRDefault="00F07D60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Low Grade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D60" w:rsidRPr="005017A7" w:rsidRDefault="00F07D60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High Grade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7D60" w:rsidRPr="005017A7" w:rsidRDefault="00F07D60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High vs Low</w:t>
            </w:r>
          </w:p>
        </w:tc>
      </w:tr>
      <w:tr w:rsidR="009B5F19" w:rsidRPr="005017A7" w:rsidTr="00266B7C">
        <w:trPr>
          <w:trHeight w:val="82"/>
        </w:trPr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OR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 w:rsidRPr="005017A7">
              <w:rPr>
                <w:rFonts w:cs="Times New Roman"/>
                <w:i/>
                <w:sz w:val="18"/>
                <w:szCs w:val="18"/>
              </w:rPr>
              <w:t>P</w:t>
            </w:r>
            <w:r w:rsidRPr="005017A7">
              <w:rPr>
                <w:rFonts w:cs="Times New Roman"/>
                <w:sz w:val="18"/>
                <w:szCs w:val="18"/>
                <w:vertAlign w:val="subscript"/>
              </w:rPr>
              <w:t>trend</w:t>
            </w:r>
            <w:r w:rsidR="006B3A6F">
              <w:rPr>
                <w:rFonts w:cs="Times New Roman"/>
                <w:i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OR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017A7">
              <w:rPr>
                <w:rFonts w:cs="Times New Roman"/>
                <w:i/>
                <w:sz w:val="18"/>
                <w:szCs w:val="18"/>
              </w:rPr>
              <w:t>P</w:t>
            </w:r>
            <w:r w:rsidRPr="005017A7">
              <w:rPr>
                <w:rFonts w:cs="Times New Roman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5017A7">
              <w:rPr>
                <w:rFonts w:cs="Times New Roman"/>
                <w:sz w:val="18"/>
                <w:szCs w:val="18"/>
              </w:rPr>
              <w:t>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5017A7">
              <w:rPr>
                <w:rFonts w:cs="Times New Roman"/>
                <w:i/>
                <w:sz w:val="18"/>
                <w:szCs w:val="18"/>
              </w:rPr>
              <w:t>P</w:t>
            </w:r>
            <w:r w:rsidRPr="005017A7">
              <w:rPr>
                <w:rFonts w:cs="Times New Roman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9B5F19" w:rsidRPr="005017A7" w:rsidTr="00266B7C">
        <w:trPr>
          <w:trHeight w:val="244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Body Fatness</w:t>
            </w:r>
          </w:p>
        </w:tc>
        <w:tc>
          <w:tcPr>
            <w:tcW w:w="1486" w:type="dxa"/>
          </w:tcPr>
          <w:p w:rsidR="009B5F19" w:rsidRPr="005017A7" w:rsidRDefault="009B5F19" w:rsidP="00240230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40230">
              <w:rPr>
                <w:rFonts w:cs="Times New Roman"/>
                <w:sz w:val="18"/>
                <w:szCs w:val="18"/>
              </w:rPr>
              <w:t>to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 xml:space="preserve"> 0.25</w:t>
            </w: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5,007</w:t>
            </w: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4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2,928</w:t>
            </w: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02 (0.88, 1.19)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(0.80, 1.22)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0.73, 1.23)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203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0.75</w:t>
            </w: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1,998</w:t>
            </w: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 (0.83, 1.17)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0.92 (0.72, 1.17)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0.67, 1.22)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36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2,072</w:t>
            </w: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(0.85, 1.19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1.00 (0.78, 1.26)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0.71, 1.27)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87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 w:rsidRPr="005017A7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1.01 (0.97, 1.06)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1.00 (0.94, 1.07)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0.98 (0.91, 1.06)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0.61</w:t>
            </w: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Physical activity</w:t>
            </w: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4,796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457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6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3,956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418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1.11 (0.96, 1.28)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1.00 (0.82, 1.23)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0.86 (0.67, 1.10)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51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3,253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1.07 (0.92, 1.25)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1.12 (0.91, 1.38)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1.06 (0.82, 1.37)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205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19624A" w:rsidRDefault="009B5F19" w:rsidP="00F74664">
            <w:pPr>
              <w:contextualSpacing/>
              <w:rPr>
                <w:rFonts w:cs="Times New Roman"/>
                <w:sz w:val="18"/>
                <w:szCs w:val="18"/>
                <w:vertAlign w:val="superscript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 w:rsidR="0019624A">
              <w:rPr>
                <w:rFonts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1.04 (0.96, 1.12)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0.33</w:t>
            </w: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1.06 (0.95, 1.17)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0.30</w:t>
            </w: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1.02 (0.90, 1.16)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0.75</w:t>
            </w:r>
          </w:p>
        </w:tc>
      </w:tr>
      <w:tr w:rsidR="009B5F19" w:rsidRPr="005017A7" w:rsidTr="00266B7C">
        <w:trPr>
          <w:trHeight w:val="180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30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Foods and drinks that promote weight gain</w:t>
            </w: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to 0.25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2,948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4,005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</w:t>
            </w:r>
            <w:r>
              <w:rPr>
                <w:rFonts w:cs="Times New Roman"/>
                <w:sz w:val="18"/>
                <w:szCs w:val="18"/>
              </w:rPr>
              <w:t>4 (0.88, 1.21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0.99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0.79, 1.24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EC0887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0.69, 1.20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3,890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(0.88, 1.22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443766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</w:t>
            </w:r>
            <w:r w:rsidRPr="005017A7"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cs="Times New Roman"/>
                <w:sz w:val="18"/>
                <w:szCs w:val="18"/>
              </w:rPr>
              <w:t>0.87, 1.36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1.01 (0.77, 1.34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1,162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 (0.66, 1.08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1.07 (0.78, 1.49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 (0.83, 1.90</w:t>
            </w:r>
            <w:r w:rsidRPr="005017A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69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6B3A6F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 w:rsidRPr="005017A7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0.98 (0.92, 1.04)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0.55</w:t>
            </w: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1.05 (0.96, 1.14)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0.28</w:t>
            </w: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1.06 (0.95, 1.18)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0.27</w:t>
            </w:r>
          </w:p>
        </w:tc>
      </w:tr>
      <w:tr w:rsidR="009B5F19" w:rsidRPr="005017A7" w:rsidTr="00266B7C">
        <w:trPr>
          <w:trHeight w:val="211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09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Plant foods</w:t>
            </w: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to </w:t>
            </w:r>
            <w:r w:rsidRPr="005017A7">
              <w:rPr>
                <w:rFonts w:cs="Times New Roman"/>
                <w:sz w:val="18"/>
                <w:szCs w:val="18"/>
              </w:rPr>
              <w:t>0.25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1,063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2,456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1.14 (0.90, 1.45)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0.71 (0.43, 1.18)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0.66 (0.34, 1.27)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0.75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2,547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 (0.81, 1.34)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0.76 (0.45, 1.27)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0.78 (0.40, 1.53)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C6741E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5,939</w:t>
            </w:r>
          </w:p>
        </w:tc>
        <w:tc>
          <w:tcPr>
            <w:tcW w:w="795" w:type="dxa"/>
            <w:vAlign w:val="center"/>
          </w:tcPr>
          <w:p w:rsidR="009B5F19" w:rsidRPr="005017A7" w:rsidRDefault="00C6741E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 (0.73, 1.18)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C6741E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0.64 (0.38, 1.07)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0.76 (0.39, 1.37)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6B3A6F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 w:rsidRPr="005017A7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0.94 (0.89, 1.00)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0.07</w:t>
            </w: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0.93 (0.85, 1.01)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0.09</w:t>
            </w: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1.00 (0.90, 1.11)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0.95</w:t>
            </w:r>
          </w:p>
        </w:tc>
      </w:tr>
      <w:tr w:rsidR="009B5F19" w:rsidRPr="005017A7" w:rsidTr="00266B7C">
        <w:trPr>
          <w:trHeight w:val="127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104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Animal foods</w:t>
            </w: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8,277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817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3,129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344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1.11 (0.97, 1.28)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164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1.04 (0.86, 1.26)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0.96 (0.76, 1.22)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599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0.73 (0.53, 1.00)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0.74 (0.48, 1.16)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1.07 (0.62, 1.84)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19624A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 xml:space="preserve">0.99 (0.88, 1.10) 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0.77</w:t>
            </w:r>
          </w:p>
        </w:tc>
        <w:tc>
          <w:tcPr>
            <w:tcW w:w="850" w:type="dxa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0.96 (0.82, 1.11)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0.57</w:t>
            </w: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0.99 (0.82, 1.20)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0.93</w:t>
            </w:r>
          </w:p>
        </w:tc>
      </w:tr>
      <w:tr w:rsidR="009B5F19" w:rsidRPr="005017A7" w:rsidTr="00266B7C">
        <w:trPr>
          <w:trHeight w:val="108"/>
        </w:trPr>
        <w:tc>
          <w:tcPr>
            <w:tcW w:w="1749" w:type="dxa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 w:val="restart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Alcohol</w:t>
            </w: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3,745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359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197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0.5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1,788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1.07 (0.89, 1.29)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0.78 (0.59, 1.03)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0.75 (0.53, 1.05)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vMerge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</w:tcPr>
          <w:p w:rsidR="009B5F19" w:rsidRPr="005017A7" w:rsidRDefault="009B5F19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9B5F19" w:rsidRPr="005017A7" w:rsidRDefault="009A37C2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6,472</w:t>
            </w:r>
          </w:p>
        </w:tc>
        <w:tc>
          <w:tcPr>
            <w:tcW w:w="795" w:type="dxa"/>
            <w:vAlign w:val="center"/>
          </w:tcPr>
          <w:p w:rsidR="009B5F19" w:rsidRPr="005017A7" w:rsidRDefault="009A37C2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660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1.04 (0.90, 1.20)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5F19" w:rsidRPr="005017A7" w:rsidRDefault="009A37C2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326</w:t>
            </w:r>
          </w:p>
        </w:tc>
        <w:tc>
          <w:tcPr>
            <w:tcW w:w="155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0.95 (0.78, 1.14)</w:t>
            </w:r>
          </w:p>
        </w:tc>
        <w:tc>
          <w:tcPr>
            <w:tcW w:w="709" w:type="dxa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0.93 (0.73, 1.17)</w:t>
            </w:r>
          </w:p>
        </w:tc>
        <w:tc>
          <w:tcPr>
            <w:tcW w:w="709" w:type="dxa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5F19" w:rsidRPr="005017A7" w:rsidTr="00266B7C">
        <w:trPr>
          <w:trHeight w:val="94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9B5F19" w:rsidRPr="005017A7" w:rsidRDefault="009B5F19" w:rsidP="0033562B">
            <w:pPr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9B5F19" w:rsidRPr="005017A7" w:rsidRDefault="0019624A" w:rsidP="00F74664">
            <w:pPr>
              <w:contextualSpacing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Dose-</w:t>
            </w:r>
            <w:proofErr w:type="spellStart"/>
            <w:r w:rsidRPr="005017A7">
              <w:rPr>
                <w:rFonts w:cs="Times New Roman"/>
                <w:sz w:val="18"/>
                <w:szCs w:val="18"/>
              </w:rPr>
              <w:t>response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B5F19" w:rsidRPr="005017A7" w:rsidRDefault="009B5F19" w:rsidP="009B5F19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F07D60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1.02 (0.95, 1.09)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F8317E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0.98 (0.89, 1.08)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0.97 (0.87, 1.09)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B5F19" w:rsidRPr="005017A7" w:rsidRDefault="009B5F19" w:rsidP="0033562B">
            <w:pPr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017A7">
              <w:rPr>
                <w:rFonts w:cs="Times New Roman"/>
                <w:sz w:val="18"/>
                <w:szCs w:val="18"/>
              </w:rPr>
              <w:t>0.66</w:t>
            </w:r>
          </w:p>
        </w:tc>
      </w:tr>
    </w:tbl>
    <w:p w:rsidR="005017A7" w:rsidRPr="006B3A6F" w:rsidRDefault="005017A7" w:rsidP="005017A7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18"/>
          <w:szCs w:val="18"/>
          <w:lang w:val="en-US" w:eastAsia="en-US"/>
        </w:rPr>
      </w:pPr>
      <w:proofErr w:type="spellStart"/>
      <w:proofErr w:type="gramStart"/>
      <w:r w:rsidRPr="005017A7">
        <w:rPr>
          <w:rFonts w:cs="Times New Roman"/>
          <w:sz w:val="18"/>
          <w:szCs w:val="18"/>
          <w:vertAlign w:val="superscript"/>
        </w:rPr>
        <w:t>a</w:t>
      </w:r>
      <w:proofErr w:type="spellEnd"/>
      <w:proofErr w:type="gramEnd"/>
      <w:r w:rsidRPr="005017A7">
        <w:rPr>
          <w:rFonts w:cs="Times New Roman"/>
          <w:sz w:val="18"/>
          <w:szCs w:val="18"/>
          <w:vertAlign w:val="superscript"/>
        </w:rPr>
        <w:t xml:space="preserve"> </w:t>
      </w:r>
      <w:r w:rsidRPr="005017A7">
        <w:rPr>
          <w:rFonts w:cs="Times New Roman"/>
          <w:sz w:val="18"/>
          <w:szCs w:val="18"/>
        </w:rPr>
        <w:t xml:space="preserve">Adjusted for age (continuous variable), recruitment centre, family history of prostate cancer, smoking status and total energy intake (kcal/d).  </w:t>
      </w:r>
      <w:r w:rsidRPr="005017A7">
        <w:rPr>
          <w:rFonts w:eastAsiaTheme="minorHAnsi" w:cs="Times New Roman"/>
          <w:sz w:val="18"/>
          <w:szCs w:val="18"/>
          <w:lang w:val="en-US" w:eastAsia="en-US"/>
        </w:rPr>
        <w:t>All components were mutually adjusted for each other except for the ‘</w:t>
      </w:r>
      <w:r w:rsidRPr="005017A7">
        <w:rPr>
          <w:rFonts w:cs="Times New Roman"/>
          <w:sz w:val="18"/>
          <w:szCs w:val="18"/>
        </w:rPr>
        <w:t>foods and drinks that promote weight gain’ component</w:t>
      </w:r>
      <w:r w:rsidRPr="005017A7">
        <w:rPr>
          <w:rFonts w:eastAsiaTheme="minorHAnsi" w:cs="Times New Roman"/>
          <w:sz w:val="18"/>
          <w:szCs w:val="18"/>
          <w:lang w:val="en-US" w:eastAsia="en-US"/>
        </w:rPr>
        <w:t xml:space="preserve">.   </w:t>
      </w:r>
      <w:proofErr w:type="gramStart"/>
      <w:r w:rsidRPr="005017A7">
        <w:rPr>
          <w:rFonts w:eastAsiaTheme="minorHAnsi" w:cs="Times New Roman"/>
          <w:sz w:val="18"/>
          <w:szCs w:val="18"/>
          <w:vertAlign w:val="superscript"/>
          <w:lang w:val="en-US" w:eastAsia="en-US"/>
        </w:rPr>
        <w:t>b</w:t>
      </w:r>
      <w:proofErr w:type="gramEnd"/>
      <w:r w:rsidRPr="005017A7">
        <w:rPr>
          <w:rFonts w:eastAsiaTheme="minorHAnsi" w:cs="Times New Roman"/>
          <w:sz w:val="18"/>
          <w:szCs w:val="18"/>
          <w:vertAlign w:val="superscript"/>
          <w:lang w:val="en-US" w:eastAsia="en-US"/>
        </w:rPr>
        <w:t xml:space="preserve"> </w:t>
      </w:r>
      <w:r w:rsidRPr="005017A7">
        <w:rPr>
          <w:rFonts w:eastAsiaTheme="minorHAnsi" w:cs="Times New Roman"/>
          <w:sz w:val="18"/>
          <w:szCs w:val="18"/>
          <w:lang w:val="en-US" w:eastAsia="en-US"/>
        </w:rPr>
        <w:t xml:space="preserve">Odds ratios and 95% CI per </w:t>
      </w:r>
      <w:r w:rsidR="006B3A6F">
        <w:rPr>
          <w:rFonts w:eastAsiaTheme="minorHAnsi" w:cs="Times New Roman"/>
          <w:sz w:val="18"/>
          <w:szCs w:val="18"/>
          <w:lang w:val="en-US" w:eastAsia="en-US"/>
        </w:rPr>
        <w:t>0.25</w:t>
      </w:r>
      <w:r w:rsidRPr="005017A7">
        <w:rPr>
          <w:rFonts w:eastAsiaTheme="minorHAnsi" w:cs="Times New Roman"/>
          <w:sz w:val="18"/>
          <w:szCs w:val="18"/>
          <w:lang w:val="en-US" w:eastAsia="en-US"/>
        </w:rPr>
        <w:t xml:space="preserve"> score increment. </w:t>
      </w:r>
      <w:r w:rsidR="006B3A6F" w:rsidRPr="00521F7D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proofErr w:type="gramStart"/>
      <w:r w:rsidR="006B3A6F" w:rsidRPr="006B3A6F">
        <w:rPr>
          <w:rFonts w:eastAsiaTheme="minorHAnsi" w:cs="Times New Roman"/>
          <w:sz w:val="18"/>
          <w:szCs w:val="18"/>
          <w:vertAlign w:val="superscript"/>
          <w:lang w:val="en-US" w:eastAsia="en-US"/>
        </w:rPr>
        <w:t>c</w:t>
      </w:r>
      <w:proofErr w:type="gramEnd"/>
      <w:r w:rsidR="006B3A6F" w:rsidRPr="006B3A6F">
        <w:rPr>
          <w:rFonts w:eastAsiaTheme="minorHAnsi" w:cs="Times New Roman"/>
          <w:sz w:val="18"/>
          <w:szCs w:val="18"/>
          <w:lang w:val="en-US" w:eastAsia="en-US"/>
        </w:rPr>
        <w:t xml:space="preserve"> Odds ratios and 95% CI per 0.5 score increment</w:t>
      </w:r>
      <w:r w:rsidR="006B3A6F">
        <w:rPr>
          <w:rFonts w:eastAsiaTheme="minorHAnsi" w:cs="Times New Roman"/>
          <w:sz w:val="18"/>
          <w:szCs w:val="18"/>
          <w:lang w:val="en-US" w:eastAsia="en-US"/>
        </w:rPr>
        <w:t xml:space="preserve">. </w:t>
      </w:r>
      <w:r w:rsidR="006B3A6F" w:rsidRPr="006B3A6F">
        <w:rPr>
          <w:rFonts w:eastAsiaTheme="minorHAnsi" w:cs="Times New Roman"/>
          <w:sz w:val="18"/>
          <w:szCs w:val="18"/>
          <w:vertAlign w:val="superscript"/>
          <w:lang w:val="en-US" w:eastAsia="en-US"/>
        </w:rPr>
        <w:t xml:space="preserve"> d</w:t>
      </w:r>
      <w:r w:rsidRPr="006B3A6F">
        <w:rPr>
          <w:rFonts w:eastAsiaTheme="minorHAnsi" w:cs="Times New Roman"/>
          <w:sz w:val="18"/>
          <w:szCs w:val="18"/>
          <w:vertAlign w:val="superscript"/>
          <w:lang w:val="en-US" w:eastAsia="en-US"/>
        </w:rPr>
        <w:t xml:space="preserve"> </w:t>
      </w:r>
      <w:r w:rsidRPr="006B3A6F">
        <w:rPr>
          <w:rFonts w:eastAsiaTheme="minorHAnsi" w:cs="Times New Roman"/>
          <w:sz w:val="18"/>
          <w:szCs w:val="18"/>
          <w:lang w:val="en-US" w:eastAsia="en-US"/>
        </w:rPr>
        <w:t xml:space="preserve">P-values for trend were calculated by modeling components of </w:t>
      </w:r>
      <w:r w:rsidR="006B3A6F" w:rsidRPr="006B3A6F">
        <w:rPr>
          <w:rFonts w:eastAsiaTheme="minorHAnsi" w:cs="Times New Roman"/>
          <w:sz w:val="18"/>
          <w:szCs w:val="18"/>
          <w:lang w:val="en-US" w:eastAsia="en-US"/>
        </w:rPr>
        <w:t xml:space="preserve">WCRF/AICR score as a continuous </w:t>
      </w:r>
      <w:r w:rsidRPr="006B3A6F">
        <w:rPr>
          <w:rFonts w:eastAsiaTheme="minorHAnsi" w:cs="Times New Roman"/>
          <w:sz w:val="18"/>
          <w:szCs w:val="18"/>
          <w:lang w:val="en-US" w:eastAsia="en-US"/>
        </w:rPr>
        <w:t>variable.</w:t>
      </w:r>
    </w:p>
    <w:p w:rsidR="002F41B2" w:rsidRPr="006B3A6F" w:rsidRDefault="00240230">
      <w:pPr>
        <w:rPr>
          <w:sz w:val="18"/>
          <w:szCs w:val="18"/>
          <w:lang w:val="en-US"/>
        </w:rPr>
      </w:pPr>
    </w:p>
    <w:sectPr w:rsidR="002F41B2" w:rsidRPr="006B3A6F" w:rsidSect="005017A7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7"/>
    <w:rsid w:val="0019624A"/>
    <w:rsid w:val="00240230"/>
    <w:rsid w:val="00266B7C"/>
    <w:rsid w:val="002757F9"/>
    <w:rsid w:val="002C7F96"/>
    <w:rsid w:val="0033613E"/>
    <w:rsid w:val="00443766"/>
    <w:rsid w:val="005017A7"/>
    <w:rsid w:val="005143AC"/>
    <w:rsid w:val="005478DC"/>
    <w:rsid w:val="0060395A"/>
    <w:rsid w:val="006B3A6F"/>
    <w:rsid w:val="007A71FD"/>
    <w:rsid w:val="00846FF0"/>
    <w:rsid w:val="0090577A"/>
    <w:rsid w:val="009A37C2"/>
    <w:rsid w:val="009B5F19"/>
    <w:rsid w:val="00A36718"/>
    <w:rsid w:val="00C6741E"/>
    <w:rsid w:val="00EC0887"/>
    <w:rsid w:val="00F07D60"/>
    <w:rsid w:val="00F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7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7A7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7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7A7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ve12010</dc:creator>
  <cp:lastModifiedBy>ve12010</cp:lastModifiedBy>
  <cp:revision>10</cp:revision>
  <dcterms:created xsi:type="dcterms:W3CDTF">2014-06-13T11:36:00Z</dcterms:created>
  <dcterms:modified xsi:type="dcterms:W3CDTF">2014-06-13T12:17:00Z</dcterms:modified>
</cp:coreProperties>
</file>