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FCFA" w14:textId="77777777" w:rsidR="00ED033E" w:rsidRPr="00DB7A05" w:rsidRDefault="00056BB0">
      <w:pPr>
        <w:rPr>
          <w:rFonts w:ascii="Arial" w:hAnsi="Arial" w:cs="Arial"/>
          <w:b/>
          <w:sz w:val="28"/>
          <w:lang w:val="en-US"/>
        </w:rPr>
      </w:pPr>
      <w:r w:rsidRPr="00DB7A05">
        <w:rPr>
          <w:rFonts w:ascii="Arial" w:hAnsi="Arial" w:cs="Arial"/>
          <w:b/>
          <w:sz w:val="28"/>
          <w:lang w:val="en-US"/>
        </w:rPr>
        <w:t>Supplementary experimental procedures</w:t>
      </w:r>
    </w:p>
    <w:p w14:paraId="5A51CDE6" w14:textId="77777777" w:rsidR="00056BB0" w:rsidRPr="00DB7A05" w:rsidRDefault="00056BB0">
      <w:pPr>
        <w:rPr>
          <w:lang w:val="en-US"/>
        </w:rPr>
      </w:pPr>
    </w:p>
    <w:p w14:paraId="0F54CA8C" w14:textId="77777777" w:rsidR="00056BB0" w:rsidRPr="00C50ED5" w:rsidRDefault="00056BB0" w:rsidP="00056BB0">
      <w:pPr>
        <w:widowControl w:val="0"/>
        <w:spacing w:line="360" w:lineRule="auto"/>
        <w:jc w:val="both"/>
        <w:rPr>
          <w:rFonts w:ascii="Arial" w:hAnsi="Arial" w:cs="Arial"/>
          <w:b/>
          <w:sz w:val="22"/>
          <w:szCs w:val="22"/>
          <w:lang w:val="en-US"/>
        </w:rPr>
      </w:pPr>
      <w:r>
        <w:rPr>
          <w:rFonts w:ascii="Arial" w:hAnsi="Arial" w:cs="Arial"/>
          <w:b/>
          <w:sz w:val="22"/>
          <w:szCs w:val="22"/>
          <w:lang w:val="en-US"/>
        </w:rPr>
        <w:t xml:space="preserve">Gene </w:t>
      </w:r>
      <w:r w:rsidRPr="00C50ED5">
        <w:rPr>
          <w:rFonts w:ascii="Arial" w:hAnsi="Arial" w:cs="Arial"/>
          <w:b/>
          <w:sz w:val="22"/>
          <w:szCs w:val="22"/>
          <w:lang w:val="en-US"/>
        </w:rPr>
        <w:t>Expression data analys</w:t>
      </w:r>
      <w:r>
        <w:rPr>
          <w:rFonts w:ascii="Arial" w:hAnsi="Arial" w:cs="Arial"/>
          <w:b/>
          <w:sz w:val="22"/>
          <w:szCs w:val="22"/>
          <w:lang w:val="en-US"/>
        </w:rPr>
        <w:t>e</w:t>
      </w:r>
      <w:r w:rsidRPr="00C50ED5">
        <w:rPr>
          <w:rFonts w:ascii="Arial" w:hAnsi="Arial" w:cs="Arial"/>
          <w:b/>
          <w:sz w:val="22"/>
          <w:szCs w:val="22"/>
          <w:lang w:val="en-US"/>
        </w:rPr>
        <w:t>s</w:t>
      </w:r>
      <w:r>
        <w:rPr>
          <w:rFonts w:ascii="Arial" w:hAnsi="Arial" w:cs="Arial"/>
          <w:b/>
          <w:sz w:val="22"/>
          <w:szCs w:val="22"/>
          <w:lang w:val="en-US"/>
        </w:rPr>
        <w:t xml:space="preserve"> and</w:t>
      </w:r>
      <w:r w:rsidRPr="00BD7CC9">
        <w:rPr>
          <w:rFonts w:ascii="Arial" w:hAnsi="Arial" w:cs="Arial"/>
          <w:b/>
          <w:color w:val="211F21"/>
          <w:sz w:val="22"/>
          <w:szCs w:val="22"/>
          <w:lang w:val="en-US"/>
        </w:rPr>
        <w:t xml:space="preserve"> </w:t>
      </w:r>
      <w:r>
        <w:rPr>
          <w:rFonts w:ascii="Arial" w:hAnsi="Arial" w:cs="Arial"/>
          <w:b/>
          <w:color w:val="211F21"/>
          <w:sz w:val="22"/>
          <w:szCs w:val="22"/>
          <w:lang w:val="en-US"/>
        </w:rPr>
        <w:t>b</w:t>
      </w:r>
      <w:r w:rsidRPr="00C50ED5">
        <w:rPr>
          <w:rFonts w:ascii="Arial" w:hAnsi="Arial" w:cs="Arial"/>
          <w:b/>
          <w:color w:val="211F21"/>
          <w:sz w:val="22"/>
          <w:szCs w:val="22"/>
          <w:lang w:val="en-US"/>
        </w:rPr>
        <w:t>uilding</w:t>
      </w:r>
      <w:r>
        <w:rPr>
          <w:rFonts w:ascii="Arial" w:hAnsi="Arial" w:cs="Arial"/>
          <w:b/>
          <w:color w:val="211F21"/>
          <w:sz w:val="22"/>
          <w:szCs w:val="22"/>
          <w:lang w:val="en-US"/>
        </w:rPr>
        <w:t xml:space="preserve"> of</w:t>
      </w:r>
      <w:r w:rsidRPr="00C50ED5">
        <w:rPr>
          <w:rFonts w:ascii="Arial" w:hAnsi="Arial" w:cs="Arial"/>
          <w:b/>
          <w:color w:val="211F21"/>
          <w:sz w:val="22"/>
          <w:szCs w:val="22"/>
          <w:lang w:val="en-US"/>
        </w:rPr>
        <w:t xml:space="preserve"> the Iron Score</w:t>
      </w:r>
    </w:p>
    <w:p w14:paraId="42EB161B" w14:textId="77777777" w:rsidR="00056BB0" w:rsidRPr="0097563E" w:rsidRDefault="00056BB0" w:rsidP="00056BB0">
      <w:pPr>
        <w:widowControl w:val="0"/>
        <w:spacing w:line="360" w:lineRule="auto"/>
        <w:jc w:val="both"/>
        <w:rPr>
          <w:rFonts w:ascii="Arial" w:hAnsi="Arial" w:cs="Arial"/>
          <w:color w:val="211F21"/>
          <w:sz w:val="22"/>
          <w:szCs w:val="22"/>
          <w:lang w:val="en-US"/>
        </w:rPr>
      </w:pPr>
      <w:r w:rsidRPr="00C50ED5">
        <w:rPr>
          <w:rFonts w:ascii="Arial" w:hAnsi="Arial" w:cs="Arial"/>
          <w:sz w:val="22"/>
          <w:szCs w:val="22"/>
          <w:lang w:val="en-US"/>
        </w:rPr>
        <w:t xml:space="preserve">The list of 62 genes involved in the regulation of iron biology was established using previously published data </w:t>
      </w:r>
      <w:r w:rsidRPr="0097563E">
        <w:rPr>
          <w:rFonts w:ascii="Arial" w:hAnsi="Arial" w:cs="Arial"/>
          <w:sz w:val="22"/>
          <w:szCs w:val="22"/>
          <w:lang w:val="en-US"/>
        </w:rPr>
        <w:fldChar w:fldCharType="begin"/>
      </w:r>
      <w:r>
        <w:rPr>
          <w:rFonts w:ascii="Arial" w:hAnsi="Arial" w:cs="Arial"/>
          <w:sz w:val="22"/>
          <w:szCs w:val="22"/>
          <w:lang w:val="en-US"/>
        </w:rPr>
        <w:instrText xml:space="preserve"> ADDIN ZOTERO_ITEM CSL_CITATION {"citationID":"6dg1vsWZ","properties":{"formattedCitation":"(Miller et al., 2011)","plainCitation":"(Miller et al., 2011)","noteIndex":0},"citationItems":[{"id":1008,"uris":["http://zotero.org/users/1781003/items/J2YMHTFR"],"uri":["http://zotero.org/users/1781003/items/J2YMHTFR"],"itemData":{"id":1008,"type":"article-journal","abstract":"Changes in iron regulation characterize the malignant state. However, the pathways that effect these changes and their specific impact on prognosis remain poorly understood. We capitalized on publicly available microarray datasets comprising 674 breast cancer cases to systematically investigate how expression of genes related to iron metabolism is linked to breast cancer prognosis. Of 61 genes involved in iron regulation, 49% were statistically significantly associated with distant metastasis-free survival. Cases were divided into test and training cohorts, and the supervised principal component method was used to stratify cases into risk groups. Optimal risk stratification was achieved with a model comprising 16 genes, which we term the iron regulatory gene signature (IRGS). Multivariable analysis revealed that the IRGS contributes information not captured by conventional prognostic indicators (HR = 1.61; 95% confidence interval: 1.16-2.24; P = 0.004). The IRGS successfully stratified homogeneously treated patients, including ER+ patients treated with tamoxifen monotherapy, both with (P = 0.006) and without (P = 0.03) lymph node metastases. To test whether multiple pathways were embedded within the IRGS, we evaluated the performance of two gene dyads with known roles in iron biology in ER+ patients treated with tamoxifen monotherapy (n = 371). For both dyads, gene combinations that minimized intracellular iron content [anti-import: TFRC(Low)/HFE(High); or pro-export: SLC40A1 (ferroportin)(High)/HAMP(Low)] were associated with favorable prognosis (P &lt; 0.005). Although the clinical utility of the IRGS will require further evaluation, its ability to both identify high-risk patients within traditionally low-risk groups and low-risk patients within high-risk groups has the potential to affect therapeutic decision making.","container-title":"Cancer Research","DOI":"10.1158/0008-5472.CAN-11-1870","ISSN":"1538-7445","issue":"21","journalAbbreviation":"Cancer Res.","language":"eng","note":"PMID: 21875943\nPMCID: PMC3206152","page":"6728-6737","source":"PubMed","title":"An iron regulatory gene signature predicts outcome in breast cancer","volume":"71","author":[{"family":"Miller","given":"Lance D."},{"family":"Coffman","given":"Lan G."},{"family":"Chou","given":"Jeff W."},{"family":"Black","given":"Michael A."},{"family":"Bergh","given":"Jonas"},{"family":"D'Agostino","given":"Ralph"},{"family":"Torti","given":"Suzy V."},{"family":"Torti","given":"Frank M."}],"issued":{"date-parts":[["2011",11,1]]}}}],"schema":"https://github.com/citation-style-language/schema/raw/master/csl-citation.json"} </w:instrText>
      </w:r>
      <w:r w:rsidRPr="0097563E">
        <w:rPr>
          <w:rFonts w:ascii="Arial" w:hAnsi="Arial" w:cs="Arial"/>
          <w:sz w:val="22"/>
          <w:szCs w:val="22"/>
          <w:lang w:val="en-US"/>
        </w:rPr>
        <w:fldChar w:fldCharType="separate"/>
      </w:r>
      <w:r w:rsidRPr="0097563E">
        <w:rPr>
          <w:rFonts w:ascii="Arial" w:hAnsi="Arial" w:cs="Arial"/>
          <w:sz w:val="22"/>
          <w:szCs w:val="22"/>
          <w:lang w:val="en-US"/>
        </w:rPr>
        <w:t>(Miller et al., 2011)</w:t>
      </w:r>
      <w:r w:rsidRPr="0097563E">
        <w:rPr>
          <w:rFonts w:ascii="Arial" w:hAnsi="Arial" w:cs="Arial"/>
          <w:sz w:val="22"/>
          <w:szCs w:val="22"/>
          <w:lang w:val="en-US"/>
        </w:rPr>
        <w:fldChar w:fldCharType="end"/>
      </w:r>
      <w:r w:rsidRPr="0097563E">
        <w:rPr>
          <w:rFonts w:ascii="Arial" w:hAnsi="Arial" w:cs="Arial"/>
          <w:sz w:val="22"/>
          <w:szCs w:val="22"/>
          <w:lang w:val="en-US"/>
        </w:rPr>
        <w:t>.</w:t>
      </w:r>
    </w:p>
    <w:p w14:paraId="4FBBDAF5" w14:textId="77777777" w:rsidR="00056BB0" w:rsidRPr="0097563E" w:rsidRDefault="00056BB0" w:rsidP="00056BB0">
      <w:pPr>
        <w:spacing w:line="360" w:lineRule="auto"/>
        <w:jc w:val="both"/>
        <w:rPr>
          <w:rFonts w:ascii="Arial" w:hAnsi="Arial" w:cs="Arial"/>
          <w:sz w:val="22"/>
          <w:szCs w:val="22"/>
          <w:lang w:val="en-US"/>
        </w:rPr>
      </w:pPr>
      <w:r w:rsidRPr="00C50ED5">
        <w:rPr>
          <w:rFonts w:ascii="Arial" w:hAnsi="Arial" w:cs="Arial"/>
          <w:color w:val="211F21"/>
          <w:sz w:val="22"/>
          <w:szCs w:val="22"/>
          <w:lang w:val="en-US"/>
        </w:rPr>
        <w:t xml:space="preserve">Expression of these genes was interrogated in normal B cells </w:t>
      </w:r>
      <w:r w:rsidRPr="00C50ED5">
        <w:rPr>
          <w:rFonts w:ascii="Arial" w:hAnsi="Arial" w:cs="Arial"/>
          <w:sz w:val="22"/>
          <w:szCs w:val="22"/>
          <w:lang w:val="en-US"/>
        </w:rPr>
        <w:t xml:space="preserve">(n=5 </w:t>
      </w:r>
      <w:proofErr w:type="spellStart"/>
      <w:r w:rsidRPr="00C50ED5">
        <w:rPr>
          <w:rFonts w:ascii="Arial" w:hAnsi="Arial" w:cs="Arial"/>
          <w:sz w:val="22"/>
          <w:szCs w:val="22"/>
          <w:lang w:val="en-US"/>
        </w:rPr>
        <w:t>centroblasts</w:t>
      </w:r>
      <w:proofErr w:type="spellEnd"/>
      <w:r w:rsidRPr="00C50ED5">
        <w:rPr>
          <w:rFonts w:ascii="Arial" w:hAnsi="Arial" w:cs="Arial"/>
          <w:sz w:val="22"/>
          <w:szCs w:val="22"/>
          <w:lang w:val="en-US"/>
        </w:rPr>
        <w:t xml:space="preserve">, n=5 centrocytes) </w:t>
      </w:r>
      <w:r w:rsidRPr="00C50ED5">
        <w:rPr>
          <w:rFonts w:ascii="Arial" w:hAnsi="Arial" w:cs="Arial"/>
          <w:color w:val="211F21"/>
          <w:sz w:val="22"/>
          <w:szCs w:val="22"/>
          <w:lang w:val="en-US"/>
        </w:rPr>
        <w:t xml:space="preserve">and in DLBCL samples (n=73) using data published by the group of </w:t>
      </w:r>
      <w:proofErr w:type="spellStart"/>
      <w:r w:rsidRPr="00C50ED5">
        <w:rPr>
          <w:rFonts w:ascii="Arial" w:hAnsi="Arial" w:cs="Arial"/>
          <w:color w:val="211F21"/>
          <w:sz w:val="22"/>
          <w:szCs w:val="22"/>
          <w:lang w:val="en-US"/>
        </w:rPr>
        <w:t>Compagno</w:t>
      </w:r>
      <w:proofErr w:type="spellEnd"/>
      <w:r w:rsidRPr="00C50ED5">
        <w:rPr>
          <w:rFonts w:ascii="Arial" w:hAnsi="Arial" w:cs="Arial"/>
          <w:color w:val="211F21"/>
          <w:sz w:val="22"/>
          <w:szCs w:val="22"/>
          <w:lang w:val="en-US"/>
        </w:rPr>
        <w:t xml:space="preserve"> </w:t>
      </w:r>
      <w:r w:rsidRPr="0097563E">
        <w:rPr>
          <w:rFonts w:ascii="Arial" w:hAnsi="Arial" w:cs="Arial"/>
          <w:color w:val="211F21"/>
          <w:sz w:val="22"/>
          <w:szCs w:val="22"/>
          <w:lang w:val="en-US"/>
        </w:rPr>
        <w:fldChar w:fldCharType="begin"/>
      </w:r>
      <w:r>
        <w:rPr>
          <w:rFonts w:ascii="Arial" w:hAnsi="Arial" w:cs="Arial"/>
          <w:color w:val="211F21"/>
          <w:sz w:val="22"/>
          <w:szCs w:val="22"/>
          <w:lang w:val="en-US"/>
        </w:rPr>
        <w:instrText xml:space="preserve"> ADDIN ZOTERO_ITEM CSL_CITATION {"citationID":"56Cr0CTZ","properties":{"formattedCitation":"(Compagno et al., 2009)","plainCitation":"(Compagno et al., 2009)","noteIndex":0},"citationItems":[{"id":1010,"uris":["http://zotero.org/users/1781003/items/DF9AJ8JR"],"uri":["http://zotero.org/users/1781003/items/DF9AJ8JR"],"itemData":{"id":1010,"type":"article-journal","abstract":"Diffuse large B-cell lymphoma (DLBCL), the most common form of lymphoma in adulthood, comprises multiple biologically and clinically distinct subtypes including germinal centre B-cell-like (GCB) and activated B-cell-like (ABC) DLBCL. Gene expression profile studies have shown that its most aggressive subtype, ABC-DLBCL, is associated with constitutive activation of the NF-kappaB transcription complex. However, except for a small fraction of cases, it remains unclear whether NF-kappaB activation in these tumours represents an intrinsic program of the tumour cell of origin or a pathogenetic event. Here we show that &gt;50% of ABC-DLBCL and a smaller fraction of GCB-DLBCL carry somatic mutations in multiple genes, including negative (TNFAIP3, also called A20) and positive (CARD11, TRAF2, TRAF5, MAP3K7 (TAK1) and TNFRSF11A (RANK)) regulators of NF-kappaB. Of these, the A20 gene, which encodes a ubiquitin-modifying enzyme involved in termination of NF-kappaB responses, is most commonly affected, with approximately 30% of patients displaying biallelic inactivation by mutations and/or deletions. When reintroduced in cell lines carrying biallelic inactivation of the gene, A20 induced apoptosis and cell growth arrest, indicating a tumour suppressor role. Less frequently, missense mutations of TRAF2 and CARD11 produce molecules with significantly enhanced ability to activate NF-kappaB. Thus, our results demonstrate that NF-kappaB activation in DLBCL is caused by genetic lesions affecting multiple genes, the loss or activation of which may promote lymphomagenesis by leading to abnormally prolonged NF-kappaB responses.","container-title":"Nature","DOI":"10.1038/nature07968","ISSN":"1476-4687","issue":"7247","journalAbbreviation":"Nature","language":"eng","note":"PMID: 19412164\nPMCID: PMC2973325","page":"717-721","source":"PubMed","title":"Mutations of multiple genes cause deregulation of NF-kappaB in diffuse large B-cell lymphoma","volume":"459","author":[{"family":"Compagno","given":"Mara"},{"family":"Lim","given":"Wei Keat"},{"family":"Grunn","given":"Adina"},{"family":"Nandula","given":"Subhadra V."},{"family":"Brahmachary","given":"Manisha"},{"family":"Shen","given":"Qiong"},{"family":"Bertoni","given":"Francesco"},{"family":"Ponzoni","given":"Maurilio"},{"family":"Scandurra","given":"Marta"},{"family":"Califano","given":"Andrea"},{"family":"Bhagat","given":"Govind"},{"family":"Chadburn","given":"Amy"},{"family":"Dalla-Favera","given":"Riccardo"},{"family":"Pasqualucci","given":"Laura"}],"issued":{"date-parts":[["2009",6,4]]}}}],"schema":"https://github.com/citation-style-language/schema/raw/master/csl-citation.json"} </w:instrText>
      </w:r>
      <w:r w:rsidRPr="0097563E">
        <w:rPr>
          <w:rFonts w:ascii="Arial" w:hAnsi="Arial" w:cs="Arial"/>
          <w:color w:val="211F21"/>
          <w:sz w:val="22"/>
          <w:szCs w:val="22"/>
          <w:lang w:val="en-US"/>
        </w:rPr>
        <w:fldChar w:fldCharType="separate"/>
      </w:r>
      <w:r w:rsidRPr="0097563E">
        <w:rPr>
          <w:rFonts w:ascii="Arial" w:hAnsi="Arial" w:cs="Arial"/>
          <w:sz w:val="22"/>
          <w:szCs w:val="22"/>
          <w:lang w:val="en-US"/>
        </w:rPr>
        <w:t>(</w:t>
      </w:r>
      <w:proofErr w:type="spellStart"/>
      <w:r w:rsidRPr="0097563E">
        <w:rPr>
          <w:rFonts w:ascii="Arial" w:hAnsi="Arial" w:cs="Arial"/>
          <w:sz w:val="22"/>
          <w:szCs w:val="22"/>
          <w:lang w:val="en-US"/>
        </w:rPr>
        <w:t>Compagno</w:t>
      </w:r>
      <w:proofErr w:type="spellEnd"/>
      <w:r w:rsidRPr="0097563E">
        <w:rPr>
          <w:rFonts w:ascii="Arial" w:hAnsi="Arial" w:cs="Arial"/>
          <w:sz w:val="22"/>
          <w:szCs w:val="22"/>
          <w:lang w:val="en-US"/>
        </w:rPr>
        <w:t xml:space="preserve"> et al., 2009)</w:t>
      </w:r>
      <w:r w:rsidRPr="0097563E">
        <w:rPr>
          <w:rFonts w:ascii="Arial" w:hAnsi="Arial" w:cs="Arial"/>
          <w:color w:val="211F21"/>
          <w:sz w:val="22"/>
          <w:szCs w:val="22"/>
          <w:lang w:val="en-US"/>
        </w:rPr>
        <w:fldChar w:fldCharType="end"/>
      </w:r>
      <w:r w:rsidRPr="0097563E">
        <w:rPr>
          <w:rFonts w:ascii="Arial" w:hAnsi="Arial" w:cs="Arial"/>
          <w:color w:val="211F21"/>
          <w:sz w:val="22"/>
          <w:szCs w:val="22"/>
          <w:lang w:val="en-US"/>
        </w:rPr>
        <w:t xml:space="preserve">. </w:t>
      </w:r>
      <w:r w:rsidRPr="00C50ED5">
        <w:rPr>
          <w:rFonts w:ascii="Arial" w:hAnsi="Arial" w:cs="Arial"/>
          <w:color w:val="211F21"/>
          <w:sz w:val="22"/>
          <w:szCs w:val="22"/>
          <w:lang w:val="en-US"/>
        </w:rPr>
        <w:t xml:space="preserve">Affymetrix gene expression data are publicly available </w:t>
      </w:r>
      <w:r w:rsidRPr="00C50ED5">
        <w:rPr>
          <w:rFonts w:ascii="Arial" w:hAnsi="Arial" w:cs="Arial"/>
          <w:i/>
          <w:iCs/>
          <w:color w:val="211F21"/>
          <w:sz w:val="22"/>
          <w:szCs w:val="22"/>
          <w:lang w:val="en-US"/>
        </w:rPr>
        <w:t xml:space="preserve">via </w:t>
      </w:r>
      <w:r w:rsidRPr="00C50ED5">
        <w:rPr>
          <w:rFonts w:ascii="Arial" w:hAnsi="Arial" w:cs="Arial"/>
          <w:color w:val="211F21"/>
          <w:sz w:val="22"/>
          <w:szCs w:val="22"/>
          <w:lang w:val="en-US"/>
        </w:rPr>
        <w:t>the online Gene Expression Omnibus (http:// www.ncbi.nlm.nih.gov/geo/) under accession number GSE12195.</w:t>
      </w:r>
    </w:p>
    <w:p w14:paraId="74CBB7FA" w14:textId="77777777" w:rsidR="00056BB0" w:rsidRPr="00C50ED5" w:rsidRDefault="00056BB0" w:rsidP="00056BB0">
      <w:pPr>
        <w:widowControl w:val="0"/>
        <w:spacing w:line="360" w:lineRule="auto"/>
        <w:jc w:val="both"/>
        <w:rPr>
          <w:rFonts w:ascii="Arial" w:hAnsi="Arial" w:cs="Arial"/>
          <w:b/>
          <w:color w:val="211F21"/>
          <w:sz w:val="22"/>
          <w:szCs w:val="22"/>
          <w:lang w:val="en-US"/>
        </w:rPr>
      </w:pPr>
      <w:r w:rsidRPr="00C50ED5">
        <w:rPr>
          <w:rFonts w:ascii="Arial" w:hAnsi="Arial" w:cs="Arial"/>
          <w:sz w:val="22"/>
          <w:szCs w:val="22"/>
          <w:lang w:val="en-US"/>
        </w:rPr>
        <w:t xml:space="preserve">Significance analysis of microarray analysis was applied to the 62 selected probe sets in the different samples with 1000 permutations, a fold change of two and a false discovery rate of 0% (t-test). </w:t>
      </w:r>
    </w:p>
    <w:p w14:paraId="465DDCE5" w14:textId="2A324585" w:rsidR="00056BB0" w:rsidRPr="00EF01D8" w:rsidRDefault="00056BB0" w:rsidP="00D46C23">
      <w:pPr>
        <w:spacing w:line="360" w:lineRule="auto"/>
        <w:jc w:val="both"/>
        <w:rPr>
          <w:rFonts w:ascii="Arial" w:eastAsia="Times New Roman" w:hAnsi="Arial" w:cs="Arial"/>
          <w:sz w:val="22"/>
          <w:szCs w:val="22"/>
          <w:lang w:val="en-US" w:eastAsia="fr-FR"/>
        </w:rPr>
      </w:pPr>
      <w:r w:rsidRPr="005350CE">
        <w:rPr>
          <w:rFonts w:ascii="Arial" w:hAnsi="Arial" w:cs="Arial"/>
          <w:color w:val="211F21"/>
          <w:sz w:val="22"/>
          <w:szCs w:val="22"/>
          <w:lang w:val="en-US"/>
        </w:rPr>
        <w:t>Gene expression microarray data from two independent cohorts of patients diagnosed with DLBCL and treated by R-CHOP were used. The first cohort comprised 233</w:t>
      </w:r>
      <w:r w:rsidRPr="00D46C23">
        <w:rPr>
          <w:rFonts w:ascii="Arial" w:hAnsi="Arial" w:cs="Arial"/>
          <w:color w:val="211F21"/>
          <w:sz w:val="22"/>
          <w:szCs w:val="22"/>
          <w:lang w:val="en-US"/>
        </w:rPr>
        <w:t xml:space="preserve"> patients</w:t>
      </w:r>
      <w:r w:rsidR="005350CE" w:rsidRPr="00D46C23">
        <w:rPr>
          <w:rFonts w:ascii="Arial" w:hAnsi="Arial" w:cs="Arial"/>
          <w:color w:val="211F21"/>
          <w:sz w:val="22"/>
          <w:szCs w:val="22"/>
          <w:lang w:val="en-US"/>
        </w:rPr>
        <w:t xml:space="preserve"> (Lenz R-CHOP cohort)</w:t>
      </w:r>
      <w:r w:rsidRPr="00D46C23">
        <w:rPr>
          <w:rFonts w:ascii="Arial" w:hAnsi="Arial" w:cs="Arial"/>
          <w:color w:val="211F21"/>
          <w:sz w:val="22"/>
          <w:szCs w:val="22"/>
          <w:lang w:val="en-US"/>
        </w:rPr>
        <w:t xml:space="preserve"> </w:t>
      </w:r>
      <w:r w:rsidRPr="005350CE">
        <w:rPr>
          <w:rFonts w:ascii="Arial" w:hAnsi="Arial" w:cs="Arial"/>
          <w:color w:val="211F21"/>
          <w:sz w:val="22"/>
          <w:szCs w:val="22"/>
          <w:lang w:val="en-US"/>
        </w:rPr>
        <w:fldChar w:fldCharType="begin"/>
      </w:r>
      <w:r w:rsidRPr="005350CE">
        <w:rPr>
          <w:rFonts w:ascii="Arial" w:hAnsi="Arial" w:cs="Arial"/>
          <w:color w:val="211F21"/>
          <w:sz w:val="22"/>
          <w:szCs w:val="22"/>
          <w:lang w:val="en-US"/>
        </w:rPr>
        <w:instrText xml:space="preserve"> ADDIN ZOTERO_ITEM CSL_CITATION {"citationID":"H6CHFVjU","properties":{"formattedCitation":"(Lenz et al., 2008)","plainCitation":"(Lenz et al., 2008)","noteIndex":0},"citationItems":[{"id":761,"uris":["http://zotero.org/users/1781003/items/5VKM3JXI"],"uri":["http://zotero.org/users/1781003/items/5VKM3JXI"],"itemData":{"id":761,"type":"article-journal","abstract":"BACKGROUND: The addition of rituximab to combination chemotherapy with cyclophosphamide, doxorubicin, vincristine, and prednisone (CHOP), or R-CHOP, has significantly improved the survival of patients with diffuse large-B-cell lymphoma. Whether gene-expression signatures correlate with survival after treatment of diffuse large-B-cell lymphoma is unclear.\nMETHODS: We profiled gene expression in pretreatment biopsy specimens from 181 patients with diffuse large-B-cell lymphoma who received CHOP and 233 patients with this disease who received R-CHOP. A multivariate gene-expression-based survival-predictor model derived from a training group was tested in a validation group.\nRESULTS: A multivariate model created from three gene-expression signatures--termed \"germinal-center B-cell,\" \"stromal-1,\" and \"stromal-2\"--predicted survival both in patients who received CHOP and patients who received R-CHOP. The prognostically favorable stromal-1 signature reflected extracellular-matrix deposition and histiocytic infiltration. By contrast, the prognostically unfavorable stromal-2 signature reflected tumor blood-vessel density.\nCONCLUSIONS: Survival after treatment of diffuse large-B-cell lymphoma is influenced by differences in immune cells, fibrosis, and angiogenesis in the tumor microenvironment.","container-title":"The New England Journal of Medicine","DOI":"10.1056/NEJMoa0802885","ISSN":"1533-4406","issue":"22","journalAbbreviation":"N. Engl. J. Med.","language":"eng","note":"PMID: 19038878","page":"2313-2323","source":"PubMed","title":"Stromal gene signatures in large-B-cell lymphomas","volume":"359","author":[{"family":"Lenz","given":"G."},{"family":"Wright","given":"G."},{"family":"Dave","given":"S. S."},{"family":"Xiao","given":"W."},{"family":"Powell","given":"J."},{"family":"Zhao","given":"H."},{"family":"Xu","given":"W."},{"family":"Tan","given":"B."},{"family":"Goldschmidt","given":"N."},{"family":"Iqbal","given":"J."},{"family":"Vose","given":"J."},{"family":"Bast","given":"M."},{"family":"Fu","given":"K."},{"family":"Weisenburger","given":"D. D."},{"family":"Greiner","given":"T. C."},{"family":"Armitage","given":"J. O."},{"family":"Kyle","given":"A."},{"family":"May","given":"L."},{"family":"Gascoyne","given":"R. D."},{"family":"Connors","given":"J. M."},{"family":"Troen","given":"G."},{"family":"Holte","given":"H."},{"family":"Kvaloy","given":"S."},{"family":"Dierickx","given":"D."},{"family":"Verhoef","given":"G."},{"family":"Delabie","given":"J."},{"family":"Smeland","given":"E. B."},{"family":"Jares","given":"P."},{"family":"Martinez","given":"A."},{"family":"Lopez-Guillermo","given":"A."},{"family":"Montserrat","given":"E."},{"family":"Campo","given":"E."},{"family":"Braziel","given":"R. M."},{"family":"Miller","given":"T. P."},{"family":"Rimsza","given":"L. M."},{"family":"Cook","given":"J. R."},{"family":"Pohlman","given":"B."},{"family":"Sweetenham","given":"J."},{"family":"Tubbs","given":"R. R."},{"family":"Fisher","given":"R. I."},{"family":"Hartmann","given":"E."},{"family":"Rosenwald","given":"A."},{"family":"Ott","given":"G."},{"family":"Muller-Hermelink","given":"H.-K."},{"family":"Wrench","given":"D."},{"family":"Lister","given":"T. A."},{"family":"Jaffe","given":"E. S."},{"family":"Wilson","given":"W. H."},{"family":"Chan","given":"W. C."},{"family":"Staudt","given":"L. M."},{"literal":"Lymphoma/Leukemia Molecular Profiling Project"}],"issued":{"date-parts":[["2008",11,27]]}}}],"schema":"https://github.com/citation-style-language/schema/raw/master/csl-citation.json"} </w:instrText>
      </w:r>
      <w:r w:rsidRPr="005350CE">
        <w:rPr>
          <w:rFonts w:ascii="Arial" w:hAnsi="Arial" w:cs="Arial"/>
          <w:color w:val="211F21"/>
          <w:sz w:val="22"/>
          <w:szCs w:val="22"/>
          <w:lang w:val="en-US"/>
        </w:rPr>
        <w:fldChar w:fldCharType="separate"/>
      </w:r>
      <w:r w:rsidRPr="005350CE">
        <w:rPr>
          <w:rFonts w:ascii="Arial" w:hAnsi="Arial" w:cs="Arial"/>
          <w:sz w:val="22"/>
          <w:szCs w:val="22"/>
          <w:lang w:val="en-US"/>
        </w:rPr>
        <w:t>(Lenz et al., 2008)</w:t>
      </w:r>
      <w:r w:rsidRPr="005350CE">
        <w:rPr>
          <w:rFonts w:ascii="Arial" w:hAnsi="Arial" w:cs="Arial"/>
          <w:color w:val="211F21"/>
          <w:sz w:val="22"/>
          <w:szCs w:val="22"/>
          <w:lang w:val="en-US"/>
        </w:rPr>
        <w:fldChar w:fldCharType="end"/>
      </w:r>
      <w:r w:rsidRPr="005350CE">
        <w:rPr>
          <w:rFonts w:ascii="Arial" w:hAnsi="Arial" w:cs="Arial"/>
          <w:color w:val="211F21"/>
          <w:sz w:val="22"/>
          <w:szCs w:val="22"/>
          <w:lang w:val="en-US"/>
        </w:rPr>
        <w:t xml:space="preserve"> and the second one comprised 69 patients </w:t>
      </w:r>
      <w:r w:rsidR="005350CE" w:rsidRPr="005350CE">
        <w:rPr>
          <w:rFonts w:ascii="Arial" w:hAnsi="Arial" w:cs="Arial"/>
          <w:color w:val="211F21"/>
          <w:sz w:val="22"/>
          <w:szCs w:val="22"/>
          <w:lang w:val="en-US"/>
        </w:rPr>
        <w:t xml:space="preserve">(Melnick </w:t>
      </w:r>
      <w:r w:rsidR="00721F72">
        <w:rPr>
          <w:rFonts w:ascii="Arial" w:hAnsi="Arial" w:cs="Arial"/>
          <w:color w:val="211F21"/>
          <w:sz w:val="22"/>
          <w:szCs w:val="22"/>
          <w:lang w:val="en-US"/>
        </w:rPr>
        <w:t xml:space="preserve">R-CHOP </w:t>
      </w:r>
      <w:r w:rsidR="005350CE" w:rsidRPr="005350CE">
        <w:rPr>
          <w:rFonts w:ascii="Arial" w:hAnsi="Arial" w:cs="Arial"/>
          <w:color w:val="211F21"/>
          <w:sz w:val="22"/>
          <w:szCs w:val="22"/>
          <w:lang w:val="en-US"/>
        </w:rPr>
        <w:t xml:space="preserve">cohort) </w:t>
      </w:r>
      <w:r w:rsidRPr="005350CE">
        <w:rPr>
          <w:rFonts w:ascii="Arial" w:hAnsi="Arial" w:cs="Arial"/>
          <w:color w:val="211F21"/>
          <w:sz w:val="22"/>
          <w:szCs w:val="22"/>
          <w:lang w:val="en-US"/>
        </w:rPr>
        <w:fldChar w:fldCharType="begin"/>
      </w:r>
      <w:r w:rsidRPr="005350CE">
        <w:rPr>
          <w:rFonts w:ascii="Arial" w:hAnsi="Arial" w:cs="Arial"/>
          <w:color w:val="211F21"/>
          <w:sz w:val="22"/>
          <w:szCs w:val="22"/>
          <w:lang w:val="en-US"/>
        </w:rPr>
        <w:instrText xml:space="preserve"> ADDIN ZOTERO_ITEM CSL_CITATION {"citationID":"kdgIjqfB","properties":{"formattedCitation":"(Shaknovich et al., 2010)","plainCitation":"(Shaknovich et al., 2010)","noteIndex":0},"citationItems":[{"id":1498,"uris":["http://zotero.org/users/1781003/items/6JI9QCMW"],"uri":["http://zotero.org/users/1781003/items/6JI9QCMW"],"itemData":{"id":1498,"type":"article-journal","abstract":"Expression profiling has shown 2 main and clinically distinct subtypes of diffuse large B-cell lymphomas (DLBCLs): germinal-center B cell-like (GCB) and activated B cell-like (ABC) DLBCLs. Further work has shown that these subtypes are partially characterized by distinct genetic alterations and different survival. Here, we show with the use of an assay that measures DNA methylation levels of 50,000 CpG motifs distributed among more than 14,000 promoters that these 2 DLBCL subtypes are also characterized by distinct epigenetic profiles. DNA methylation and gene expression profiling were performed on a cohort of 69 patients with DLBCL. After assigning ABC or GCB labels with a Bayesian expression classifier trained on an independent dataset, a supervised analysis identified 311 differentially methylated probe sets (263 unique genes) between ABC and GCB DLBCLs. Integrated analysis of methylation and gene expression showed a core tumor necrosis factor-α signaling pathway as the principal differentially perturbed gene network. Sixteen genes overlapped between the core ABC/GCB methylation and expression signatures and encoded important proteins such as IKZF1. This reduced gene set was an accurate predictor of ABC and GCB subtypes. Collectively, the data suggest that epigenetic patterning contributes to the ABC and GCB DLBCL phenotypes and could serve as useful biomarker.","container-title":"Blood","DOI":"10.1182/blood-2010-05-285320","ISSN":"1528-0020","issue":"20","journalAbbreviation":"Blood","language":"eng","note":"PMID: 20610814\nPMCID: PMC2993635","page":"e81-89","source":"PubMed","title":"DNA methylation signatures define molecular subtypes of diffuse large B-cell lymphoma","volume":"116","author":[{"family":"Shaknovich","given":"Rita"},{"family":"Geng","given":"Huimin"},{"family":"Johnson","given":"Nathalie A."},{"family":"Tsikitas","given":"Lucas"},{"family":"Cerchietti","given":"Leandro"},{"family":"Greally","given":"John M."},{"family":"Gascoyne","given":"Randy D."},{"family":"Elemento","given":"Olivier"},{"family":"Melnick","given":"Ari"}],"issued":{"date-parts":[["2010",11,18]]}}}],"schema":"https://github.com/citation-style-language/schema/raw/master/csl-citation.json"} </w:instrText>
      </w:r>
      <w:r w:rsidRPr="005350CE">
        <w:rPr>
          <w:rFonts w:ascii="Arial" w:hAnsi="Arial" w:cs="Arial"/>
          <w:color w:val="211F21"/>
          <w:sz w:val="22"/>
          <w:szCs w:val="22"/>
          <w:lang w:val="en-US"/>
        </w:rPr>
        <w:fldChar w:fldCharType="separate"/>
      </w:r>
      <w:r w:rsidRPr="005350CE">
        <w:rPr>
          <w:rFonts w:ascii="Arial" w:hAnsi="Arial" w:cs="Arial"/>
          <w:sz w:val="22"/>
          <w:szCs w:val="22"/>
          <w:lang w:val="en-US"/>
        </w:rPr>
        <w:t>(</w:t>
      </w:r>
      <w:proofErr w:type="spellStart"/>
      <w:r w:rsidRPr="005350CE">
        <w:rPr>
          <w:rFonts w:ascii="Arial" w:hAnsi="Arial" w:cs="Arial"/>
          <w:sz w:val="22"/>
          <w:szCs w:val="22"/>
          <w:lang w:val="en-US"/>
        </w:rPr>
        <w:t>Shaknovich</w:t>
      </w:r>
      <w:proofErr w:type="spellEnd"/>
      <w:r w:rsidRPr="005350CE">
        <w:rPr>
          <w:rFonts w:ascii="Arial" w:hAnsi="Arial" w:cs="Arial"/>
          <w:sz w:val="22"/>
          <w:szCs w:val="22"/>
          <w:lang w:val="en-US"/>
        </w:rPr>
        <w:t xml:space="preserve"> et al., 2010)</w:t>
      </w:r>
      <w:r w:rsidRPr="005350CE">
        <w:rPr>
          <w:rFonts w:ascii="Arial" w:hAnsi="Arial" w:cs="Arial"/>
          <w:color w:val="211F21"/>
          <w:sz w:val="22"/>
          <w:szCs w:val="22"/>
          <w:lang w:val="en-US"/>
        </w:rPr>
        <w:fldChar w:fldCharType="end"/>
      </w:r>
      <w:r w:rsidRPr="005350CE">
        <w:rPr>
          <w:rFonts w:ascii="Arial" w:hAnsi="Arial" w:cs="Arial"/>
          <w:color w:val="211F21"/>
          <w:sz w:val="22"/>
          <w:szCs w:val="22"/>
          <w:lang w:val="en-US"/>
        </w:rPr>
        <w:t xml:space="preserve">. Pre-treatment clinical characteristics of patients were previously published by the groups of G. Lenz and of R. </w:t>
      </w:r>
      <w:proofErr w:type="spellStart"/>
      <w:r w:rsidRPr="005350CE">
        <w:rPr>
          <w:rFonts w:ascii="Arial" w:hAnsi="Arial" w:cs="Arial"/>
          <w:color w:val="211F21"/>
          <w:sz w:val="22"/>
          <w:szCs w:val="22"/>
          <w:lang w:val="en-US"/>
        </w:rPr>
        <w:t>Shaknovich</w:t>
      </w:r>
      <w:proofErr w:type="spellEnd"/>
      <w:r w:rsidRPr="005350CE">
        <w:rPr>
          <w:rFonts w:ascii="Arial" w:hAnsi="Arial" w:cs="Arial"/>
          <w:color w:val="211F21"/>
          <w:sz w:val="22"/>
          <w:szCs w:val="22"/>
          <w:lang w:val="en-US"/>
        </w:rPr>
        <w:t xml:space="preserve">. Affymetrix gene expression data are publicly available </w:t>
      </w:r>
      <w:r w:rsidRPr="005350CE">
        <w:rPr>
          <w:rFonts w:ascii="Arial" w:hAnsi="Arial" w:cs="Arial"/>
          <w:i/>
          <w:iCs/>
          <w:color w:val="211F21"/>
          <w:sz w:val="22"/>
          <w:szCs w:val="22"/>
          <w:lang w:val="en-US"/>
        </w:rPr>
        <w:t xml:space="preserve">via </w:t>
      </w:r>
      <w:r w:rsidRPr="00721F72">
        <w:rPr>
          <w:rFonts w:ascii="Arial" w:hAnsi="Arial" w:cs="Arial"/>
          <w:color w:val="211F21"/>
          <w:sz w:val="22"/>
          <w:szCs w:val="22"/>
          <w:lang w:val="en-US"/>
        </w:rPr>
        <w:t xml:space="preserve">the online Gene Expression Omnibus </w:t>
      </w:r>
      <w:r w:rsidRPr="00D46C23">
        <w:rPr>
          <w:rFonts w:ascii="Arial" w:hAnsi="Arial" w:cs="Arial"/>
          <w:color w:val="211F21"/>
          <w:sz w:val="22"/>
          <w:szCs w:val="22"/>
          <w:u w:val="single"/>
          <w:lang w:val="en-US"/>
        </w:rPr>
        <w:t>(http:// www.ncbi.nlm.nih.gov/geo/)</w:t>
      </w:r>
      <w:r w:rsidRPr="005350CE">
        <w:rPr>
          <w:rFonts w:ascii="Arial" w:hAnsi="Arial" w:cs="Arial"/>
          <w:color w:val="211F21"/>
          <w:sz w:val="22"/>
          <w:szCs w:val="22"/>
          <w:lang w:val="en-US"/>
        </w:rPr>
        <w:t xml:space="preserve"> under accession number GSE10846 and GSE23501. </w:t>
      </w:r>
      <w:r w:rsidR="005350CE" w:rsidRPr="005350CE">
        <w:rPr>
          <w:rFonts w:ascii="Arial" w:hAnsi="Arial" w:cs="Arial"/>
          <w:color w:val="211F21"/>
          <w:sz w:val="22"/>
          <w:szCs w:val="22"/>
          <w:lang w:val="en-US"/>
        </w:rPr>
        <w:t xml:space="preserve">Another cohort of </w:t>
      </w:r>
      <w:r w:rsidR="005350CE" w:rsidRPr="00EF01D8">
        <w:rPr>
          <w:rFonts w:ascii="Arial" w:eastAsia="Times New Roman" w:hAnsi="Arial" w:cs="Arial"/>
          <w:color w:val="000000"/>
          <w:sz w:val="22"/>
          <w:szCs w:val="22"/>
          <w:shd w:val="clear" w:color="auto" w:fill="FFFFFF"/>
          <w:lang w:val="en-US" w:eastAsia="fr-FR"/>
        </w:rPr>
        <w:t>formalin-fixed paraffin-embedded</w:t>
      </w:r>
      <w:r w:rsidR="005350CE">
        <w:rPr>
          <w:rFonts w:ascii="Arial" w:eastAsia="Times New Roman" w:hAnsi="Arial" w:cs="Arial"/>
          <w:color w:val="000000"/>
          <w:sz w:val="22"/>
          <w:szCs w:val="22"/>
          <w:shd w:val="clear" w:color="auto" w:fill="FFFFFF"/>
          <w:lang w:val="en-US" w:eastAsia="fr-FR"/>
        </w:rPr>
        <w:t xml:space="preserve"> (FFPE)</w:t>
      </w:r>
      <w:r w:rsidR="005350CE" w:rsidRPr="00EF01D8">
        <w:rPr>
          <w:rFonts w:ascii="Arial" w:eastAsia="Times New Roman" w:hAnsi="Arial" w:cs="Arial"/>
          <w:color w:val="000000"/>
          <w:sz w:val="22"/>
          <w:szCs w:val="22"/>
          <w:shd w:val="clear" w:color="auto" w:fill="FFFFFF"/>
          <w:lang w:val="en-US" w:eastAsia="fr-FR"/>
        </w:rPr>
        <w:t xml:space="preserve"> tissue</w:t>
      </w:r>
      <w:r w:rsidR="005350CE" w:rsidRPr="00EF01D8">
        <w:rPr>
          <w:rFonts w:ascii="Arial" w:eastAsia="Times New Roman" w:hAnsi="Arial" w:cs="Arial"/>
          <w:sz w:val="22"/>
          <w:szCs w:val="22"/>
          <w:lang w:val="en-US" w:eastAsia="fr-FR"/>
        </w:rPr>
        <w:t xml:space="preserve"> f</w:t>
      </w:r>
      <w:r w:rsidR="005350CE" w:rsidRPr="005350CE">
        <w:rPr>
          <w:rFonts w:ascii="Arial" w:hAnsi="Arial" w:cs="Arial"/>
          <w:color w:val="211F21"/>
          <w:sz w:val="22"/>
          <w:szCs w:val="22"/>
          <w:lang w:val="en-US"/>
        </w:rPr>
        <w:t xml:space="preserve">rom </w:t>
      </w:r>
      <w:r w:rsidR="005350CE">
        <w:rPr>
          <w:rFonts w:ascii="Arial" w:hAnsi="Arial" w:cs="Arial"/>
          <w:color w:val="211F21"/>
          <w:sz w:val="22"/>
          <w:szCs w:val="22"/>
          <w:lang w:val="en-US"/>
        </w:rPr>
        <w:t xml:space="preserve">newly-diagnosed </w:t>
      </w:r>
      <w:r w:rsidR="005350CE" w:rsidRPr="005350CE">
        <w:rPr>
          <w:rFonts w:ascii="Arial" w:hAnsi="Arial" w:cs="Arial"/>
          <w:color w:val="211F21"/>
          <w:sz w:val="22"/>
          <w:szCs w:val="22"/>
          <w:lang w:val="en-US"/>
        </w:rPr>
        <w:t>DLBCL patients treated with R-CHOP</w:t>
      </w:r>
      <w:r w:rsidR="005350CE">
        <w:rPr>
          <w:rFonts w:ascii="Arial" w:hAnsi="Arial" w:cs="Arial"/>
          <w:color w:val="211F21"/>
          <w:sz w:val="22"/>
          <w:szCs w:val="22"/>
          <w:lang w:val="en-US"/>
        </w:rPr>
        <w:t xml:space="preserve"> (n =72) was used as validation cohort (FFPE </w:t>
      </w:r>
      <w:r w:rsidR="00721F72">
        <w:rPr>
          <w:rFonts w:ascii="Arial" w:hAnsi="Arial" w:cs="Arial"/>
          <w:color w:val="211F21"/>
          <w:sz w:val="22"/>
          <w:szCs w:val="22"/>
          <w:lang w:val="en-US"/>
        </w:rPr>
        <w:t xml:space="preserve">R-CHOP </w:t>
      </w:r>
      <w:r w:rsidR="005350CE">
        <w:rPr>
          <w:rFonts w:ascii="Arial" w:hAnsi="Arial" w:cs="Arial"/>
          <w:color w:val="211F21"/>
          <w:sz w:val="22"/>
          <w:szCs w:val="22"/>
          <w:lang w:val="en-US"/>
        </w:rPr>
        <w:t>cohort</w:t>
      </w:r>
      <w:r w:rsidR="00D46C23">
        <w:rPr>
          <w:rFonts w:ascii="Arial" w:hAnsi="Arial" w:cs="Arial"/>
          <w:color w:val="211F21"/>
          <w:sz w:val="22"/>
          <w:szCs w:val="22"/>
          <w:lang w:val="en-US"/>
        </w:rPr>
        <w:t xml:space="preserve">; </w:t>
      </w:r>
      <w:r w:rsidR="00D46C23" w:rsidRPr="00D46C23">
        <w:rPr>
          <w:rFonts w:ascii="Arial" w:hAnsi="Arial" w:cs="Arial"/>
          <w:color w:val="211F21"/>
          <w:sz w:val="22"/>
          <w:szCs w:val="22"/>
          <w:lang w:val="en-US"/>
        </w:rPr>
        <w:t>GSE53786</w:t>
      </w:r>
      <w:r w:rsidR="005350CE">
        <w:rPr>
          <w:rFonts w:ascii="Arial" w:hAnsi="Arial" w:cs="Arial"/>
          <w:color w:val="211F21"/>
          <w:sz w:val="22"/>
          <w:szCs w:val="22"/>
          <w:lang w:val="en-US"/>
        </w:rPr>
        <w:t>)</w:t>
      </w:r>
      <w:r w:rsidR="007F380E">
        <w:rPr>
          <w:rFonts w:ascii="Arial" w:hAnsi="Arial" w:cs="Arial"/>
          <w:color w:val="211F21"/>
          <w:sz w:val="22"/>
          <w:szCs w:val="22"/>
          <w:lang w:val="en-US"/>
        </w:rPr>
        <w:t xml:space="preserve"> </w:t>
      </w:r>
      <w:r w:rsidR="007F380E">
        <w:rPr>
          <w:rFonts w:ascii="Arial" w:hAnsi="Arial" w:cs="Arial"/>
          <w:color w:val="211F21"/>
          <w:sz w:val="22"/>
          <w:szCs w:val="22"/>
          <w:lang w:val="en-US"/>
        </w:rPr>
        <w:fldChar w:fldCharType="begin"/>
      </w:r>
      <w:r w:rsidR="007F380E">
        <w:rPr>
          <w:rFonts w:ascii="Arial" w:hAnsi="Arial" w:cs="Arial"/>
          <w:color w:val="211F21"/>
          <w:sz w:val="22"/>
          <w:szCs w:val="22"/>
          <w:lang w:val="en-US"/>
        </w:rPr>
        <w:instrText xml:space="preserve"> ADDIN ZOTERO_ITEM CSL_CITATION {"citationID":"70mL9b5a","properties":{"formattedCitation":"(Scott et al., 2014)","plainCitation":"(Scott et al., 2014)","noteIndex":0},"citationItems":[{"id":1206,"uris":["http://zotero.org/users/1781003/items/K59EQZ6F"],"uri":["http://zotero.org/users/1781003/items/K59EQZ6F"],"itemData":{"id":1206,"type":"article-journal","abstract":"The assignment of diffuse large B-cell lymphoma into cell-of-origin (COO) groups is becoming increasingly important with the emergence of novel therapies that have selective biological activity in germinal center B-cell-like (GCB) or activated B-cell-like (ABC) groups. The LLMPP's Lymph2Cx assay is a parsimonious digital gene-expression (NanoString) based test for COO assignment in formalin-fixed paraffin-embedded tissue (FFPET) routinely produced in standard diagnostic processes. The 20-gene assay was trained using 51 FFPET biopsies; the locked assay was then validated using an independent cohort of 68 FFPET biopsies. Comparisons were made with COO assignment using the original COO model on matched frozen tissue. In the validation cohort the assay was accurate, with only one case with definitive COO being incorrectly assigned, and robust, with &gt;95% concordance of COO assignment between 2 independent laboratories. These qualities, along with the rapid turn-around-time, make Lymph2Cx attractive for implementation in clinical trials and, ultimately, patient management.","container-title":"Blood","DOI":"10.1182/blood-2013-11-536433","ISSN":"0006-4971, 1528-0020","language":"en","note":"PMID: 24398326","page":"blood-2013-11-536433","source":"www.bloodjournal.org","title":"Determining cell-of-origin subtypes of diffuse large B-cell lymphoma using gene expression in formalin-fixed paraffin embedded tissue","author":[{"family":"Scott","given":"David W."},{"family":"Wright","given":"George W."},{"family":"Williams","given":"P. Mickey"},{"family":"Lih","given":"Chih-Jian"},{"family":"Walsh","given":"William"},{"family":"Jaffe","given":"Elaine S."},{"family":"Rosenwald","given":"Andreas"},{"family":"Campo","given":"Elias"},{"family":"Chan","given":"Wing C."},{"family":"Connors","given":"Joseph M."},{"family":"Smeland","given":"Erlend B."},{"family":"Mottok","given":"Anja"},{"family":"Braziel","given":"Rita M."},{"family":"Ott","given":"German"},{"family":"Delabie","given":"Jan"},{"family":"Tubbs","given":"Raymond R."},{"family":"Cook","given":"James R."},{"family":"Weisenburger","given":"Dennis D."},{"family":"Greiner","given":"Timothy C."},{"family":"Glinsmann-Gibson","given":"Betty J."},{"family":"Fu","given":"Kai"},{"family":"Staudt","given":"Louis M."},{"family":"Gascoyne","given":"Randy D."},{"family":"Rimsza","given":"Lisa M."}],"issued":{"date-parts":[["2014",1,1]]}}}],"schema":"https://github.com/citation-style-language/schema/raw/master/csl-citation.json"} </w:instrText>
      </w:r>
      <w:r w:rsidR="007F380E">
        <w:rPr>
          <w:rFonts w:ascii="Arial" w:hAnsi="Arial" w:cs="Arial"/>
          <w:color w:val="211F21"/>
          <w:sz w:val="22"/>
          <w:szCs w:val="22"/>
          <w:lang w:val="en-US"/>
        </w:rPr>
        <w:fldChar w:fldCharType="separate"/>
      </w:r>
      <w:r w:rsidR="007F380E" w:rsidRPr="00EF01D8">
        <w:rPr>
          <w:rFonts w:ascii="Arial" w:hAnsi="Arial" w:cs="Arial"/>
          <w:sz w:val="22"/>
          <w:lang w:val="en-US"/>
        </w:rPr>
        <w:t>(Scott et al., 2014)</w:t>
      </w:r>
      <w:r w:rsidR="007F380E">
        <w:rPr>
          <w:rFonts w:ascii="Arial" w:hAnsi="Arial" w:cs="Arial"/>
          <w:color w:val="211F21"/>
          <w:sz w:val="22"/>
          <w:szCs w:val="22"/>
          <w:lang w:val="en-US"/>
        </w:rPr>
        <w:fldChar w:fldCharType="end"/>
      </w:r>
      <w:r w:rsidR="007F380E">
        <w:rPr>
          <w:rFonts w:ascii="Arial" w:hAnsi="Arial" w:cs="Arial"/>
          <w:color w:val="211F21"/>
          <w:sz w:val="22"/>
          <w:szCs w:val="22"/>
          <w:lang w:val="en-US"/>
        </w:rPr>
        <w:t>.</w:t>
      </w:r>
      <w:r w:rsidR="005350CE" w:rsidRPr="005350CE">
        <w:rPr>
          <w:rFonts w:ascii="Arial" w:hAnsi="Arial" w:cs="Arial"/>
          <w:color w:val="211F21"/>
          <w:sz w:val="22"/>
          <w:szCs w:val="22"/>
          <w:lang w:val="en-US"/>
        </w:rPr>
        <w:t xml:space="preserve"> </w:t>
      </w:r>
      <w:proofErr w:type="spellStart"/>
      <w:r w:rsidR="00721F72">
        <w:rPr>
          <w:rFonts w:ascii="Arial" w:hAnsi="Arial" w:cs="Arial"/>
          <w:color w:val="211F21"/>
          <w:sz w:val="22"/>
          <w:szCs w:val="22"/>
          <w:lang w:val="en-US"/>
        </w:rPr>
        <w:t>An other</w:t>
      </w:r>
      <w:proofErr w:type="spellEnd"/>
      <w:r w:rsidR="00721F72">
        <w:rPr>
          <w:rFonts w:ascii="Arial" w:hAnsi="Arial" w:cs="Arial"/>
          <w:color w:val="211F21"/>
          <w:sz w:val="22"/>
          <w:szCs w:val="22"/>
          <w:lang w:val="en-US"/>
        </w:rPr>
        <w:t xml:space="preserve"> cohort of 181 newly diagnosed DLBCL patients treated by CHOP (Lenz </w:t>
      </w:r>
      <w:r w:rsidR="00D46C23">
        <w:rPr>
          <w:rFonts w:ascii="Arial" w:hAnsi="Arial" w:cs="Arial"/>
          <w:color w:val="211F21"/>
          <w:sz w:val="22"/>
          <w:szCs w:val="22"/>
          <w:lang w:val="en-US"/>
        </w:rPr>
        <w:t xml:space="preserve">CHOP cohort; </w:t>
      </w:r>
      <w:r w:rsidR="00D46C23" w:rsidRPr="000360C3">
        <w:rPr>
          <w:rFonts w:ascii="Arial" w:hAnsi="Arial" w:cs="Arial"/>
          <w:color w:val="211F21"/>
          <w:sz w:val="22"/>
          <w:szCs w:val="22"/>
          <w:lang w:val="en-US"/>
        </w:rPr>
        <w:t>GSE10846</w:t>
      </w:r>
      <w:r w:rsidR="00D46C23">
        <w:rPr>
          <w:rFonts w:ascii="Arial" w:hAnsi="Arial" w:cs="Arial"/>
          <w:color w:val="211F21"/>
          <w:sz w:val="22"/>
          <w:szCs w:val="22"/>
          <w:lang w:val="en-US"/>
        </w:rPr>
        <w:t>)</w:t>
      </w:r>
      <w:r w:rsidR="00721F72">
        <w:rPr>
          <w:rFonts w:ascii="Arial" w:hAnsi="Arial" w:cs="Arial"/>
          <w:color w:val="211F21"/>
          <w:sz w:val="22"/>
          <w:szCs w:val="22"/>
          <w:lang w:val="en-US"/>
        </w:rPr>
        <w:t xml:space="preserve"> was also used</w:t>
      </w:r>
      <w:r w:rsidR="00D46C23">
        <w:rPr>
          <w:rFonts w:ascii="Arial" w:hAnsi="Arial" w:cs="Arial"/>
          <w:color w:val="211F21"/>
          <w:sz w:val="22"/>
          <w:szCs w:val="22"/>
          <w:lang w:val="en-US"/>
        </w:rPr>
        <w:t xml:space="preserve"> </w:t>
      </w:r>
      <w:r w:rsidR="00D46C23" w:rsidRPr="005350CE">
        <w:rPr>
          <w:rFonts w:ascii="Arial" w:hAnsi="Arial" w:cs="Arial"/>
          <w:color w:val="211F21"/>
          <w:sz w:val="22"/>
          <w:szCs w:val="22"/>
          <w:lang w:val="en-US"/>
        </w:rPr>
        <w:fldChar w:fldCharType="begin"/>
      </w:r>
      <w:r w:rsidR="007F380E">
        <w:rPr>
          <w:rFonts w:ascii="Arial" w:hAnsi="Arial" w:cs="Arial"/>
          <w:color w:val="211F21"/>
          <w:sz w:val="22"/>
          <w:szCs w:val="22"/>
          <w:lang w:val="en-US"/>
        </w:rPr>
        <w:instrText xml:space="preserve"> ADDIN ZOTERO_ITEM CSL_CITATION {"citationID":"LWN7FeX4","properties":{"formattedCitation":"(Lenz et al., 2008)","plainCitation":"(Lenz et al., 2008)","noteIndex":0},"citationItems":[{"id":761,"uris":["http://zotero.org/users/1781003/items/5VKM3JXI"],"uri":["http://zotero.org/users/1781003/items/5VKM3JXI"],"itemData":{"id":761,"type":"article-journal","abstract":"BACKGROUND: The addition of rituximab to combination chemotherapy with cyclophosphamide, doxorubicin, vincristine, and prednisone (CHOP), or R-CHOP, has significantly improved the survival of patients with diffuse large-B-cell lymphoma. Whether gene-expression signatures correlate with survival after treatment of diffuse large-B-cell lymphoma is unclear.\nMETHODS: We profiled gene expression in pretreatment biopsy specimens from 181 patients with diffuse large-B-cell lymphoma who received CHOP and 233 patients with this disease who received R-CHOP. A multivariate gene-expression-based survival-predictor model derived from a training group was tested in a validation group.\nRESULTS: A multivariate model created from three gene-expression signatures--termed \"germinal-center B-cell,\" \"stromal-1,\" and \"stromal-2\"--predicted survival both in patients who received CHOP and patients who received R-CHOP. The prognostically favorable stromal-1 signature reflected extracellular-matrix deposition and histiocytic infiltration. By contrast, the prognostically unfavorable stromal-2 signature reflected tumor blood-vessel density.\nCONCLUSIONS: Survival after treatment of diffuse large-B-cell lymphoma is influenced by differences in immune cells, fibrosis, and angiogenesis in the tumor microenvironment.","container-title":"The New England Journal of Medicine","DOI":"10.1056/NEJMoa0802885","ISSN":"1533-4406","issue":"22","journalAbbreviation":"N. Engl. J. Med.","language":"eng","note":"PMID: 19038878","page":"2313-2323","source":"PubMed","title":"Stromal gene signatures in large-B-cell lymphomas","volume":"359","author":[{"family":"Lenz","given":"G."},{"family":"Wright","given":"G."},{"family":"Dave","given":"S. S."},{"family":"Xiao","given":"W."},{"family":"Powell","given":"J."},{"family":"Zhao","given":"H."},{"family":"Xu","given":"W."},{"family":"Tan","given":"B."},{"family":"Goldschmidt","given":"N."},{"family":"Iqbal","given":"J."},{"family":"Vose","given":"J."},{"family":"Bast","given":"M."},{"family":"Fu","given":"K."},{"family":"Weisenburger","given":"D. D."},{"family":"Greiner","given":"T. C."},{"family":"Armitage","given":"J. O."},{"family":"Kyle","given":"A."},{"family":"May","given":"L."},{"family":"Gascoyne","given":"R. D."},{"family":"Connors","given":"J. M."},{"family":"Troen","given":"G."},{"family":"Holte","given":"H."},{"family":"Kvaloy","given":"S."},{"family":"Dierickx","given":"D."},{"family":"Verhoef","given":"G."},{"family":"Delabie","given":"J."},{"family":"Smeland","given":"E. B."},{"family":"Jares","given":"P."},{"family":"Martinez","given":"A."},{"family":"Lopez-Guillermo","given":"A."},{"family":"Montserrat","given":"E."},{"family":"Campo","given":"E."},{"family":"Braziel","given":"R. M."},{"family":"Miller","given":"T. P."},{"family":"Rimsza","given":"L. M."},{"family":"Cook","given":"J. R."},{"family":"Pohlman","given":"B."},{"family":"Sweetenham","given":"J."},{"family":"Tubbs","given":"R. R."},{"family":"Fisher","given":"R. I."},{"family":"Hartmann","given":"E."},{"family":"Rosenwald","given":"A."},{"family":"Ott","given":"G."},{"family":"Muller-Hermelink","given":"H.-K."},{"family":"Wrench","given":"D."},{"family":"Lister","given":"T. A."},{"family":"Jaffe","given":"E. S."},{"family":"Wilson","given":"W. H."},{"family":"Chan","given":"W. C."},{"family":"Staudt","given":"L. M."},{"literal":"Lymphoma/Leukemia Molecular Profiling Project"}],"issued":{"date-parts":[["2008",11,27]]}}}],"schema":"https://github.com/citation-style-language/schema/raw/master/csl-citation.json"} </w:instrText>
      </w:r>
      <w:r w:rsidR="00D46C23" w:rsidRPr="005350CE">
        <w:rPr>
          <w:rFonts w:ascii="Arial" w:hAnsi="Arial" w:cs="Arial"/>
          <w:color w:val="211F21"/>
          <w:sz w:val="22"/>
          <w:szCs w:val="22"/>
          <w:lang w:val="en-US"/>
        </w:rPr>
        <w:fldChar w:fldCharType="separate"/>
      </w:r>
      <w:r w:rsidR="00D46C23" w:rsidRPr="005350CE">
        <w:rPr>
          <w:rFonts w:ascii="Arial" w:hAnsi="Arial" w:cs="Arial"/>
          <w:sz w:val="22"/>
          <w:szCs w:val="22"/>
          <w:lang w:val="en-US"/>
        </w:rPr>
        <w:t>(Lenz et al., 2008)</w:t>
      </w:r>
      <w:r w:rsidR="00D46C23" w:rsidRPr="005350CE">
        <w:rPr>
          <w:rFonts w:ascii="Arial" w:hAnsi="Arial" w:cs="Arial"/>
          <w:color w:val="211F21"/>
          <w:sz w:val="22"/>
          <w:szCs w:val="22"/>
          <w:lang w:val="en-US"/>
        </w:rPr>
        <w:fldChar w:fldCharType="end"/>
      </w:r>
      <w:r w:rsidR="00721F72">
        <w:rPr>
          <w:rFonts w:ascii="Arial" w:hAnsi="Arial" w:cs="Arial"/>
          <w:color w:val="211F21"/>
          <w:sz w:val="22"/>
          <w:szCs w:val="22"/>
          <w:lang w:val="en-US"/>
        </w:rPr>
        <w:t>. Gene expression profiling was</w:t>
      </w:r>
      <w:r w:rsidRPr="005350CE">
        <w:rPr>
          <w:rFonts w:ascii="Arial" w:hAnsi="Arial" w:cs="Arial"/>
          <w:color w:val="211F21"/>
          <w:sz w:val="22"/>
          <w:szCs w:val="22"/>
          <w:lang w:val="en-US"/>
        </w:rPr>
        <w:t xml:space="preserve"> performed using Affymetrix HG-U133 plus 2.0 microarrays for the two cohorts of patients. The data were analyzed with Microarray Suite version 5.0 (MAS 5.0), using Affymetrix default analysis settings and global scaling as normalization method. The trimmed mean target intensity of each array was arbitrarily set to 500. </w:t>
      </w:r>
    </w:p>
    <w:p w14:paraId="19F00666" w14:textId="242EE944" w:rsidR="00056BB0" w:rsidRDefault="00056BB0" w:rsidP="00056BB0">
      <w:pPr>
        <w:spacing w:line="360" w:lineRule="auto"/>
        <w:jc w:val="both"/>
        <w:rPr>
          <w:rFonts w:ascii="Arial" w:hAnsi="Arial" w:cs="Arial"/>
          <w:color w:val="211F21"/>
          <w:sz w:val="22"/>
          <w:szCs w:val="22"/>
          <w:lang w:val="en-US"/>
        </w:rPr>
      </w:pPr>
      <w:r w:rsidRPr="00C50ED5">
        <w:rPr>
          <w:rFonts w:ascii="Arial" w:hAnsi="Arial" w:cs="Arial"/>
          <w:color w:val="211F21"/>
          <w:sz w:val="22"/>
          <w:szCs w:val="22"/>
          <w:lang w:val="en-US"/>
        </w:rPr>
        <w:t>In each cohort, the statistical significance of overall survival of the expression of each probe set of the iron list was calculated by the log-rank test</w:t>
      </w:r>
      <w:r w:rsidR="00D46C23">
        <w:rPr>
          <w:rFonts w:ascii="Arial" w:hAnsi="Arial" w:cs="Arial"/>
          <w:color w:val="211F21"/>
          <w:sz w:val="22"/>
          <w:szCs w:val="22"/>
          <w:lang w:val="en-US"/>
        </w:rPr>
        <w:t xml:space="preserve"> </w:t>
      </w:r>
      <w:r w:rsidR="00FF1221">
        <w:rPr>
          <w:rFonts w:ascii="Arial" w:hAnsi="Arial" w:cs="Arial"/>
          <w:color w:val="211F21"/>
          <w:sz w:val="22"/>
          <w:szCs w:val="22"/>
          <w:lang w:val="en-US"/>
        </w:rPr>
        <w:t>a</w:t>
      </w:r>
      <w:r w:rsidR="00D46C23" w:rsidRPr="00D46C23">
        <w:rPr>
          <w:rFonts w:ascii="Arial" w:hAnsi="Arial" w:cs="Arial"/>
          <w:color w:val="211F21"/>
          <w:sz w:val="22"/>
          <w:szCs w:val="22"/>
          <w:lang w:val="en-US"/>
        </w:rPr>
        <w:t>nd survival curves plotted using the Kaplan-Meier method (</w:t>
      </w:r>
      <w:proofErr w:type="spellStart"/>
      <w:r w:rsidR="00D46C23" w:rsidRPr="00D46C23">
        <w:rPr>
          <w:rFonts w:ascii="Arial" w:hAnsi="Arial" w:cs="Arial"/>
          <w:color w:val="211F21"/>
          <w:sz w:val="22"/>
          <w:szCs w:val="22"/>
          <w:lang w:val="en-US"/>
        </w:rPr>
        <w:t>Maxstat</w:t>
      </w:r>
      <w:proofErr w:type="spellEnd"/>
      <w:r w:rsidR="00D46C23" w:rsidRPr="00D46C23">
        <w:rPr>
          <w:rFonts w:ascii="Arial" w:hAnsi="Arial" w:cs="Arial"/>
          <w:color w:val="211F21"/>
          <w:sz w:val="22"/>
          <w:szCs w:val="22"/>
          <w:lang w:val="en-US"/>
        </w:rPr>
        <w:t xml:space="preserve"> R package</w:t>
      </w:r>
      <w:r w:rsidR="00FF1221">
        <w:rPr>
          <w:rFonts w:ascii="Arial" w:hAnsi="Arial" w:cs="Arial"/>
          <w:color w:val="211F21"/>
          <w:sz w:val="22"/>
          <w:szCs w:val="22"/>
          <w:lang w:val="en-US"/>
        </w:rPr>
        <w:t xml:space="preserve">) </w:t>
      </w:r>
      <w:r w:rsidR="006B10A2">
        <w:rPr>
          <w:rFonts w:ascii="Arial" w:hAnsi="Arial" w:cs="Arial"/>
          <w:color w:val="211F21"/>
          <w:sz w:val="22"/>
          <w:szCs w:val="22"/>
          <w:lang w:val="en-US"/>
        </w:rPr>
        <w:fldChar w:fldCharType="begin"/>
      </w:r>
      <w:r w:rsidR="006B10A2">
        <w:rPr>
          <w:rFonts w:ascii="Arial" w:hAnsi="Arial" w:cs="Arial"/>
          <w:color w:val="211F21"/>
          <w:sz w:val="22"/>
          <w:szCs w:val="22"/>
          <w:lang w:val="en-US"/>
        </w:rPr>
        <w:instrText xml:space="preserve"> ADDIN ZOTERO_ITEM CSL_CITATION {"citationID":"5fjZxcw8","properties":{"formattedCitation":"(Hothorn and Lausen, 2012)","plainCitation":"(Hothorn and Lausen, 2012)","noteIndex":0},"citationItems":[{"id":1728,"uris":["http://zotero.org/users/1781003/items/H5YIY6CE"],"uri":["http://zotero.org/users/1781003/items/H5YIY6CE"],"itemData":{"id":1728,"type":"article-journal","container-title":"Stat Med","issue":"20","page":"3178–91","title":"On the exact distribution of maximally selected rank statistics.","author":[{"family":"Hothorn","given":"T"},{"family":"Lausen","given":"B"}],"issued":{"date-parts":[["2012"]]}}}],"schema":"https://github.com/citation-style-language/schema/raw/master/csl-citation.json"} </w:instrText>
      </w:r>
      <w:r w:rsidR="006B10A2">
        <w:rPr>
          <w:rFonts w:ascii="Arial" w:hAnsi="Arial" w:cs="Arial"/>
          <w:color w:val="211F21"/>
          <w:sz w:val="22"/>
          <w:szCs w:val="22"/>
          <w:lang w:val="en-US"/>
        </w:rPr>
        <w:fldChar w:fldCharType="separate"/>
      </w:r>
      <w:r w:rsidR="006B10A2" w:rsidRPr="00EF01D8">
        <w:rPr>
          <w:rFonts w:ascii="Arial" w:hAnsi="Arial" w:cs="Arial"/>
          <w:sz w:val="22"/>
          <w:lang w:val="en-US"/>
        </w:rPr>
        <w:t>(</w:t>
      </w:r>
      <w:proofErr w:type="spellStart"/>
      <w:r w:rsidR="006B10A2" w:rsidRPr="00EF01D8">
        <w:rPr>
          <w:rFonts w:ascii="Arial" w:hAnsi="Arial" w:cs="Arial"/>
          <w:sz w:val="22"/>
          <w:lang w:val="en-US"/>
        </w:rPr>
        <w:t>Hothorn</w:t>
      </w:r>
      <w:proofErr w:type="spellEnd"/>
      <w:r w:rsidR="006B10A2" w:rsidRPr="00EF01D8">
        <w:rPr>
          <w:rFonts w:ascii="Arial" w:hAnsi="Arial" w:cs="Arial"/>
          <w:sz w:val="22"/>
          <w:lang w:val="en-US"/>
        </w:rPr>
        <w:t xml:space="preserve"> and </w:t>
      </w:r>
      <w:proofErr w:type="spellStart"/>
      <w:r w:rsidR="006B10A2" w:rsidRPr="00EF01D8">
        <w:rPr>
          <w:rFonts w:ascii="Arial" w:hAnsi="Arial" w:cs="Arial"/>
          <w:sz w:val="22"/>
          <w:lang w:val="en-US"/>
        </w:rPr>
        <w:t>Lausen</w:t>
      </w:r>
      <w:proofErr w:type="spellEnd"/>
      <w:r w:rsidR="006B10A2" w:rsidRPr="00EF01D8">
        <w:rPr>
          <w:rFonts w:ascii="Arial" w:hAnsi="Arial" w:cs="Arial"/>
          <w:sz w:val="22"/>
          <w:lang w:val="en-US"/>
        </w:rPr>
        <w:t>, 2012)</w:t>
      </w:r>
      <w:r w:rsidR="006B10A2">
        <w:rPr>
          <w:rFonts w:ascii="Arial" w:hAnsi="Arial" w:cs="Arial"/>
          <w:color w:val="211F21"/>
          <w:sz w:val="22"/>
          <w:szCs w:val="22"/>
          <w:lang w:val="en-US"/>
        </w:rPr>
        <w:fldChar w:fldCharType="end"/>
      </w:r>
      <w:r w:rsidR="006B10A2">
        <w:rPr>
          <w:rFonts w:ascii="Arial" w:hAnsi="Arial" w:cs="Arial"/>
          <w:sz w:val="22"/>
          <w:lang w:val="en-US"/>
        </w:rPr>
        <w:t xml:space="preserve"> </w:t>
      </w:r>
      <w:r w:rsidR="00FF1221">
        <w:rPr>
          <w:rFonts w:ascii="Arial" w:hAnsi="Arial" w:cs="Arial"/>
          <w:sz w:val="22"/>
          <w:lang w:val="en-US"/>
        </w:rPr>
        <w:t>as previously described</w:t>
      </w:r>
      <w:r w:rsidR="006B10A2">
        <w:rPr>
          <w:rFonts w:ascii="Arial" w:hAnsi="Arial" w:cs="Arial"/>
          <w:sz w:val="22"/>
          <w:lang w:val="en-US"/>
        </w:rPr>
        <w:t xml:space="preserve"> </w:t>
      </w:r>
      <w:r w:rsidR="006B10A2">
        <w:rPr>
          <w:rFonts w:ascii="Arial" w:hAnsi="Arial" w:cs="Arial"/>
          <w:sz w:val="22"/>
          <w:lang w:val="en-US"/>
        </w:rPr>
        <w:fldChar w:fldCharType="begin"/>
      </w:r>
      <w:r w:rsidR="006B10A2">
        <w:rPr>
          <w:rFonts w:ascii="Arial" w:hAnsi="Arial" w:cs="Arial"/>
          <w:sz w:val="22"/>
          <w:lang w:val="en-US"/>
        </w:rPr>
        <w:instrText xml:space="preserve"> ADDIN ZOTERO_ITEM CSL_CITATION {"citationID":"OwTLOI5I","properties":{"formattedCitation":"(Herviou et al., 2018)","plainCitation":"(Herviou et al., 2018)","noteIndex":0},"citationItems":[{"id":1943,"uris":["http://zotero.org/users/1781003/items/WPDCNAVH"],"uri":["http://zotero.org/users/1781003/items/WPDCNAVH"],"itemData":{"id":1943,"type":"article-journal","abstract":"BACKGROUND: Multiple myeloma (MM) is a malignant plasma cell disease with a poor survival, characterized by the accumulation of myeloma cells (MMCs) within the bone marrow. Epigenetic modifications in MM are associated not only with cancer development and progression, but also with drug resistance.\nMETHODS: We identified a significant upregulation of the polycomb repressive complex 2 (PRC2) core genes in MM cells in association with proliferation. We used EPZ-6438, a specific small molecule inhibitor of EZH2 methyltransferase activity, to evaluate its effects on MM cells phenotype and gene expression prolile.\nRESULTS: PRC2 targeting results in growth inhibition due to cell cycle arrest and apoptosis together with polycomb, DNA methylation, TP53, and RB1 target genes induction. Resistance to EZH2 inhibitor is mediated by DNA methylation of PRC2 target genes. We also demonstrate a synergistic effect of EPZ-6438 and lenalidomide, a conventional drug used for MM treatment, activating B cell transcription factors and tumor suppressor gene expression in concert with MYC repression. We establish a gene expression-based EZ score allowing to identify poor prognosis patients that could benefit from EZH2 inhibitor treatment.\nCONCLUSIONS: These data suggest that PRC2 targeting in association with IMiDs could have a therapeutic interest in MM patients characterized by high EZ score values, reactivating B cell transcription factors, and tumor suppressor genes.","container-title":"Clinical Epigenetics","DOI":"10.1186/s13148-018-0554-4","ISSN":"1868-7083","issue":"1","journalAbbreviation":"Clin Epigenetics","language":"eng","note":"PMID: 30285865\nPMCID: PMC6171329","page":"121","source":"PubMed","title":"PRC2 targeting is a therapeutic strategy for EZ score defined high-risk multiple myeloma patients and overcome resistance to IMiDs","volume":"10","author":[{"family":"Herviou","given":"Laurie"},{"family":"Kassambara","given":"Alboukadel"},{"family":"Boireau","given":"Stéphanie"},{"family":"Robert","given":"Nicolas"},{"family":"Requirand","given":"Guilhem"},{"family":"Müller-Tidow","given":"Carsten"},{"family":"Vincent","given":"Laure"},{"family":"Seckinger","given":"Anja"},{"family":"Goldschmidt","given":"Hartmut"},{"family":"Cartron","given":"Guillaume"},{"family":"Hose","given":"Dirk"},{"family":"Cavalli","given":"Giacomo"},{"family":"Moreaux","given":"Jerome"}],"issued":{"date-parts":[["2018"]],"season":"03"}}}],"schema":"https://github.com/citation-style-language/schema/raw/master/csl-citation.json"} </w:instrText>
      </w:r>
      <w:r w:rsidR="006B10A2">
        <w:rPr>
          <w:rFonts w:ascii="Arial" w:hAnsi="Arial" w:cs="Arial"/>
          <w:sz w:val="22"/>
          <w:lang w:val="en-US"/>
        </w:rPr>
        <w:fldChar w:fldCharType="separate"/>
      </w:r>
      <w:r w:rsidR="006B10A2" w:rsidRPr="009D4954">
        <w:rPr>
          <w:rFonts w:ascii="Arial" w:hAnsi="Arial" w:cs="Arial"/>
          <w:sz w:val="22"/>
          <w:lang w:val="en-US"/>
        </w:rPr>
        <w:t>(Herviou et al., 2018)</w:t>
      </w:r>
      <w:r w:rsidR="006B10A2">
        <w:rPr>
          <w:rFonts w:ascii="Arial" w:hAnsi="Arial" w:cs="Arial"/>
          <w:sz w:val="22"/>
          <w:lang w:val="en-US"/>
        </w:rPr>
        <w:fldChar w:fldCharType="end"/>
      </w:r>
      <w:r w:rsidR="006B10A2">
        <w:rPr>
          <w:rFonts w:ascii="Arial" w:hAnsi="Arial" w:cs="Arial"/>
          <w:sz w:val="22"/>
          <w:lang w:val="en-US"/>
        </w:rPr>
        <w:t>.</w:t>
      </w:r>
      <w:r w:rsidR="00FF1221">
        <w:rPr>
          <w:rFonts w:ascii="Arial" w:hAnsi="Arial" w:cs="Arial"/>
          <w:sz w:val="22"/>
          <w:lang w:val="en-US"/>
        </w:rPr>
        <w:t xml:space="preserve"> </w:t>
      </w:r>
      <w:r w:rsidRPr="00C50ED5">
        <w:rPr>
          <w:rFonts w:ascii="Arial" w:hAnsi="Arial" w:cs="Arial"/>
          <w:color w:val="211F21"/>
          <w:sz w:val="22"/>
          <w:szCs w:val="22"/>
          <w:lang w:val="en-US"/>
        </w:rPr>
        <w:t xml:space="preserve">Survival curves were plotted using the Kaplan-Meier method in the platform </w:t>
      </w:r>
      <w:proofErr w:type="spellStart"/>
      <w:r w:rsidRPr="00C50ED5">
        <w:rPr>
          <w:rFonts w:ascii="Arial" w:hAnsi="Arial" w:cs="Arial"/>
          <w:color w:val="211F21"/>
          <w:sz w:val="22"/>
          <w:szCs w:val="22"/>
          <w:lang w:val="en-US"/>
        </w:rPr>
        <w:t>Genomiscape</w:t>
      </w:r>
      <w:proofErr w:type="spellEnd"/>
      <w:r w:rsidRPr="00C50ED5">
        <w:rPr>
          <w:rFonts w:ascii="Arial" w:hAnsi="Arial" w:cs="Arial"/>
          <w:color w:val="211F21"/>
          <w:sz w:val="22"/>
          <w:szCs w:val="22"/>
          <w:lang w:val="en-US"/>
        </w:rPr>
        <w:t xml:space="preserve"> </w:t>
      </w:r>
      <w:r w:rsidRPr="0097563E">
        <w:rPr>
          <w:rFonts w:ascii="Arial" w:hAnsi="Arial" w:cs="Arial"/>
          <w:color w:val="211F21"/>
          <w:sz w:val="22"/>
          <w:szCs w:val="22"/>
          <w:lang w:val="en-US"/>
        </w:rPr>
        <w:fldChar w:fldCharType="begin"/>
      </w:r>
      <w:r>
        <w:rPr>
          <w:rFonts w:ascii="Arial" w:hAnsi="Arial" w:cs="Arial"/>
          <w:color w:val="211F21"/>
          <w:sz w:val="22"/>
          <w:szCs w:val="22"/>
          <w:lang w:val="en-US"/>
        </w:rPr>
        <w:instrText xml:space="preserve"> ADDIN ZOTERO_ITEM CSL_CITATION {"citationID":"rWVk4LPm","properties":{"formattedCitation":"(Kassambara et al., 2015)","plainCitation":"(Kassambara et al., 2015)","noteIndex":0},"citationItems":[{"id":1012,"uris":["http://zotero.org/users/1781003/items/ALHRYTBZ"],"uri":["http://zotero.org/users/1781003/items/ALHRYTBZ"],"itemData":{"id":1012,"type":"article-journal","abstract":"DNA microarrays have considerably helped to improve the understanding of biological processes and diseases. Large amounts of publicly available microarray data are accumulating, but are poorly exploited due to a lack of easy-to-use bioinformatics resources. The aim of this study is to build a free and convenient data-mining web site (www.genomicscape.com). GenomicScape allows mining dataset from various microarray platforms, identifying genes differentially expressed between populations, clustering populations, visualizing expression profiles of large sets of genes, and exporting results and figures. We show how easily GenomicScape makes it possible to construct a molecular atlas of the B cell differentiation using publicly available transcriptome data of naïve B cells, centroblasts, centrocytes, memory B cells, preplasmablasts, plasmablasts, early plasma cells and bone marrow plasma cells. Genes overexpressed in each population and the pathways encoded by these genes are provided as well as how the populations cluster together. All the analyses, tables and figures can be easily done and exported using GenomicScape and this B cell to plasma cell atlas is freely available online. Beyond this B cell to plasma cell atlas, the molecular characteristics of any biological process can be easily and freely investigated by uploading the corresponding transcriptome files into GenomicScape.","container-title":"PLoS computational biology","DOI":"10.1371/journal.pcbi.1004077","ISSN":"1553-7358","issue":"1","journalAbbreviation":"PLoS Comput. Biol.","language":"eng","note":"PMID: 25633866\nPMCID: PMC4310610","page":"e1004077","source":"PubMed","title":"GenomicScape: an easy-to-use web tool for gene expression data analysis. Application to investigate the molecular events in the differentiation of B cells into plasma cells","title-short":"GenomicScape","volume":"11","author":[{"family":"Kassambara","given":"Alboukadel"},{"family":"Rème","given":"Thierry"},{"family":"Jourdan","given":"Michel"},{"family":"Fest","given":"Thierry"},{"family":"Hose","given":"Dirk"},{"family":"Tarte","given":"Karin"},{"family":"Klein","given":"Bernard"}],"issued":{"date-parts":[["2015",1]]}}}],"schema":"https://github.com/citation-style-language/schema/raw/master/csl-citation.json"} </w:instrText>
      </w:r>
      <w:r w:rsidRPr="0097563E">
        <w:rPr>
          <w:rFonts w:ascii="Arial" w:hAnsi="Arial" w:cs="Arial"/>
          <w:color w:val="211F21"/>
          <w:sz w:val="22"/>
          <w:szCs w:val="22"/>
          <w:lang w:val="en-US"/>
        </w:rPr>
        <w:fldChar w:fldCharType="separate"/>
      </w:r>
      <w:r w:rsidRPr="0097563E">
        <w:rPr>
          <w:rFonts w:ascii="Arial" w:hAnsi="Arial" w:cs="Arial"/>
          <w:sz w:val="22"/>
          <w:szCs w:val="22"/>
          <w:lang w:val="en-US"/>
        </w:rPr>
        <w:t>(</w:t>
      </w:r>
      <w:proofErr w:type="spellStart"/>
      <w:r w:rsidRPr="0097563E">
        <w:rPr>
          <w:rFonts w:ascii="Arial" w:hAnsi="Arial" w:cs="Arial"/>
          <w:sz w:val="22"/>
          <w:szCs w:val="22"/>
          <w:lang w:val="en-US"/>
        </w:rPr>
        <w:t>Kassambara</w:t>
      </w:r>
      <w:proofErr w:type="spellEnd"/>
      <w:r w:rsidRPr="0097563E">
        <w:rPr>
          <w:rFonts w:ascii="Arial" w:hAnsi="Arial" w:cs="Arial"/>
          <w:sz w:val="22"/>
          <w:szCs w:val="22"/>
          <w:lang w:val="en-US"/>
        </w:rPr>
        <w:t xml:space="preserve"> et al., 2015)</w:t>
      </w:r>
      <w:r w:rsidRPr="0097563E">
        <w:rPr>
          <w:rFonts w:ascii="Arial" w:hAnsi="Arial" w:cs="Arial"/>
          <w:color w:val="211F21"/>
          <w:sz w:val="22"/>
          <w:szCs w:val="22"/>
          <w:lang w:val="en-US"/>
        </w:rPr>
        <w:fldChar w:fldCharType="end"/>
      </w:r>
      <w:r w:rsidRPr="0097563E">
        <w:rPr>
          <w:rFonts w:ascii="Arial" w:hAnsi="Arial" w:cs="Arial"/>
          <w:color w:val="211F21"/>
          <w:sz w:val="22"/>
          <w:szCs w:val="22"/>
          <w:lang w:val="en-US"/>
        </w:rPr>
        <w:t xml:space="preserve">. </w:t>
      </w:r>
      <w:r w:rsidRPr="00C50ED5">
        <w:rPr>
          <w:rFonts w:ascii="Arial" w:hAnsi="Arial" w:cs="Arial"/>
          <w:color w:val="211F21"/>
          <w:sz w:val="22"/>
          <w:szCs w:val="22"/>
          <w:lang w:val="en-US"/>
        </w:rPr>
        <w:t xml:space="preserve">Probe sets with a common prognosis value in the two cohorts were selected. To gather their prognostic information within one parameter, the Iron Score of DLBCL was built as the sum of the beta coefficients weighted by ± 1 according to the patient signal above or below the probe set </w:t>
      </w:r>
      <w:proofErr w:type="spellStart"/>
      <w:r w:rsidRPr="00C50ED5">
        <w:rPr>
          <w:rFonts w:ascii="Arial" w:hAnsi="Arial" w:cs="Arial"/>
          <w:color w:val="211F21"/>
          <w:sz w:val="22"/>
          <w:szCs w:val="22"/>
          <w:lang w:val="en-US"/>
        </w:rPr>
        <w:t>Maxstat</w:t>
      </w:r>
      <w:proofErr w:type="spellEnd"/>
      <w:r w:rsidRPr="00C50ED5">
        <w:rPr>
          <w:rFonts w:ascii="Arial" w:hAnsi="Arial" w:cs="Arial"/>
          <w:color w:val="211F21"/>
          <w:sz w:val="22"/>
          <w:szCs w:val="22"/>
          <w:lang w:val="en-US"/>
        </w:rPr>
        <w:t xml:space="preserve"> </w:t>
      </w:r>
      <w:r w:rsidRPr="0097563E">
        <w:rPr>
          <w:rFonts w:ascii="Arial" w:hAnsi="Arial" w:cs="Arial"/>
          <w:color w:val="211F21"/>
          <w:sz w:val="22"/>
          <w:szCs w:val="22"/>
          <w:lang w:val="en-US"/>
        </w:rPr>
        <w:t>value</w:t>
      </w:r>
      <w:r>
        <w:rPr>
          <w:rFonts w:ascii="Arial" w:hAnsi="Arial" w:cs="Arial"/>
          <w:color w:val="211F21"/>
          <w:sz w:val="22"/>
          <w:szCs w:val="22"/>
          <w:lang w:val="en-US"/>
        </w:rPr>
        <w:t xml:space="preserve"> </w:t>
      </w:r>
      <w:r>
        <w:rPr>
          <w:rFonts w:ascii="Arial" w:hAnsi="Arial" w:cs="Arial"/>
          <w:color w:val="211F21"/>
          <w:sz w:val="22"/>
          <w:szCs w:val="22"/>
          <w:lang w:val="en-US"/>
        </w:rPr>
        <w:fldChar w:fldCharType="begin"/>
      </w:r>
      <w:r w:rsidR="006B10A2">
        <w:rPr>
          <w:rFonts w:ascii="Arial" w:hAnsi="Arial" w:cs="Arial"/>
          <w:color w:val="211F21"/>
          <w:sz w:val="22"/>
          <w:szCs w:val="22"/>
          <w:lang w:val="en-US"/>
        </w:rPr>
        <w:instrText xml:space="preserve"> ADDIN ZOTERO_ITEM CSL_CITATION {"citationID":"QAtbPV4t","properties":{"formattedCitation":"(Herviou et al., 2018; Hothorn and Lausen, 2012; Kassambara et al., 2012)","plainCitation":"(Herviou et al., 2018; Hothorn and Lausen, 2012; Kassambara et al., 2012)","noteIndex":0},"citationItems":[{"id":1943,"uris":["http://zotero.org/users/1781003/items/WPDCNAVH"],"uri":["http://zotero.org/users/1781003/items/WPDCNAVH"],"itemData":{"id":1943,"type":"article-journal","abstract":"BACKGROUND: Multiple myeloma (MM) is a malignant plasma cell disease with a poor survival, characterized by the accumulation of myeloma cells (MMCs) within the bone marrow. Epigenetic modifications in MM are associated not only with cancer development and progression, but also with drug resistance.\nMETHODS: We identified a significant upregulation of the polycomb repressive complex 2 (PRC2) core genes in MM cells in association with proliferation. We used EPZ-6438, a specific small molecule inhibitor of EZH2 methyltransferase activity, to evaluate its effects on MM cells phenotype and gene expression prolile.\nRESULTS: PRC2 targeting results in growth inhibition due to cell cycle arrest and apoptosis together with polycomb, DNA methylation, TP53, and RB1 target genes induction. Resistance to EZH2 inhibitor is mediated by DNA methylation of PRC2 target genes. We also demonstrate a synergistic effect of EPZ-6438 and lenalidomide, a conventional drug used for MM treatment, activating B cell transcription factors and tumor suppressor gene expression in concert with MYC repression. We establish a gene expression-based EZ score allowing to identify poor prognosis patients that could benefit from EZH2 inhibitor treatment.\nCONCLUSIONS: These data suggest that PRC2 targeting in association with IMiDs could have a therapeutic interest in MM patients characterized by high EZ score values, reactivating B cell transcription factors, and tumor suppressor genes.","container-title":"Clinical Epigenetics","DOI":"10.1186/s13148-018-0554-4","ISSN":"1868-7083","issue":"1","journalAbbreviation":"Clin Epigenetics","language":"eng","note":"PMID: 30285865\nPMCID: PMC6171329","page":"121","source":"PubMed","title":"PRC2 targeting is a therapeutic strategy for EZ score defined high-risk multiple myeloma patients and overcome resistance to IMiDs","volume":"10","author":[{"family":"Herviou","given":"Laurie"},{"family":"Kassambara","given":"Alboukadel"},{"family":"Boireau","given":"Stéphanie"},{"family":"Robert","given":"Nicolas"},{"family":"Requirand","given":"Guilhem"},{"family":"Müller-Tidow","given":"Carsten"},{"family":"Vincent","given":"Laure"},{"family":"Seckinger","given":"Anja"},{"family":"Goldschmidt","given":"Hartmut"},{"family":"Cartron","given":"Guillaume"},{"family":"Hose","given":"Dirk"},{"family":"Cavalli","given":"Giacomo"},{"family":"Moreaux","given":"Jerome"}],"issued":{"date-parts":[["2018"]],"season":"03"}}},{"id":1728,"uris":["http://zotero.org/users/1781003/items/H5YIY6CE"],"uri":["http://zotero.org/users/1781003/items/H5YIY6CE"],"itemData":{"id":1728,"type":"article-journal","container-title":"Stat Med","issue":"20","page":"3178–91","title":"On the exact distribution of maximally selected rank statistics.","author":[{"family":"Hothorn","given":"T"},{"family":"Lausen","given":"B"}],"issued":{"date-parts":[["2012"]]}}},{"id":123,"uris":["http://zotero.org/users/1781003/items/FWII7J4R"],"uri":["http://zotero.org/users/1781003/items/FWII7J4R"],"itemData":{"id":123,"type":"article-journal","abstract":"BACKGROUND: Genetic abnormalities are common in patients with multiple myeloma, and may deregulate gene products involved in tumor survival, proliferation, metabolism and drug resistance. In particular, translocations may result in a high expression of targeted genes (termed spike expression) in tumor cells. We identified spike genes in multiple myeloma cells of patients with newly-diagnosed myeloma and investigated their prognostic value.\nDESIGN AND METHODS: Genes with a spike expression in multiple myeloma cells were picked up using box plot probe set signal distribution and two selection filters.\nRESULTS: In a cohort of 206 newly diagnosed patients with multiple myeloma, 2587 genes/expressed sequence tags with a spike expression were identified. Some spike genes were associated with some transcription factors such as MAF or MMSET and with known recurrent translocations as expected. Spike genes were not associated with increased DNA copy number and for a majority of them, involved unknown mechanisms. Of spiked genes, 36.7% clustered significantly in 149 out of 862 documented chromosome (sub)bands, of which 53 had prognostic value (35 bad, 18 good). Their prognostic value was summarized with a spike band score that delineated 23.8% of patients with a poor median overall survival (27.4 months versus not reached, P&lt;0.001) using the training cohort of 206 patients. The spike band score was independent of other gene expression profiling-based risk scores, t(4;14), or del17p in an independent validation cohort of 345 patients.\nCONCLUSIONS: We present a new approach to identify spike genes and their relationship to patients' survival.","container-title":"Haematologica","DOI":"10.3324/haematol.2011.046821","ISSN":"1592-8721","issue":"4","journalAbbreviation":"Haematologica","language":"eng","note":"PMID: 22102711\nPMCID: PMC3347668","page":"622-630","source":"PubMed","title":"Genes with a spike expression are clustered in chromosome (sub)bands and spike (sub)bands have a powerful prognostic value in patients with multiple myeloma","volume":"97","author":[{"family":"Kassambara","given":"Alboukadel"},{"family":"Hose","given":"Dirk"},{"family":"Moreaux","given":"Jérôme"},{"family":"Walker","given":"Brian A."},{"family":"Protopopov","given":"Alexei"},{"family":"Reme","given":"Thierry"},{"family":"Pellestor","given":"Franck"},{"family":"Pantesco","given":"Véronique"},{"family":"Jauch","given":"Anna"},{"family":"Morgan","given":"Gareth"},{"family":"Goldschmidt","given":"Hartmut"},{"family":"Klein","given":"Bernard"}],"issued":{"date-parts":[["2012",4]]}}}],"schema":"https://github.com/citation-style-language/schema/raw/master/csl-citation.json"} </w:instrText>
      </w:r>
      <w:r>
        <w:rPr>
          <w:rFonts w:ascii="Arial" w:hAnsi="Arial" w:cs="Arial"/>
          <w:color w:val="211F21"/>
          <w:sz w:val="22"/>
          <w:szCs w:val="22"/>
          <w:lang w:val="en-US"/>
        </w:rPr>
        <w:fldChar w:fldCharType="separate"/>
      </w:r>
      <w:r w:rsidR="006B10A2" w:rsidRPr="00EF01D8">
        <w:rPr>
          <w:rFonts w:ascii="Arial" w:hAnsi="Arial" w:cs="Arial"/>
          <w:sz w:val="22"/>
          <w:lang w:val="en-US"/>
        </w:rPr>
        <w:t>(</w:t>
      </w:r>
      <w:proofErr w:type="spellStart"/>
      <w:r w:rsidR="006B10A2" w:rsidRPr="00EF01D8">
        <w:rPr>
          <w:rFonts w:ascii="Arial" w:hAnsi="Arial" w:cs="Arial"/>
          <w:sz w:val="22"/>
          <w:lang w:val="en-US"/>
        </w:rPr>
        <w:t>Herviou</w:t>
      </w:r>
      <w:proofErr w:type="spellEnd"/>
      <w:r w:rsidR="006B10A2" w:rsidRPr="00EF01D8">
        <w:rPr>
          <w:rFonts w:ascii="Arial" w:hAnsi="Arial" w:cs="Arial"/>
          <w:sz w:val="22"/>
          <w:lang w:val="en-US"/>
        </w:rPr>
        <w:t xml:space="preserve"> et al., </w:t>
      </w:r>
      <w:r w:rsidR="006B10A2" w:rsidRPr="00EF01D8">
        <w:rPr>
          <w:rFonts w:ascii="Arial" w:hAnsi="Arial" w:cs="Arial"/>
          <w:sz w:val="22"/>
          <w:lang w:val="en-US"/>
        </w:rPr>
        <w:lastRenderedPageBreak/>
        <w:t>2018; Hothorn and Lausen, 2012; Kassambara et al., 2012)</w:t>
      </w:r>
      <w:r>
        <w:rPr>
          <w:rFonts w:ascii="Arial" w:hAnsi="Arial" w:cs="Arial"/>
          <w:color w:val="211F21"/>
          <w:sz w:val="22"/>
          <w:szCs w:val="22"/>
          <w:lang w:val="en-US"/>
        </w:rPr>
        <w:fldChar w:fldCharType="end"/>
      </w:r>
      <w:r w:rsidRPr="00C50ED5">
        <w:rPr>
          <w:rFonts w:ascii="Arial" w:hAnsi="Arial" w:cs="Arial"/>
          <w:color w:val="211F21"/>
          <w:sz w:val="22"/>
          <w:szCs w:val="22"/>
          <w:lang w:val="en-US"/>
        </w:rPr>
        <w:t>.</w:t>
      </w:r>
      <w:r w:rsidR="00E168DA" w:rsidRPr="00E168DA">
        <w:rPr>
          <w:rFonts w:ascii="Arial" w:hAnsi="Arial" w:cs="Arial"/>
          <w:color w:val="211F21"/>
          <w:sz w:val="22"/>
          <w:szCs w:val="22"/>
          <w:lang w:val="en-US"/>
        </w:rPr>
        <w:t xml:space="preserve"> </w:t>
      </w:r>
      <w:r w:rsidR="00E168DA" w:rsidRPr="00C50ED5">
        <w:rPr>
          <w:rFonts w:ascii="Arial" w:hAnsi="Arial" w:cs="Arial"/>
          <w:color w:val="211F21"/>
          <w:sz w:val="22"/>
          <w:szCs w:val="22"/>
          <w:lang w:val="en-US"/>
        </w:rPr>
        <w:t>Multivariate analysis was performed using the Cox proportional hazards model.</w:t>
      </w:r>
    </w:p>
    <w:p w14:paraId="28323C4A" w14:textId="77777777" w:rsidR="00056BB0" w:rsidRDefault="00056BB0" w:rsidP="00056BB0">
      <w:pPr>
        <w:spacing w:line="360" w:lineRule="auto"/>
        <w:jc w:val="both"/>
        <w:rPr>
          <w:rFonts w:ascii="Arial" w:hAnsi="Arial" w:cs="Arial"/>
          <w:color w:val="211F21"/>
          <w:sz w:val="22"/>
          <w:szCs w:val="22"/>
          <w:lang w:val="en-US"/>
        </w:rPr>
      </w:pPr>
    </w:p>
    <w:p w14:paraId="2A3FB66E" w14:textId="77777777" w:rsidR="00875650" w:rsidRPr="00591620" w:rsidRDefault="00875650" w:rsidP="00056BB0">
      <w:pPr>
        <w:spacing w:line="360" w:lineRule="auto"/>
        <w:jc w:val="both"/>
        <w:rPr>
          <w:rFonts w:ascii="Arial" w:hAnsi="Arial" w:cs="Arial"/>
          <w:b/>
          <w:color w:val="211F21"/>
          <w:sz w:val="22"/>
          <w:szCs w:val="22"/>
          <w:lang w:val="en-US"/>
        </w:rPr>
      </w:pPr>
      <w:proofErr w:type="spellStart"/>
      <w:r w:rsidRPr="00591620">
        <w:rPr>
          <w:rFonts w:ascii="Arial" w:hAnsi="Arial" w:cs="Arial"/>
          <w:b/>
          <w:color w:val="211F21"/>
          <w:sz w:val="22"/>
          <w:szCs w:val="22"/>
          <w:lang w:val="en-US"/>
        </w:rPr>
        <w:t>Westernblot</w:t>
      </w:r>
      <w:proofErr w:type="spellEnd"/>
    </w:p>
    <w:p w14:paraId="694661BD" w14:textId="77777777" w:rsidR="00AE7FB6" w:rsidRPr="00591620" w:rsidRDefault="00AE7FB6" w:rsidP="00056BB0">
      <w:pPr>
        <w:widowControl w:val="0"/>
        <w:spacing w:line="360" w:lineRule="auto"/>
        <w:jc w:val="both"/>
        <w:rPr>
          <w:rFonts w:ascii="Arial" w:hAnsi="Arial" w:cs="Arial"/>
          <w:sz w:val="22"/>
          <w:szCs w:val="22"/>
          <w:lang w:val="en-US"/>
        </w:rPr>
      </w:pPr>
      <w:r w:rsidRPr="00591620">
        <w:rPr>
          <w:rFonts w:ascii="Arial" w:hAnsi="Arial" w:cs="Arial"/>
          <w:sz w:val="22"/>
          <w:szCs w:val="22"/>
          <w:lang w:val="en-US"/>
        </w:rPr>
        <w:t>The total cell lysates were obtained with RIPA 1X lysis buffer (#9806, Cell Signaling®) according with the supplier recommendations. Protein lysates migrate on 10% pol</w:t>
      </w:r>
      <w:r w:rsidR="000F7E3C" w:rsidRPr="00591620">
        <w:rPr>
          <w:rFonts w:ascii="Arial" w:hAnsi="Arial" w:cs="Arial"/>
          <w:sz w:val="22"/>
          <w:szCs w:val="22"/>
          <w:lang w:val="en-US"/>
        </w:rPr>
        <w:t>yacrylamide gel (NP-0301,</w:t>
      </w:r>
      <w:r w:rsidRPr="00591620">
        <w:rPr>
          <w:rFonts w:ascii="Arial" w:hAnsi="Arial" w:cs="Arial"/>
          <w:sz w:val="22"/>
          <w:szCs w:val="22"/>
          <w:lang w:val="en-US"/>
        </w:rPr>
        <w:t xml:space="preserve"> Life technologies®), in </w:t>
      </w:r>
      <w:r w:rsidR="000F7E3C" w:rsidRPr="00591620">
        <w:rPr>
          <w:rFonts w:ascii="Arial" w:hAnsi="Arial" w:cs="Arial"/>
          <w:sz w:val="22"/>
          <w:szCs w:val="22"/>
          <w:lang w:val="en-US"/>
        </w:rPr>
        <w:t>MOPS 1X running buffer (NP0001,</w:t>
      </w:r>
      <w:r w:rsidRPr="00591620">
        <w:rPr>
          <w:rFonts w:ascii="Arial" w:hAnsi="Arial" w:cs="Arial"/>
          <w:sz w:val="22"/>
          <w:szCs w:val="22"/>
          <w:lang w:val="en-US"/>
        </w:rPr>
        <w:t xml:space="preserve"> Life technologies®) or MES </w:t>
      </w:r>
      <w:r w:rsidR="000F7E3C" w:rsidRPr="00591620">
        <w:rPr>
          <w:rFonts w:ascii="Arial" w:hAnsi="Arial" w:cs="Arial"/>
          <w:sz w:val="22"/>
          <w:szCs w:val="22"/>
          <w:lang w:val="en-US"/>
        </w:rPr>
        <w:t>1X running buffer NP-0002</w:t>
      </w:r>
      <w:r w:rsidRPr="00591620">
        <w:rPr>
          <w:rFonts w:ascii="Arial" w:hAnsi="Arial" w:cs="Arial"/>
          <w:sz w:val="22"/>
          <w:szCs w:val="22"/>
          <w:lang w:val="en-US"/>
        </w:rPr>
        <w:t>, Life technologies®) and proteins are transferred to nitrocellulose membrane (IB301001,</w:t>
      </w:r>
      <w:r w:rsidR="000F7E3C" w:rsidRPr="00591620">
        <w:rPr>
          <w:rFonts w:ascii="Arial" w:hAnsi="Arial" w:cs="Arial"/>
          <w:sz w:val="22"/>
          <w:szCs w:val="22"/>
          <w:lang w:val="en-US"/>
        </w:rPr>
        <w:t xml:space="preserve"> I-Blot </w:t>
      </w:r>
      <w:proofErr w:type="spellStart"/>
      <w:r w:rsidR="000F7E3C" w:rsidRPr="00591620">
        <w:rPr>
          <w:rFonts w:ascii="Arial" w:hAnsi="Arial" w:cs="Arial"/>
          <w:sz w:val="22"/>
          <w:szCs w:val="22"/>
          <w:lang w:val="en-US"/>
        </w:rPr>
        <w:t>Transfert</w:t>
      </w:r>
      <w:proofErr w:type="spellEnd"/>
      <w:r w:rsidR="000F7E3C" w:rsidRPr="00591620">
        <w:rPr>
          <w:rFonts w:ascii="Arial" w:hAnsi="Arial" w:cs="Arial"/>
          <w:sz w:val="22"/>
          <w:szCs w:val="22"/>
          <w:lang w:val="en-US"/>
        </w:rPr>
        <w:t xml:space="preserve"> </w:t>
      </w:r>
      <w:proofErr w:type="spellStart"/>
      <w:r w:rsidR="000F7E3C" w:rsidRPr="00591620">
        <w:rPr>
          <w:rFonts w:ascii="Arial" w:hAnsi="Arial" w:cs="Arial"/>
          <w:sz w:val="22"/>
          <w:szCs w:val="22"/>
          <w:lang w:val="en-US"/>
        </w:rPr>
        <w:t>Starck</w:t>
      </w:r>
      <w:proofErr w:type="spellEnd"/>
      <w:r w:rsidRPr="00591620">
        <w:rPr>
          <w:rFonts w:ascii="Arial" w:hAnsi="Arial" w:cs="Arial"/>
          <w:sz w:val="22"/>
          <w:szCs w:val="22"/>
          <w:lang w:val="en-US"/>
        </w:rPr>
        <w:t>, Life technologies®).</w:t>
      </w:r>
    </w:p>
    <w:p w14:paraId="4C209050" w14:textId="77777777" w:rsidR="000F7E3C" w:rsidRPr="00591620" w:rsidRDefault="00AE7FB6" w:rsidP="000F7E3C">
      <w:pPr>
        <w:widowControl w:val="0"/>
        <w:spacing w:line="360" w:lineRule="auto"/>
        <w:jc w:val="both"/>
        <w:rPr>
          <w:rFonts w:ascii="Arial" w:hAnsi="Arial" w:cs="Arial"/>
          <w:sz w:val="22"/>
          <w:szCs w:val="22"/>
          <w:lang w:val="en-US"/>
        </w:rPr>
      </w:pPr>
      <w:r w:rsidRPr="00591620">
        <w:rPr>
          <w:rFonts w:ascii="Arial" w:hAnsi="Arial" w:cs="Arial"/>
          <w:sz w:val="22"/>
          <w:szCs w:val="22"/>
          <w:lang w:val="en-US"/>
        </w:rPr>
        <w:t xml:space="preserve">The primary antibodies </w:t>
      </w:r>
      <w:r w:rsidR="00BB22BE" w:rsidRPr="00591620">
        <w:rPr>
          <w:rFonts w:ascii="Arial" w:hAnsi="Arial" w:cs="Arial"/>
          <w:sz w:val="22"/>
          <w:szCs w:val="22"/>
          <w:lang w:val="en-US"/>
        </w:rPr>
        <w:t>mouse anti-</w:t>
      </w:r>
      <w:r w:rsidR="00BB22BE" w:rsidRPr="00591620">
        <w:rPr>
          <w:rStyle w:val="mb"/>
          <w:rFonts w:ascii="Arial" w:hAnsi="Arial" w:cs="Arial"/>
          <w:sz w:val="22"/>
          <w:szCs w:val="22"/>
        </w:rPr>
        <w:t>γ</w:t>
      </w:r>
      <w:r w:rsidRPr="00591620">
        <w:rPr>
          <w:rFonts w:ascii="Arial" w:hAnsi="Arial" w:cs="Arial"/>
          <w:sz w:val="22"/>
          <w:szCs w:val="22"/>
          <w:lang w:val="en-US"/>
        </w:rPr>
        <w:t>H2AX (Ser139)</w:t>
      </w:r>
      <w:r w:rsidR="00BB22BE" w:rsidRPr="00591620">
        <w:rPr>
          <w:rFonts w:ascii="Arial" w:hAnsi="Arial" w:cs="Arial"/>
          <w:sz w:val="22"/>
          <w:szCs w:val="22"/>
          <w:lang w:val="en-US"/>
        </w:rPr>
        <w:t xml:space="preserve"> (clone JBW301, Merck Millipore, Darmstadt, Germany)</w:t>
      </w:r>
      <w:r w:rsidRPr="00591620">
        <w:rPr>
          <w:rFonts w:ascii="Arial" w:hAnsi="Arial" w:cs="Arial"/>
          <w:sz w:val="22"/>
          <w:szCs w:val="22"/>
          <w:lang w:val="en-US"/>
        </w:rPr>
        <w:t>, rabbit anti-BCL-xl (#2764T, Cell Signaling</w:t>
      </w:r>
      <w:r w:rsidR="000F7E3C" w:rsidRPr="00591620">
        <w:rPr>
          <w:rFonts w:ascii="Arial" w:hAnsi="Arial" w:cs="Arial"/>
          <w:sz w:val="22"/>
          <w:szCs w:val="22"/>
          <w:lang w:val="en-US"/>
        </w:rPr>
        <w:t>, 1/1000</w:t>
      </w:r>
      <w:r w:rsidRPr="00591620">
        <w:rPr>
          <w:rFonts w:ascii="Arial" w:hAnsi="Arial" w:cs="Arial"/>
          <w:sz w:val="22"/>
          <w:szCs w:val="22"/>
          <w:lang w:val="en-US"/>
        </w:rPr>
        <w:t>),</w:t>
      </w:r>
      <w:r w:rsidR="000F7E3C" w:rsidRPr="00591620">
        <w:rPr>
          <w:rFonts w:ascii="Arial" w:hAnsi="Arial" w:cs="Arial"/>
          <w:sz w:val="22"/>
          <w:szCs w:val="22"/>
          <w:lang w:val="en-US"/>
        </w:rPr>
        <w:t xml:space="preserve"> rabbit</w:t>
      </w:r>
      <w:r w:rsidR="000F7E3C" w:rsidRPr="00591620">
        <w:rPr>
          <w:lang w:val="en-US"/>
        </w:rPr>
        <w:t xml:space="preserve"> </w:t>
      </w:r>
      <w:r w:rsidR="000F7E3C" w:rsidRPr="00591620">
        <w:rPr>
          <w:rFonts w:ascii="Arial" w:hAnsi="Arial" w:cs="Arial"/>
          <w:sz w:val="22"/>
          <w:szCs w:val="22"/>
          <w:lang w:val="en-US"/>
        </w:rPr>
        <w:t>anti-c-</w:t>
      </w:r>
      <w:proofErr w:type="spellStart"/>
      <w:r w:rsidR="000F7E3C" w:rsidRPr="00591620">
        <w:rPr>
          <w:rFonts w:ascii="Arial" w:hAnsi="Arial" w:cs="Arial"/>
          <w:sz w:val="22"/>
          <w:szCs w:val="22"/>
          <w:lang w:val="en-US"/>
        </w:rPr>
        <w:t>Myc</w:t>
      </w:r>
      <w:proofErr w:type="spellEnd"/>
      <w:r w:rsidR="000F7E3C" w:rsidRPr="00591620">
        <w:rPr>
          <w:rFonts w:ascii="Arial" w:hAnsi="Arial" w:cs="Arial"/>
          <w:sz w:val="22"/>
          <w:szCs w:val="22"/>
          <w:lang w:val="en-US"/>
        </w:rPr>
        <w:t xml:space="preserve"> (#5605S, 1/1000, Cell Signaling®),</w:t>
      </w:r>
      <w:r w:rsidR="000F7E3C" w:rsidRPr="00591620">
        <w:rPr>
          <w:lang w:val="en-US"/>
        </w:rPr>
        <w:t xml:space="preserve"> rabbit </w:t>
      </w:r>
      <w:r w:rsidR="000F7E3C" w:rsidRPr="00591620">
        <w:rPr>
          <w:rFonts w:ascii="Arial" w:hAnsi="Arial" w:cs="Arial"/>
          <w:sz w:val="22"/>
          <w:szCs w:val="22"/>
          <w:lang w:val="en-US"/>
        </w:rPr>
        <w:t>anti-MCL1 (sc-819, Santa Cruz®), rabbit anti-bcl2 (#4223S, 1/1000, Cell Signaling)  were incubated in TBS-Tween 20 0.1% (Tris-Buffered Saline, pH 7.4) with 5 % non-fat milk or Bovine serum albumin (Sigma-Aldrich, A7906).</w:t>
      </w:r>
    </w:p>
    <w:p w14:paraId="184D222F" w14:textId="77777777" w:rsidR="00875650" w:rsidRPr="00591620" w:rsidRDefault="000F7E3C" w:rsidP="000F7E3C">
      <w:pPr>
        <w:widowControl w:val="0"/>
        <w:spacing w:line="360" w:lineRule="auto"/>
        <w:jc w:val="both"/>
        <w:rPr>
          <w:rFonts w:ascii="Arial" w:hAnsi="Arial" w:cs="Arial"/>
          <w:sz w:val="22"/>
          <w:szCs w:val="22"/>
          <w:lang w:val="en-US"/>
        </w:rPr>
      </w:pPr>
      <w:r w:rsidRPr="00591620">
        <w:rPr>
          <w:rFonts w:ascii="Arial" w:hAnsi="Arial" w:cs="Arial"/>
          <w:sz w:val="22"/>
          <w:szCs w:val="22"/>
          <w:lang w:val="en-US"/>
        </w:rPr>
        <w:t>Protein levels are objectified by labeling with an anti-β-actin mouse monoclonal antibody (Sigma, A5441, St Louis, MO, USA 1/1000). Primary antibodies are visualized with secondary anti-rabbit antibodies (Sigma®, A9169) or anti-mouse antibodies (Jackson, 115-036-068) coupled to peroxidase allows the development by chemiluminescence by Western Lightning ECL (NEL121001EA, Perkin Elmer®). Quantification of protein levels was performed with Image J® software (National Institutes of Health, Bethesda, MD, USA).</w:t>
      </w:r>
    </w:p>
    <w:p w14:paraId="622525BC" w14:textId="77777777" w:rsidR="00AE7FB6" w:rsidRDefault="00AE7FB6" w:rsidP="00056BB0">
      <w:pPr>
        <w:widowControl w:val="0"/>
        <w:spacing w:line="360" w:lineRule="auto"/>
        <w:jc w:val="both"/>
        <w:rPr>
          <w:rFonts w:ascii="Arial" w:hAnsi="Arial" w:cs="Arial"/>
          <w:b/>
          <w:sz w:val="22"/>
          <w:szCs w:val="22"/>
          <w:lang w:val="en-US"/>
        </w:rPr>
      </w:pPr>
    </w:p>
    <w:p w14:paraId="46259422" w14:textId="77777777" w:rsidR="00056BB0" w:rsidRPr="0097563E" w:rsidRDefault="00056BB0" w:rsidP="00056BB0">
      <w:pPr>
        <w:widowControl w:val="0"/>
        <w:spacing w:line="360" w:lineRule="auto"/>
        <w:jc w:val="both"/>
        <w:rPr>
          <w:rFonts w:ascii="Arial" w:hAnsi="Arial" w:cs="Arial"/>
          <w:b/>
          <w:sz w:val="22"/>
          <w:szCs w:val="22"/>
          <w:lang w:val="en-US"/>
        </w:rPr>
      </w:pPr>
      <w:r w:rsidRPr="0097563E">
        <w:rPr>
          <w:rFonts w:ascii="Arial" w:hAnsi="Arial" w:cs="Arial"/>
          <w:b/>
          <w:sz w:val="22"/>
          <w:szCs w:val="22"/>
          <w:lang w:val="en-US"/>
        </w:rPr>
        <w:t>Caspase activation assay</w:t>
      </w:r>
    </w:p>
    <w:p w14:paraId="2AB0B957" w14:textId="77777777" w:rsidR="00056BB0" w:rsidRDefault="00056BB0" w:rsidP="00056BB0">
      <w:pPr>
        <w:autoSpaceDE w:val="0"/>
        <w:autoSpaceDN w:val="0"/>
        <w:adjustRightInd w:val="0"/>
        <w:spacing w:line="360" w:lineRule="auto"/>
        <w:jc w:val="both"/>
        <w:rPr>
          <w:rFonts w:ascii="Arial" w:hAnsi="Arial" w:cs="Arial"/>
          <w:sz w:val="22"/>
          <w:szCs w:val="22"/>
          <w:lang w:val="en-US"/>
        </w:rPr>
      </w:pPr>
      <w:r>
        <w:rPr>
          <w:rFonts w:ascii="Arial" w:hAnsi="Arial" w:cs="Arial"/>
          <w:sz w:val="22"/>
          <w:szCs w:val="22"/>
          <w:lang w:val="en-US"/>
        </w:rPr>
        <w:t xml:space="preserve">Caspase activity measurement was performed with </w:t>
      </w:r>
      <w:r w:rsidRPr="0097563E">
        <w:rPr>
          <w:rFonts w:ascii="Arial" w:hAnsi="Arial" w:cs="Arial"/>
          <w:sz w:val="22"/>
          <w:szCs w:val="22"/>
          <w:lang w:val="en-US"/>
        </w:rPr>
        <w:t xml:space="preserve">Caspase </w:t>
      </w:r>
      <w:r>
        <w:rPr>
          <w:rFonts w:ascii="Arial" w:hAnsi="Arial" w:cs="Arial"/>
          <w:sz w:val="22"/>
          <w:szCs w:val="22"/>
          <w:lang w:val="en-US"/>
        </w:rPr>
        <w:t>G</w:t>
      </w:r>
      <w:r w:rsidRPr="0097563E">
        <w:rPr>
          <w:rFonts w:ascii="Arial" w:hAnsi="Arial" w:cs="Arial"/>
          <w:sz w:val="22"/>
          <w:szCs w:val="22"/>
          <w:lang w:val="en-US"/>
        </w:rPr>
        <w:t>lo 3/7 assay (G8091 Promega)</w:t>
      </w:r>
      <w:r>
        <w:rPr>
          <w:rFonts w:ascii="Arial" w:hAnsi="Arial" w:cs="Arial"/>
          <w:sz w:val="22"/>
          <w:szCs w:val="22"/>
          <w:lang w:val="en-US"/>
        </w:rPr>
        <w:t xml:space="preserve"> and</w:t>
      </w:r>
      <w:r w:rsidRPr="0097563E">
        <w:rPr>
          <w:rFonts w:ascii="Arial" w:hAnsi="Arial" w:cs="Arial"/>
          <w:sz w:val="22"/>
          <w:szCs w:val="22"/>
          <w:lang w:val="en-US"/>
        </w:rPr>
        <w:t xml:space="preserve"> Caspase Glo 9 assay (G8210 Promega), </w:t>
      </w:r>
      <w:r>
        <w:rPr>
          <w:rFonts w:ascii="Arial" w:hAnsi="Arial" w:cs="Arial"/>
          <w:sz w:val="22"/>
          <w:szCs w:val="22"/>
          <w:lang w:val="en-US"/>
        </w:rPr>
        <w:t xml:space="preserve">after </w:t>
      </w:r>
      <w:r w:rsidRPr="0097563E">
        <w:rPr>
          <w:rFonts w:ascii="Arial" w:hAnsi="Arial" w:cs="Arial"/>
          <w:sz w:val="22"/>
          <w:szCs w:val="22"/>
          <w:lang w:val="en-US"/>
        </w:rPr>
        <w:t>24H</w:t>
      </w:r>
      <w:r>
        <w:rPr>
          <w:rFonts w:ascii="Arial" w:hAnsi="Arial" w:cs="Arial"/>
          <w:sz w:val="22"/>
          <w:szCs w:val="22"/>
          <w:lang w:val="en-US"/>
        </w:rPr>
        <w:t xml:space="preserve"> of treatment with or without caspase inhibitors, in triplicate. Caspase-Glo a</w:t>
      </w:r>
      <w:r w:rsidRPr="007477C3">
        <w:rPr>
          <w:rFonts w:ascii="Arial" w:hAnsi="Arial" w:cs="Arial"/>
          <w:sz w:val="22"/>
          <w:szCs w:val="22"/>
          <w:lang w:val="en-US"/>
        </w:rPr>
        <w:t xml:space="preserve">ssay </w:t>
      </w:r>
      <w:r>
        <w:rPr>
          <w:rFonts w:ascii="Arial" w:hAnsi="Arial" w:cs="Arial"/>
          <w:sz w:val="22"/>
          <w:szCs w:val="22"/>
          <w:lang w:val="en-US"/>
        </w:rPr>
        <w:t xml:space="preserve">was performed </w:t>
      </w:r>
      <w:r w:rsidRPr="007477C3">
        <w:rPr>
          <w:rFonts w:ascii="Arial" w:hAnsi="Arial" w:cs="Arial"/>
          <w:sz w:val="22"/>
          <w:szCs w:val="22"/>
          <w:lang w:val="en-US"/>
        </w:rPr>
        <w:t xml:space="preserve">according to the manufacturer's protocol. Briefly, Caspase-Glo reagent was added 1:1 </w:t>
      </w:r>
      <w:r>
        <w:rPr>
          <w:rFonts w:ascii="Arial" w:hAnsi="Arial" w:cs="Arial"/>
          <w:sz w:val="22"/>
          <w:szCs w:val="22"/>
          <w:lang w:val="en-US"/>
        </w:rPr>
        <w:t xml:space="preserve">to sample volume into each well in a 96-well white plate </w:t>
      </w:r>
      <w:r w:rsidRPr="007477C3">
        <w:rPr>
          <w:rFonts w:ascii="Arial" w:hAnsi="Arial" w:cs="Arial"/>
          <w:sz w:val="22"/>
          <w:szCs w:val="22"/>
          <w:lang w:val="en-US"/>
        </w:rPr>
        <w:t>and incubated at room temperature f</w:t>
      </w:r>
      <w:r>
        <w:rPr>
          <w:rFonts w:ascii="Arial" w:hAnsi="Arial" w:cs="Arial"/>
          <w:sz w:val="22"/>
          <w:szCs w:val="22"/>
          <w:lang w:val="en-US"/>
        </w:rPr>
        <w:t xml:space="preserve">or 30 min protected from light, and negative controls </w:t>
      </w:r>
      <w:r w:rsidRPr="007477C3">
        <w:rPr>
          <w:rFonts w:ascii="Arial" w:hAnsi="Arial" w:cs="Arial"/>
          <w:sz w:val="22"/>
          <w:szCs w:val="22"/>
          <w:lang w:val="en-US"/>
        </w:rPr>
        <w:t>were used to determine basal caspase activity</w:t>
      </w:r>
      <w:r>
        <w:rPr>
          <w:rFonts w:ascii="Arial" w:hAnsi="Arial" w:cs="Arial"/>
          <w:sz w:val="22"/>
          <w:szCs w:val="22"/>
          <w:lang w:val="en-US"/>
        </w:rPr>
        <w:t>.</w:t>
      </w:r>
    </w:p>
    <w:p w14:paraId="58C3020A" w14:textId="77777777" w:rsidR="00056BB0" w:rsidRDefault="00056BB0" w:rsidP="00056BB0">
      <w:pPr>
        <w:autoSpaceDE w:val="0"/>
        <w:autoSpaceDN w:val="0"/>
        <w:adjustRightInd w:val="0"/>
        <w:spacing w:line="360" w:lineRule="auto"/>
        <w:jc w:val="both"/>
        <w:rPr>
          <w:rFonts w:ascii="Arial" w:hAnsi="Arial" w:cs="Arial"/>
          <w:sz w:val="22"/>
          <w:szCs w:val="22"/>
          <w:lang w:val="en-US"/>
        </w:rPr>
      </w:pPr>
      <w:proofErr w:type="spellStart"/>
      <w:r w:rsidRPr="00C50ED5">
        <w:rPr>
          <w:rFonts w:ascii="Arial" w:hAnsi="Arial" w:cs="Arial"/>
          <w:sz w:val="22"/>
          <w:szCs w:val="22"/>
          <w:lang w:val="en-US"/>
        </w:rPr>
        <w:t>CellTiter</w:t>
      </w:r>
      <w:proofErr w:type="spellEnd"/>
      <w:r w:rsidRPr="00C50ED5">
        <w:rPr>
          <w:rFonts w:ascii="Arial" w:hAnsi="Arial" w:cs="Arial"/>
          <w:sz w:val="22"/>
          <w:szCs w:val="22"/>
          <w:lang w:val="en-US"/>
        </w:rPr>
        <w:t>-Glo Luminescent Cell Viability</w:t>
      </w:r>
      <w:r>
        <w:rPr>
          <w:rFonts w:ascii="Arial" w:hAnsi="Arial" w:cs="Arial"/>
          <w:sz w:val="22"/>
          <w:szCs w:val="22"/>
          <w:lang w:val="en-US"/>
        </w:rPr>
        <w:t xml:space="preserve"> was used in the same plate for normalization in relation to cell viability.</w:t>
      </w:r>
      <w:r w:rsidRPr="0097563E">
        <w:rPr>
          <w:rFonts w:ascii="Arial" w:hAnsi="Arial" w:cs="Arial"/>
          <w:sz w:val="22"/>
          <w:szCs w:val="22"/>
          <w:lang w:val="en-US"/>
        </w:rPr>
        <w:t xml:space="preserve"> </w:t>
      </w:r>
      <w:r>
        <w:rPr>
          <w:rFonts w:ascii="Arial" w:hAnsi="Arial" w:cs="Arial"/>
          <w:sz w:val="22"/>
          <w:szCs w:val="22"/>
          <w:lang w:val="en-US"/>
        </w:rPr>
        <w:t xml:space="preserve">Assay from </w:t>
      </w:r>
      <w:r w:rsidRPr="0097563E">
        <w:rPr>
          <w:rFonts w:ascii="Arial" w:hAnsi="Arial" w:cs="Arial"/>
          <w:sz w:val="22"/>
          <w:szCs w:val="22"/>
          <w:lang w:val="en-US"/>
        </w:rPr>
        <w:t xml:space="preserve">Promega </w:t>
      </w:r>
      <w:r>
        <w:rPr>
          <w:rFonts w:ascii="Arial" w:hAnsi="Arial" w:cs="Arial"/>
          <w:sz w:val="22"/>
          <w:szCs w:val="22"/>
          <w:lang w:val="en-US"/>
        </w:rPr>
        <w:t>use</w:t>
      </w:r>
      <w:r w:rsidRPr="0097563E">
        <w:rPr>
          <w:rFonts w:ascii="Arial" w:hAnsi="Arial" w:cs="Arial"/>
          <w:sz w:val="22"/>
          <w:szCs w:val="22"/>
          <w:lang w:val="en-US"/>
        </w:rPr>
        <w:t xml:space="preserve"> a Centro LB 960 luminometer (Berthold Technologies, Bad Wildbad, Germany).</w:t>
      </w:r>
    </w:p>
    <w:p w14:paraId="4C3225C1" w14:textId="77777777" w:rsidR="00056BB0" w:rsidRDefault="00056BB0" w:rsidP="00056BB0">
      <w:pPr>
        <w:autoSpaceDE w:val="0"/>
        <w:autoSpaceDN w:val="0"/>
        <w:adjustRightInd w:val="0"/>
        <w:spacing w:line="360" w:lineRule="auto"/>
        <w:jc w:val="both"/>
        <w:rPr>
          <w:rFonts w:ascii="Arial" w:hAnsi="Arial" w:cs="Arial"/>
          <w:sz w:val="22"/>
          <w:szCs w:val="22"/>
          <w:lang w:val="en-US"/>
        </w:rPr>
      </w:pPr>
    </w:p>
    <w:p w14:paraId="3ADF3B13" w14:textId="77777777" w:rsidR="00056BB0" w:rsidRPr="0097563E" w:rsidRDefault="00056BB0" w:rsidP="00056BB0">
      <w:pPr>
        <w:widowControl w:val="0"/>
        <w:spacing w:line="360" w:lineRule="auto"/>
        <w:jc w:val="both"/>
        <w:rPr>
          <w:rFonts w:ascii="Arial" w:hAnsi="Arial" w:cs="Arial"/>
          <w:b/>
          <w:sz w:val="22"/>
          <w:szCs w:val="22"/>
          <w:lang w:val="en-US"/>
        </w:rPr>
      </w:pPr>
      <w:r w:rsidRPr="0097563E">
        <w:rPr>
          <w:rFonts w:ascii="Arial" w:hAnsi="Arial" w:cs="Arial"/>
          <w:b/>
          <w:sz w:val="22"/>
          <w:szCs w:val="22"/>
          <w:lang w:val="en-US"/>
        </w:rPr>
        <w:t>Measurement of ROS production</w:t>
      </w:r>
    </w:p>
    <w:p w14:paraId="20EA1934" w14:textId="77777777" w:rsidR="00056BB0" w:rsidRDefault="00056BB0" w:rsidP="00056BB0">
      <w:pPr>
        <w:widowControl w:val="0"/>
        <w:spacing w:line="360" w:lineRule="auto"/>
        <w:jc w:val="both"/>
        <w:rPr>
          <w:rFonts w:ascii="Arial" w:hAnsi="Arial" w:cs="Arial"/>
          <w:sz w:val="22"/>
          <w:szCs w:val="22"/>
          <w:lang w:val="en-US"/>
        </w:rPr>
      </w:pPr>
      <w:r w:rsidRPr="0097563E">
        <w:rPr>
          <w:rFonts w:ascii="Arial" w:hAnsi="Arial" w:cs="Arial"/>
          <w:sz w:val="22"/>
          <w:szCs w:val="22"/>
          <w:lang w:val="en-US"/>
        </w:rPr>
        <w:t>Reactive oxygen species (ROS) were staining using a CM-H2DFDA probe (C6827, Invitrogen) and measured with the FL1 channel of flow cytometer (</w:t>
      </w:r>
      <w:proofErr w:type="spellStart"/>
      <w:r w:rsidRPr="0097563E">
        <w:rPr>
          <w:rFonts w:ascii="Arial" w:hAnsi="Arial" w:cs="Arial"/>
          <w:sz w:val="22"/>
          <w:szCs w:val="22"/>
          <w:lang w:val="en-US"/>
        </w:rPr>
        <w:t>LSRFortessa</w:t>
      </w:r>
      <w:proofErr w:type="spellEnd"/>
      <w:r w:rsidRPr="0097563E">
        <w:rPr>
          <w:rFonts w:ascii="Arial" w:hAnsi="Arial" w:cs="Arial"/>
          <w:sz w:val="22"/>
          <w:szCs w:val="22"/>
          <w:lang w:val="en-US"/>
        </w:rPr>
        <w:t xml:space="preserve"> cytometer, BD Bioscience). Briefly, cells were treated as indicated in Fig </w:t>
      </w:r>
      <w:r>
        <w:rPr>
          <w:rFonts w:ascii="Arial" w:hAnsi="Arial" w:cs="Arial"/>
          <w:sz w:val="22"/>
          <w:szCs w:val="22"/>
          <w:lang w:val="en-US"/>
        </w:rPr>
        <w:t>5</w:t>
      </w:r>
      <w:r w:rsidRPr="0097563E">
        <w:rPr>
          <w:rFonts w:ascii="Arial" w:hAnsi="Arial" w:cs="Arial"/>
          <w:sz w:val="22"/>
          <w:szCs w:val="22"/>
          <w:lang w:val="en-US"/>
        </w:rPr>
        <w:t xml:space="preserve">. Then cell were incubated with 5µM CM-H2DFDA at 37°C for 20 minutes in PBS and washed with RPMI 1640 medium and </w:t>
      </w:r>
      <w:r w:rsidRPr="0097563E">
        <w:rPr>
          <w:rFonts w:ascii="Arial" w:hAnsi="Arial" w:cs="Arial"/>
          <w:sz w:val="22"/>
          <w:szCs w:val="22"/>
          <w:lang w:val="en-US"/>
        </w:rPr>
        <w:lastRenderedPageBreak/>
        <w:t>incubated during 1 hour at 37°C. For controls GSH (0.5 or 5mM) and oxygen peroxide (10mM) cells were treated 1 hour before staining.</w:t>
      </w:r>
    </w:p>
    <w:p w14:paraId="4FD59670" w14:textId="77777777" w:rsidR="00056BB0" w:rsidRPr="0097563E" w:rsidRDefault="00056BB0" w:rsidP="00056BB0">
      <w:pPr>
        <w:widowControl w:val="0"/>
        <w:spacing w:line="360" w:lineRule="auto"/>
        <w:jc w:val="both"/>
        <w:rPr>
          <w:rFonts w:ascii="Arial" w:hAnsi="Arial" w:cs="Arial"/>
          <w:sz w:val="22"/>
          <w:szCs w:val="22"/>
          <w:lang w:val="en-US"/>
        </w:rPr>
      </w:pPr>
      <w:r>
        <w:rPr>
          <w:rFonts w:ascii="Arial" w:hAnsi="Arial" w:cs="Arial"/>
          <w:sz w:val="22"/>
          <w:szCs w:val="22"/>
          <w:lang w:val="en-US"/>
        </w:rPr>
        <w:t>Lipid peroxidation were measured using a BODIPY-C11 581/591 probe (</w:t>
      </w:r>
      <w:r w:rsidRPr="008369B6">
        <w:rPr>
          <w:rFonts w:ascii="Arial" w:hAnsi="Arial" w:cs="Arial"/>
          <w:sz w:val="22"/>
          <w:szCs w:val="22"/>
          <w:lang w:val="en-US"/>
        </w:rPr>
        <w:t>D-3861</w:t>
      </w:r>
      <w:r>
        <w:rPr>
          <w:rFonts w:ascii="Arial" w:hAnsi="Arial" w:cs="Arial"/>
          <w:sz w:val="22"/>
          <w:szCs w:val="22"/>
          <w:lang w:val="en-US"/>
        </w:rPr>
        <w:t xml:space="preserve">, Invitrogen) </w:t>
      </w:r>
      <w:r w:rsidRPr="0097563E">
        <w:rPr>
          <w:rFonts w:ascii="Arial" w:hAnsi="Arial" w:cs="Arial"/>
          <w:sz w:val="22"/>
          <w:szCs w:val="22"/>
          <w:lang w:val="en-US"/>
        </w:rPr>
        <w:t>and measured with the FL1 channel of flow cytometer</w:t>
      </w:r>
      <w:r>
        <w:rPr>
          <w:rFonts w:ascii="Arial" w:hAnsi="Arial" w:cs="Arial"/>
          <w:sz w:val="22"/>
          <w:szCs w:val="22"/>
          <w:lang w:val="en-US"/>
        </w:rPr>
        <w:t>, cell were incubated with 2µM BODIPY-C11 581/591 at 37°C for 3</w:t>
      </w:r>
      <w:r w:rsidRPr="0097563E">
        <w:rPr>
          <w:rFonts w:ascii="Arial" w:hAnsi="Arial" w:cs="Arial"/>
          <w:sz w:val="22"/>
          <w:szCs w:val="22"/>
          <w:lang w:val="en-US"/>
        </w:rPr>
        <w:t>0 minutes in PBS and washed with RPMI 1640 medium and incubated during 1 hour at 37°C.</w:t>
      </w:r>
    </w:p>
    <w:p w14:paraId="4FF92984" w14:textId="77777777" w:rsidR="00056BB0" w:rsidRDefault="00056BB0" w:rsidP="00056BB0">
      <w:pPr>
        <w:autoSpaceDE w:val="0"/>
        <w:autoSpaceDN w:val="0"/>
        <w:adjustRightInd w:val="0"/>
        <w:spacing w:line="360" w:lineRule="auto"/>
        <w:jc w:val="both"/>
        <w:rPr>
          <w:rFonts w:ascii="Arial" w:hAnsi="Arial" w:cs="Arial"/>
          <w:sz w:val="22"/>
          <w:szCs w:val="22"/>
          <w:lang w:val="en-US"/>
        </w:rPr>
      </w:pPr>
    </w:p>
    <w:p w14:paraId="24BA9D33" w14:textId="77777777" w:rsidR="00056BB0" w:rsidRDefault="00056BB0" w:rsidP="00056BB0">
      <w:pPr>
        <w:widowControl w:val="0"/>
        <w:spacing w:line="360" w:lineRule="auto"/>
        <w:jc w:val="both"/>
        <w:rPr>
          <w:rFonts w:ascii="Arial" w:hAnsi="Arial" w:cs="Arial"/>
          <w:b/>
          <w:sz w:val="22"/>
          <w:szCs w:val="22"/>
          <w:lang w:val="en-US"/>
        </w:rPr>
      </w:pPr>
      <w:r w:rsidRPr="0097563E">
        <w:rPr>
          <w:rFonts w:ascii="Arial" w:hAnsi="Arial" w:cs="Arial"/>
          <w:b/>
          <w:sz w:val="22"/>
          <w:szCs w:val="22"/>
          <w:lang w:val="en-US"/>
        </w:rPr>
        <w:t xml:space="preserve">Measurement of </w:t>
      </w:r>
      <w:r>
        <w:rPr>
          <w:rFonts w:ascii="Arial" w:hAnsi="Arial" w:cs="Arial"/>
          <w:b/>
          <w:sz w:val="22"/>
          <w:szCs w:val="22"/>
          <w:lang w:val="en-US"/>
        </w:rPr>
        <w:t>labile iron pool</w:t>
      </w:r>
    </w:p>
    <w:p w14:paraId="262D64C0" w14:textId="77777777" w:rsidR="00056BB0" w:rsidRPr="00E24624" w:rsidRDefault="00056BB0" w:rsidP="00056BB0">
      <w:pPr>
        <w:widowControl w:val="0"/>
        <w:spacing w:line="360" w:lineRule="auto"/>
        <w:jc w:val="both"/>
        <w:rPr>
          <w:rFonts w:ascii="Arial" w:hAnsi="Arial" w:cs="Arial"/>
          <w:sz w:val="22"/>
          <w:szCs w:val="22"/>
          <w:lang w:val="en-US"/>
        </w:rPr>
      </w:pPr>
      <w:r w:rsidRPr="00E24624">
        <w:rPr>
          <w:rFonts w:ascii="Arial" w:hAnsi="Arial" w:cs="Arial"/>
          <w:sz w:val="22"/>
          <w:szCs w:val="22"/>
          <w:lang w:val="en-US"/>
        </w:rPr>
        <w:t>The LIP was</w:t>
      </w:r>
      <w:r>
        <w:rPr>
          <w:rFonts w:ascii="Arial" w:hAnsi="Arial" w:cs="Arial"/>
          <w:sz w:val="22"/>
          <w:szCs w:val="22"/>
          <w:lang w:val="en-US"/>
        </w:rPr>
        <w:t xml:space="preserve"> quantified </w:t>
      </w:r>
      <w:r w:rsidRPr="00E24624">
        <w:rPr>
          <w:rFonts w:ascii="Arial" w:hAnsi="Arial" w:cs="Arial"/>
          <w:sz w:val="22"/>
          <w:szCs w:val="22"/>
          <w:lang w:val="en-US"/>
        </w:rPr>
        <w:t>on its ability to bi</w:t>
      </w:r>
      <w:r>
        <w:rPr>
          <w:rFonts w:ascii="Arial" w:hAnsi="Arial" w:cs="Arial"/>
          <w:sz w:val="22"/>
          <w:szCs w:val="22"/>
          <w:lang w:val="en-US"/>
        </w:rPr>
        <w:t xml:space="preserve">nd to cell-permeable chelators, </w:t>
      </w:r>
      <w:r w:rsidRPr="00E24624">
        <w:rPr>
          <w:rFonts w:ascii="Arial" w:hAnsi="Arial" w:cs="Arial"/>
          <w:sz w:val="22"/>
          <w:szCs w:val="22"/>
          <w:lang w:val="en-US"/>
        </w:rPr>
        <w:t xml:space="preserve">such as </w:t>
      </w:r>
      <w:proofErr w:type="spellStart"/>
      <w:r w:rsidRPr="00E24624">
        <w:rPr>
          <w:rFonts w:ascii="Arial" w:hAnsi="Arial" w:cs="Arial"/>
          <w:sz w:val="22"/>
          <w:szCs w:val="22"/>
          <w:lang w:val="en-US"/>
        </w:rPr>
        <w:t>calcein</w:t>
      </w:r>
      <w:proofErr w:type="spellEnd"/>
      <w:r w:rsidRPr="00E24624">
        <w:rPr>
          <w:rFonts w:ascii="Arial" w:hAnsi="Arial" w:cs="Arial"/>
          <w:sz w:val="22"/>
          <w:szCs w:val="22"/>
          <w:lang w:val="en-US"/>
        </w:rPr>
        <w:t xml:space="preserve"> acetoxymethyl ester (CA-AM). U</w:t>
      </w:r>
      <w:r>
        <w:rPr>
          <w:rFonts w:ascii="Arial" w:hAnsi="Arial" w:cs="Arial"/>
          <w:sz w:val="22"/>
          <w:szCs w:val="22"/>
          <w:lang w:val="en-US"/>
        </w:rPr>
        <w:t xml:space="preserve">pon entering viable cells, CA-AM </w:t>
      </w:r>
      <w:r w:rsidRPr="00E24624">
        <w:rPr>
          <w:rFonts w:ascii="Arial" w:hAnsi="Arial" w:cs="Arial"/>
          <w:sz w:val="22"/>
          <w:szCs w:val="22"/>
          <w:lang w:val="en-US"/>
        </w:rPr>
        <w:t>undergoes hydroly</w:t>
      </w:r>
      <w:r>
        <w:rPr>
          <w:rFonts w:ascii="Arial" w:hAnsi="Arial" w:cs="Arial"/>
          <w:sz w:val="22"/>
          <w:szCs w:val="22"/>
          <w:lang w:val="en-US"/>
        </w:rPr>
        <w:t xml:space="preserve">sis by </w:t>
      </w:r>
      <w:proofErr w:type="spellStart"/>
      <w:r>
        <w:rPr>
          <w:rFonts w:ascii="Arial" w:hAnsi="Arial" w:cs="Arial"/>
          <w:sz w:val="22"/>
          <w:szCs w:val="22"/>
          <w:lang w:val="en-US"/>
        </w:rPr>
        <w:t>esterases</w:t>
      </w:r>
      <w:proofErr w:type="spellEnd"/>
      <w:r>
        <w:rPr>
          <w:rFonts w:ascii="Arial" w:hAnsi="Arial" w:cs="Arial"/>
          <w:sz w:val="22"/>
          <w:szCs w:val="22"/>
          <w:lang w:val="en-US"/>
        </w:rPr>
        <w:t xml:space="preserve"> to </w:t>
      </w:r>
      <w:proofErr w:type="spellStart"/>
      <w:r>
        <w:rPr>
          <w:rFonts w:ascii="Arial" w:hAnsi="Arial" w:cs="Arial"/>
          <w:sz w:val="22"/>
          <w:szCs w:val="22"/>
          <w:lang w:val="en-US"/>
        </w:rPr>
        <w:t>calcein</w:t>
      </w:r>
      <w:proofErr w:type="spellEnd"/>
      <w:r>
        <w:rPr>
          <w:rFonts w:ascii="Arial" w:hAnsi="Arial" w:cs="Arial"/>
          <w:sz w:val="22"/>
          <w:szCs w:val="22"/>
          <w:lang w:val="en-US"/>
        </w:rPr>
        <w:t xml:space="preserve"> and becomes fluorescent. </w:t>
      </w:r>
      <w:r w:rsidRPr="00E24624">
        <w:rPr>
          <w:rFonts w:ascii="Arial" w:hAnsi="Arial" w:cs="Arial"/>
          <w:sz w:val="22"/>
          <w:szCs w:val="22"/>
          <w:lang w:val="en-US"/>
        </w:rPr>
        <w:t>Its fluorescence is quenched upon binding to cellular LIP, in a stoichiometric fashion</w:t>
      </w:r>
      <w:r>
        <w:rPr>
          <w:rFonts w:ascii="Arial" w:hAnsi="Arial" w:cs="Arial"/>
          <w:sz w:val="22"/>
          <w:szCs w:val="22"/>
          <w:lang w:val="en-US"/>
        </w:rPr>
        <w:t xml:space="preserve"> </w:t>
      </w:r>
      <w:r>
        <w:rPr>
          <w:rFonts w:ascii="Arial" w:hAnsi="Arial" w:cs="Arial"/>
          <w:sz w:val="22"/>
          <w:szCs w:val="22"/>
          <w:lang w:val="en-US"/>
        </w:rPr>
        <w:fldChar w:fldCharType="begin"/>
      </w:r>
      <w:r>
        <w:rPr>
          <w:rFonts w:ascii="Arial" w:hAnsi="Arial" w:cs="Arial"/>
          <w:sz w:val="22"/>
          <w:szCs w:val="22"/>
          <w:lang w:val="en-US"/>
        </w:rPr>
        <w:instrText xml:space="preserve"> ADDIN ZOTERO_ITEM CSL_CITATION {"citationID":"4oVEMg8O","properties":{"formattedCitation":"(Prus and Fibach, 2008)","plainCitation":"(Prus and Fibach, 2008)","noteIndex":0},"citationItems":[{"id":1618,"uris":["http://zotero.org/users/1781003/items/JSI7BJE2"],"uri":["http://zotero.org/users/1781003/items/JSI7BJE2"],"itemData":{"id":1618,"type":"article-journal","abstract":"Iron is important for many biological processes, and its deficiency or excess is involved in pathological conditions. Although most iron is firmly bound (e.g., in hemoglobin), some, the labile iron pool (LIP), is bound to low-affinity ligands. The level of LIP is regulated to meet the cell's requirements for iron but prevent excess. We describe herein a multiparameter flow cytometry procedure for measuring LIP in various human hematopoietic cells. Peripheral blood and bone marrow (BM) cells were loaded with calcein-AM, washed, and then incubated with or without the high-affinity iron-chelator Deferiprone (L1). Specific cell subpopulations were identified based on side-light scattering and expression of surface antigens. LIP was determined based on the ability of L1 to bind and remove iron from calcein and thereby increase the fluorescence emitted by the cells. Blood cells differ in their LIP content in the order monocytes &gt; PMN &gt; RBC &gt; lymphocytes. Analysis of BM cells indicated a similar tendency among precursors of the different lineages. The results also showed that among myeloid precursors, LIP increases along cell maturation. Flow cytometry might be useful for evaluating LIP in various diseases and for studying the efficacy of iron-chelators.","container-title":"Cytometry. Part A: The Journal of the International Society for Analytical Cytology","DOI":"10.1002/cyto.a.20491","ISSN":"1552-4930","issue":"1","journalAbbreviation":"Cytometry A","language":"eng","note":"PMID: 18044720","page":"22-27","source":"PubMed","title":"Flow cytometry measurement of the labile iron pool in human hematopoietic cells","volume":"73","author":[{"family":"Prus","given":"Eugenia"},{"family":"Fibach","given":"Eitan"}],"issued":{"date-parts":[["2008",1]]}}}],"schema":"https://github.com/citation-style-language/schema/raw/master/csl-citation.json"} </w:instrText>
      </w:r>
      <w:r>
        <w:rPr>
          <w:rFonts w:ascii="Arial" w:hAnsi="Arial" w:cs="Arial"/>
          <w:sz w:val="22"/>
          <w:szCs w:val="22"/>
          <w:lang w:val="en-US"/>
        </w:rPr>
        <w:fldChar w:fldCharType="separate"/>
      </w:r>
      <w:r w:rsidRPr="00664F6A">
        <w:rPr>
          <w:rFonts w:ascii="Arial" w:hAnsi="Arial" w:cs="Arial"/>
          <w:sz w:val="22"/>
          <w:lang w:val="en-US"/>
        </w:rPr>
        <w:t>(Prus and Fibach, 2008)</w:t>
      </w:r>
      <w:r>
        <w:rPr>
          <w:rFonts w:ascii="Arial" w:hAnsi="Arial" w:cs="Arial"/>
          <w:sz w:val="22"/>
          <w:szCs w:val="22"/>
          <w:lang w:val="en-US"/>
        </w:rPr>
        <w:fldChar w:fldCharType="end"/>
      </w:r>
      <w:r w:rsidRPr="00E24624">
        <w:rPr>
          <w:rFonts w:ascii="Arial" w:hAnsi="Arial" w:cs="Arial"/>
          <w:sz w:val="22"/>
          <w:szCs w:val="22"/>
          <w:lang w:val="en-US"/>
        </w:rPr>
        <w:t>.</w:t>
      </w:r>
    </w:p>
    <w:p w14:paraId="367EEE92" w14:textId="77777777" w:rsidR="00056BB0" w:rsidRPr="00E24624" w:rsidRDefault="00056BB0" w:rsidP="00056BB0">
      <w:pPr>
        <w:widowControl w:val="0"/>
        <w:spacing w:line="360" w:lineRule="auto"/>
        <w:jc w:val="both"/>
        <w:rPr>
          <w:rFonts w:ascii="Arial" w:hAnsi="Arial" w:cs="Arial"/>
          <w:sz w:val="22"/>
          <w:szCs w:val="22"/>
          <w:lang w:val="en-US"/>
        </w:rPr>
      </w:pPr>
      <w:r w:rsidRPr="00E24624">
        <w:rPr>
          <w:rFonts w:ascii="Arial" w:hAnsi="Arial" w:cs="Arial"/>
          <w:sz w:val="22"/>
          <w:szCs w:val="22"/>
          <w:lang w:val="en-US"/>
        </w:rPr>
        <w:t xml:space="preserve">The addition of a high-affinity chelator, such as </w:t>
      </w:r>
      <w:proofErr w:type="spellStart"/>
      <w:r>
        <w:rPr>
          <w:rFonts w:ascii="Arial" w:hAnsi="Arial" w:cs="Arial"/>
          <w:sz w:val="22"/>
          <w:szCs w:val="22"/>
          <w:lang w:val="en-US"/>
        </w:rPr>
        <w:t>deferasirox</w:t>
      </w:r>
      <w:proofErr w:type="spellEnd"/>
      <w:r>
        <w:rPr>
          <w:rFonts w:ascii="Arial" w:hAnsi="Arial" w:cs="Arial"/>
          <w:sz w:val="22"/>
          <w:szCs w:val="22"/>
          <w:lang w:val="en-US"/>
        </w:rPr>
        <w:t>,</w:t>
      </w:r>
      <w:r w:rsidRPr="00E24624">
        <w:rPr>
          <w:rFonts w:ascii="Arial" w:hAnsi="Arial" w:cs="Arial"/>
          <w:sz w:val="22"/>
          <w:szCs w:val="22"/>
          <w:lang w:val="en-US"/>
        </w:rPr>
        <w:t xml:space="preserve"> removes iron from its complex with CA, increases</w:t>
      </w:r>
      <w:r>
        <w:rPr>
          <w:rFonts w:ascii="Arial" w:hAnsi="Arial" w:cs="Arial"/>
          <w:sz w:val="22"/>
          <w:szCs w:val="22"/>
          <w:lang w:val="en-US"/>
        </w:rPr>
        <w:t xml:space="preserve"> </w:t>
      </w:r>
      <w:r w:rsidRPr="00E24624">
        <w:rPr>
          <w:rFonts w:ascii="Arial" w:hAnsi="Arial" w:cs="Arial"/>
          <w:sz w:val="22"/>
          <w:szCs w:val="22"/>
          <w:lang w:val="en-US"/>
        </w:rPr>
        <w:t>the fluores</w:t>
      </w:r>
      <w:r>
        <w:rPr>
          <w:rFonts w:ascii="Arial" w:hAnsi="Arial" w:cs="Arial"/>
          <w:sz w:val="22"/>
          <w:szCs w:val="22"/>
          <w:lang w:val="en-US"/>
        </w:rPr>
        <w:t>cence emitted by the cells</w:t>
      </w:r>
      <w:r w:rsidRPr="00E24624">
        <w:rPr>
          <w:rFonts w:ascii="Arial" w:hAnsi="Arial" w:cs="Arial"/>
          <w:sz w:val="22"/>
          <w:szCs w:val="22"/>
          <w:lang w:val="en-US"/>
        </w:rPr>
        <w:t>. The differen</w:t>
      </w:r>
      <w:r>
        <w:rPr>
          <w:rFonts w:ascii="Arial" w:hAnsi="Arial" w:cs="Arial"/>
          <w:sz w:val="22"/>
          <w:szCs w:val="22"/>
          <w:lang w:val="en-US"/>
        </w:rPr>
        <w:t xml:space="preserve">ce in the cellular fluorescence </w:t>
      </w:r>
      <w:r w:rsidRPr="00E24624">
        <w:rPr>
          <w:rFonts w:ascii="Arial" w:hAnsi="Arial" w:cs="Arial"/>
          <w:sz w:val="22"/>
          <w:szCs w:val="22"/>
          <w:lang w:val="en-US"/>
        </w:rPr>
        <w:t>before and after incubation with a high-affinity chela</w:t>
      </w:r>
      <w:r>
        <w:rPr>
          <w:rFonts w:ascii="Arial" w:hAnsi="Arial" w:cs="Arial"/>
          <w:sz w:val="22"/>
          <w:szCs w:val="22"/>
          <w:lang w:val="en-US"/>
        </w:rPr>
        <w:t xml:space="preserve">tor (ΔF) reflects the amount of LIP. </w:t>
      </w:r>
      <w:r w:rsidRPr="00664F6A">
        <w:rPr>
          <w:rFonts w:ascii="Arial" w:hAnsi="Arial" w:cs="Arial"/>
          <w:sz w:val="22"/>
          <w:szCs w:val="22"/>
          <w:lang w:val="en-US"/>
        </w:rPr>
        <w:t>Cells were washed twice</w:t>
      </w:r>
      <w:r>
        <w:rPr>
          <w:rFonts w:ascii="Arial" w:hAnsi="Arial" w:cs="Arial"/>
          <w:sz w:val="22"/>
          <w:szCs w:val="22"/>
          <w:lang w:val="en-US"/>
        </w:rPr>
        <w:t xml:space="preserve"> with saline and incubated at a </w:t>
      </w:r>
      <w:r w:rsidRPr="00664F6A">
        <w:rPr>
          <w:rFonts w:ascii="Arial" w:hAnsi="Arial" w:cs="Arial"/>
          <w:sz w:val="22"/>
          <w:szCs w:val="22"/>
          <w:lang w:val="en-US"/>
        </w:rPr>
        <w:t>density</w:t>
      </w:r>
      <w:r>
        <w:rPr>
          <w:rFonts w:ascii="Arial" w:hAnsi="Arial" w:cs="Arial"/>
          <w:sz w:val="22"/>
          <w:szCs w:val="22"/>
          <w:lang w:val="en-US"/>
        </w:rPr>
        <w:t xml:space="preserve"> of 1x</w:t>
      </w:r>
      <w:r w:rsidRPr="00664F6A">
        <w:rPr>
          <w:rFonts w:ascii="Arial" w:hAnsi="Arial" w:cs="Arial"/>
          <w:sz w:val="22"/>
          <w:szCs w:val="22"/>
          <w:lang w:val="en-US"/>
        </w:rPr>
        <w:t xml:space="preserve"> 10</w:t>
      </w:r>
      <w:r w:rsidRPr="00664F6A">
        <w:rPr>
          <w:rFonts w:ascii="Arial" w:hAnsi="Arial" w:cs="Arial"/>
          <w:sz w:val="22"/>
          <w:szCs w:val="22"/>
          <w:vertAlign w:val="superscript"/>
          <w:lang w:val="en-US"/>
        </w:rPr>
        <w:t>6</w:t>
      </w:r>
      <w:r w:rsidRPr="00664F6A">
        <w:rPr>
          <w:rFonts w:ascii="Arial" w:hAnsi="Arial" w:cs="Arial"/>
          <w:sz w:val="22"/>
          <w:szCs w:val="22"/>
          <w:lang w:val="en-US"/>
        </w:rPr>
        <w:t xml:space="preserve"> </w:t>
      </w:r>
      <w:r>
        <w:rPr>
          <w:rFonts w:ascii="Arial" w:hAnsi="Arial" w:cs="Arial"/>
          <w:sz w:val="22"/>
          <w:szCs w:val="22"/>
          <w:lang w:val="en-US"/>
        </w:rPr>
        <w:t>cells per ml for 15 min at 37°C with 0.5 µ</w:t>
      </w:r>
      <w:r w:rsidRPr="00664F6A">
        <w:rPr>
          <w:rFonts w:ascii="Arial" w:hAnsi="Arial" w:cs="Arial"/>
          <w:sz w:val="22"/>
          <w:szCs w:val="22"/>
          <w:lang w:val="en-US"/>
        </w:rPr>
        <w:t>M CA-AM (Sigma, St. Louis, MO)</w:t>
      </w:r>
      <w:r>
        <w:rPr>
          <w:rFonts w:ascii="Arial" w:hAnsi="Arial" w:cs="Arial"/>
          <w:sz w:val="22"/>
          <w:szCs w:val="22"/>
          <w:lang w:val="en-US"/>
        </w:rPr>
        <w:t xml:space="preserve">. </w:t>
      </w:r>
      <w:r w:rsidRPr="00664F6A">
        <w:rPr>
          <w:rFonts w:ascii="Arial" w:hAnsi="Arial" w:cs="Arial"/>
          <w:sz w:val="22"/>
          <w:szCs w:val="22"/>
          <w:lang w:val="en-US"/>
        </w:rPr>
        <w:t>Then, the cells wer</w:t>
      </w:r>
      <w:r>
        <w:rPr>
          <w:rFonts w:ascii="Arial" w:hAnsi="Arial" w:cs="Arial"/>
          <w:sz w:val="22"/>
          <w:szCs w:val="22"/>
          <w:lang w:val="en-US"/>
        </w:rPr>
        <w:t xml:space="preserve">e washed twice and treated with </w:t>
      </w:r>
      <w:proofErr w:type="spellStart"/>
      <w:r>
        <w:rPr>
          <w:rFonts w:ascii="Arial" w:hAnsi="Arial" w:cs="Arial"/>
          <w:sz w:val="22"/>
          <w:szCs w:val="22"/>
          <w:lang w:val="en-US"/>
        </w:rPr>
        <w:t>Deferasirox</w:t>
      </w:r>
      <w:proofErr w:type="spellEnd"/>
      <w:r>
        <w:rPr>
          <w:rFonts w:ascii="Arial" w:hAnsi="Arial" w:cs="Arial"/>
          <w:sz w:val="22"/>
          <w:szCs w:val="22"/>
          <w:lang w:val="en-US"/>
        </w:rPr>
        <w:t xml:space="preserve"> (100 µ</w:t>
      </w:r>
      <w:r w:rsidRPr="00664F6A">
        <w:rPr>
          <w:rFonts w:ascii="Arial" w:hAnsi="Arial" w:cs="Arial"/>
          <w:sz w:val="22"/>
          <w:szCs w:val="22"/>
          <w:lang w:val="en-US"/>
        </w:rPr>
        <w:t>M)</w:t>
      </w:r>
      <w:r>
        <w:rPr>
          <w:rFonts w:ascii="Arial" w:hAnsi="Arial" w:cs="Arial"/>
          <w:sz w:val="22"/>
          <w:szCs w:val="22"/>
          <w:lang w:val="en-US"/>
        </w:rPr>
        <w:t xml:space="preserve">, </w:t>
      </w:r>
      <w:proofErr w:type="spellStart"/>
      <w:r>
        <w:rPr>
          <w:rFonts w:ascii="Arial" w:hAnsi="Arial" w:cs="Arial"/>
          <w:sz w:val="22"/>
          <w:szCs w:val="22"/>
          <w:lang w:val="en-US"/>
        </w:rPr>
        <w:t>Ironomycin</w:t>
      </w:r>
      <w:proofErr w:type="spellEnd"/>
      <w:r>
        <w:rPr>
          <w:rFonts w:ascii="Arial" w:hAnsi="Arial" w:cs="Arial"/>
          <w:sz w:val="22"/>
          <w:szCs w:val="22"/>
          <w:lang w:val="en-US"/>
        </w:rPr>
        <w:t xml:space="preserve"> (10µM)</w:t>
      </w:r>
      <w:r w:rsidRPr="00664F6A">
        <w:rPr>
          <w:rFonts w:ascii="Arial" w:hAnsi="Arial" w:cs="Arial"/>
          <w:sz w:val="22"/>
          <w:szCs w:val="22"/>
          <w:lang w:val="en-US"/>
        </w:rPr>
        <w:t xml:space="preserve"> or left untreated.</w:t>
      </w:r>
    </w:p>
    <w:p w14:paraId="3E932231" w14:textId="77777777" w:rsidR="00056BB0" w:rsidRPr="00C50ED5" w:rsidRDefault="00056BB0" w:rsidP="00056BB0">
      <w:pPr>
        <w:widowControl w:val="0"/>
        <w:spacing w:line="360" w:lineRule="auto"/>
        <w:jc w:val="both"/>
        <w:rPr>
          <w:rFonts w:ascii="Arial" w:hAnsi="Arial" w:cs="Arial"/>
          <w:sz w:val="22"/>
          <w:szCs w:val="22"/>
          <w:lang w:val="en-US"/>
        </w:rPr>
      </w:pPr>
      <w:proofErr w:type="spellStart"/>
      <w:r>
        <w:rPr>
          <w:rFonts w:ascii="Arial" w:hAnsi="Arial" w:cs="Arial"/>
          <w:sz w:val="22"/>
          <w:szCs w:val="22"/>
          <w:lang w:val="en-US"/>
        </w:rPr>
        <w:t>Calcein</w:t>
      </w:r>
      <w:proofErr w:type="spellEnd"/>
      <w:r>
        <w:rPr>
          <w:rFonts w:ascii="Arial" w:hAnsi="Arial" w:cs="Arial"/>
          <w:sz w:val="22"/>
          <w:szCs w:val="22"/>
          <w:lang w:val="en-US"/>
        </w:rPr>
        <w:t xml:space="preserve"> fluorescence was</w:t>
      </w:r>
      <w:r w:rsidRPr="0097563E">
        <w:rPr>
          <w:rFonts w:ascii="Arial" w:hAnsi="Arial" w:cs="Arial"/>
          <w:sz w:val="22"/>
          <w:szCs w:val="22"/>
          <w:lang w:val="en-US"/>
        </w:rPr>
        <w:t xml:space="preserve"> measured with the FL1 channel of flow cytometer (</w:t>
      </w:r>
      <w:proofErr w:type="spellStart"/>
      <w:r w:rsidRPr="0097563E">
        <w:rPr>
          <w:rFonts w:ascii="Arial" w:hAnsi="Arial" w:cs="Arial"/>
          <w:sz w:val="22"/>
          <w:szCs w:val="22"/>
          <w:lang w:val="en-US"/>
        </w:rPr>
        <w:t>LSRFortessa</w:t>
      </w:r>
      <w:proofErr w:type="spellEnd"/>
      <w:r w:rsidRPr="0097563E">
        <w:rPr>
          <w:rFonts w:ascii="Arial" w:hAnsi="Arial" w:cs="Arial"/>
          <w:sz w:val="22"/>
          <w:szCs w:val="22"/>
          <w:lang w:val="en-US"/>
        </w:rPr>
        <w:t xml:space="preserve"> cytometer, BD Bioscience)</w:t>
      </w:r>
      <w:r>
        <w:rPr>
          <w:rFonts w:ascii="Arial" w:hAnsi="Arial" w:cs="Arial"/>
          <w:sz w:val="22"/>
          <w:szCs w:val="22"/>
          <w:lang w:val="en-US"/>
        </w:rPr>
        <w:t>.</w:t>
      </w:r>
    </w:p>
    <w:p w14:paraId="2D9392C2" w14:textId="77777777" w:rsidR="00647666" w:rsidRPr="00591620" w:rsidRDefault="00647666" w:rsidP="00647666">
      <w:pPr>
        <w:widowControl w:val="0"/>
        <w:spacing w:line="360" w:lineRule="auto"/>
        <w:jc w:val="both"/>
        <w:rPr>
          <w:rFonts w:ascii="Arial" w:hAnsi="Arial" w:cs="Arial"/>
          <w:b/>
          <w:sz w:val="22"/>
          <w:szCs w:val="22"/>
          <w:lang w:val="en-US"/>
        </w:rPr>
      </w:pPr>
    </w:p>
    <w:p w14:paraId="1171F7F8" w14:textId="77777777" w:rsidR="00647666" w:rsidRPr="00591620" w:rsidRDefault="00647666" w:rsidP="00647666">
      <w:pPr>
        <w:widowControl w:val="0"/>
        <w:spacing w:line="360" w:lineRule="auto"/>
        <w:jc w:val="both"/>
        <w:rPr>
          <w:rFonts w:ascii="Arial" w:hAnsi="Arial" w:cs="Arial"/>
          <w:b/>
          <w:sz w:val="22"/>
          <w:szCs w:val="22"/>
          <w:lang w:val="en-US"/>
        </w:rPr>
      </w:pPr>
      <w:r w:rsidRPr="00591620">
        <w:rPr>
          <w:rFonts w:ascii="Arial" w:hAnsi="Arial" w:cs="Arial"/>
          <w:b/>
          <w:sz w:val="22"/>
          <w:szCs w:val="22"/>
          <w:lang w:val="en-US"/>
        </w:rPr>
        <w:t>Measurement of intracellular iron (II)</w:t>
      </w:r>
    </w:p>
    <w:p w14:paraId="5C429040" w14:textId="77777777" w:rsidR="00647666" w:rsidRPr="00591620" w:rsidRDefault="009C100D" w:rsidP="00647666">
      <w:pPr>
        <w:widowControl w:val="0"/>
        <w:spacing w:line="360" w:lineRule="auto"/>
        <w:jc w:val="both"/>
        <w:rPr>
          <w:rFonts w:ascii="Arial" w:hAnsi="Arial" w:cs="Arial"/>
          <w:sz w:val="22"/>
          <w:szCs w:val="22"/>
          <w:lang w:val="en-US"/>
        </w:rPr>
      </w:pPr>
      <w:r w:rsidRPr="00591620">
        <w:rPr>
          <w:rFonts w:ascii="Arial" w:hAnsi="Arial" w:cs="Arial"/>
          <w:sz w:val="22"/>
          <w:szCs w:val="22"/>
          <w:lang w:val="en-US"/>
        </w:rPr>
        <w:t xml:space="preserve">Intracellular Fe2+ were measured in live cells with </w:t>
      </w:r>
      <w:proofErr w:type="spellStart"/>
      <w:r w:rsidRPr="00591620">
        <w:rPr>
          <w:rFonts w:ascii="Arial" w:hAnsi="Arial" w:cs="Arial"/>
          <w:sz w:val="22"/>
          <w:szCs w:val="22"/>
          <w:lang w:val="en-US"/>
        </w:rPr>
        <w:t>Biotracker</w:t>
      </w:r>
      <w:proofErr w:type="spellEnd"/>
      <w:r w:rsidRPr="00591620">
        <w:rPr>
          <w:rFonts w:ascii="Arial" w:hAnsi="Arial" w:cs="Arial"/>
          <w:sz w:val="22"/>
          <w:szCs w:val="22"/>
          <w:lang w:val="en-US"/>
        </w:rPr>
        <w:t xml:space="preserve"> 575 Red Fe2+ probe. Briefly, c</w:t>
      </w:r>
      <w:r w:rsidR="00647666" w:rsidRPr="00591620">
        <w:rPr>
          <w:rFonts w:ascii="Arial" w:hAnsi="Arial" w:cs="Arial"/>
          <w:sz w:val="22"/>
          <w:szCs w:val="22"/>
          <w:lang w:val="en-US"/>
        </w:rPr>
        <w:t xml:space="preserve">ells were washed twice with Hanks balanced salt solution and stained with 5µM of </w:t>
      </w:r>
      <w:proofErr w:type="spellStart"/>
      <w:r w:rsidR="00647666" w:rsidRPr="00591620">
        <w:rPr>
          <w:rFonts w:ascii="Arial" w:hAnsi="Arial" w:cs="Arial"/>
          <w:sz w:val="22"/>
          <w:szCs w:val="22"/>
          <w:lang w:val="en-US"/>
        </w:rPr>
        <w:t>Biotracker</w:t>
      </w:r>
      <w:proofErr w:type="spellEnd"/>
      <w:r w:rsidR="00647666" w:rsidRPr="00591620">
        <w:rPr>
          <w:rFonts w:ascii="Arial" w:hAnsi="Arial" w:cs="Arial"/>
          <w:sz w:val="22"/>
          <w:szCs w:val="22"/>
          <w:lang w:val="en-US"/>
        </w:rPr>
        <w:t xml:space="preserve"> 575 Red Fe2+ Dye (#SCT030, Merck) (stock solution : 1mM in DMSO)</w:t>
      </w:r>
      <w:r w:rsidR="00B25DDA" w:rsidRPr="00591620">
        <w:rPr>
          <w:rFonts w:ascii="Arial" w:hAnsi="Arial" w:cs="Arial"/>
          <w:sz w:val="22"/>
          <w:szCs w:val="22"/>
          <w:lang w:val="en-US"/>
        </w:rPr>
        <w:t xml:space="preserve">, and incubated </w:t>
      </w:r>
      <w:r w:rsidR="001B7E78" w:rsidRPr="00591620">
        <w:rPr>
          <w:rFonts w:ascii="Arial" w:hAnsi="Arial" w:cs="Arial"/>
          <w:sz w:val="22"/>
          <w:szCs w:val="22"/>
          <w:lang w:val="en-US"/>
        </w:rPr>
        <w:t>1 hour at 37°C in an</w:t>
      </w:r>
      <w:r w:rsidR="00B25DDA" w:rsidRPr="00591620">
        <w:rPr>
          <w:rFonts w:ascii="Arial" w:hAnsi="Arial" w:cs="Arial"/>
          <w:sz w:val="22"/>
          <w:szCs w:val="22"/>
          <w:lang w:val="en-US"/>
        </w:rPr>
        <w:t xml:space="preserve"> incubator. Cells were washed and resuspended in HBSS, fluorescence was measur</w:t>
      </w:r>
      <w:r w:rsidRPr="00591620">
        <w:rPr>
          <w:rFonts w:ascii="Arial" w:hAnsi="Arial" w:cs="Arial"/>
          <w:sz w:val="22"/>
          <w:szCs w:val="22"/>
          <w:lang w:val="en-US"/>
        </w:rPr>
        <w:t>ed with the FL2</w:t>
      </w:r>
      <w:r w:rsidR="00B25DDA" w:rsidRPr="00591620">
        <w:rPr>
          <w:rFonts w:ascii="Arial" w:hAnsi="Arial" w:cs="Arial"/>
          <w:sz w:val="22"/>
          <w:szCs w:val="22"/>
          <w:lang w:val="en-US"/>
        </w:rPr>
        <w:t xml:space="preserve"> channel of flow cytometer (</w:t>
      </w:r>
      <w:proofErr w:type="spellStart"/>
      <w:r w:rsidR="00B25DDA" w:rsidRPr="00591620">
        <w:rPr>
          <w:rFonts w:ascii="Arial" w:hAnsi="Arial" w:cs="Arial"/>
          <w:sz w:val="22"/>
          <w:szCs w:val="22"/>
          <w:lang w:val="en-US"/>
        </w:rPr>
        <w:t>LSRFortessa</w:t>
      </w:r>
      <w:proofErr w:type="spellEnd"/>
      <w:r w:rsidR="00B25DDA" w:rsidRPr="00591620">
        <w:rPr>
          <w:rFonts w:ascii="Arial" w:hAnsi="Arial" w:cs="Arial"/>
          <w:sz w:val="22"/>
          <w:szCs w:val="22"/>
          <w:lang w:val="en-US"/>
        </w:rPr>
        <w:t xml:space="preserve"> cytometer, BD Bioscience).</w:t>
      </w:r>
    </w:p>
    <w:p w14:paraId="00A4D912" w14:textId="77777777" w:rsidR="009C100D" w:rsidRPr="00591620" w:rsidRDefault="009C100D" w:rsidP="00647666">
      <w:pPr>
        <w:widowControl w:val="0"/>
        <w:spacing w:line="360" w:lineRule="auto"/>
        <w:jc w:val="both"/>
        <w:rPr>
          <w:rFonts w:ascii="Arial" w:hAnsi="Arial" w:cs="Arial"/>
          <w:sz w:val="22"/>
          <w:szCs w:val="22"/>
          <w:highlight w:val="yellow"/>
          <w:lang w:val="en-US"/>
        </w:rPr>
      </w:pPr>
      <w:r w:rsidRPr="00591620">
        <w:rPr>
          <w:rFonts w:ascii="Arial" w:hAnsi="Arial" w:cs="Arial"/>
          <w:sz w:val="22"/>
          <w:szCs w:val="22"/>
          <w:lang w:val="en-US"/>
        </w:rPr>
        <w:t>MFI of PE fluorescence were compared between CD20+ cells and CD20- cells.</w:t>
      </w:r>
    </w:p>
    <w:p w14:paraId="4F2837A4" w14:textId="77777777" w:rsidR="009C100D" w:rsidRPr="005669AB" w:rsidRDefault="009C100D" w:rsidP="00056BB0">
      <w:pPr>
        <w:spacing w:line="360" w:lineRule="auto"/>
        <w:jc w:val="both"/>
        <w:rPr>
          <w:rFonts w:ascii="Arial" w:hAnsi="Arial" w:cs="Arial"/>
          <w:b/>
          <w:sz w:val="22"/>
          <w:szCs w:val="22"/>
          <w:highlight w:val="yellow"/>
          <w:lang w:val="en-US"/>
        </w:rPr>
      </w:pPr>
    </w:p>
    <w:p w14:paraId="54EB7FF2" w14:textId="77777777" w:rsidR="00CF4715" w:rsidRPr="00591620" w:rsidRDefault="00CF4715" w:rsidP="00CF4715">
      <w:pPr>
        <w:spacing w:line="360" w:lineRule="auto"/>
        <w:jc w:val="both"/>
        <w:rPr>
          <w:rFonts w:ascii="Arial" w:hAnsi="Arial" w:cs="Arial"/>
          <w:b/>
          <w:sz w:val="22"/>
          <w:szCs w:val="22"/>
          <w:lang w:val="en-US"/>
        </w:rPr>
      </w:pPr>
      <w:r w:rsidRPr="00591620">
        <w:rPr>
          <w:rFonts w:ascii="Arial" w:hAnsi="Arial" w:cs="Arial"/>
          <w:b/>
          <w:sz w:val="22"/>
          <w:szCs w:val="22"/>
          <w:lang w:val="en-US"/>
        </w:rPr>
        <w:t xml:space="preserve">Intracellular GSH levels quantification. </w:t>
      </w:r>
    </w:p>
    <w:p w14:paraId="69984565" w14:textId="77777777" w:rsidR="00CF4715" w:rsidRPr="00591620" w:rsidRDefault="00CF4715" w:rsidP="00CF4715">
      <w:pPr>
        <w:spacing w:line="360" w:lineRule="auto"/>
        <w:jc w:val="both"/>
        <w:rPr>
          <w:rFonts w:ascii="Arial" w:hAnsi="Arial" w:cs="Arial"/>
          <w:sz w:val="22"/>
          <w:szCs w:val="22"/>
          <w:lang w:val="en-US"/>
        </w:rPr>
      </w:pPr>
      <w:r w:rsidRPr="00591620">
        <w:rPr>
          <w:rFonts w:ascii="Arial" w:hAnsi="Arial" w:cs="Arial"/>
          <w:sz w:val="22"/>
          <w:szCs w:val="22"/>
          <w:lang w:val="en-US"/>
        </w:rPr>
        <w:t>Cells w</w:t>
      </w:r>
      <w:r w:rsidR="00E85DD7" w:rsidRPr="00591620">
        <w:rPr>
          <w:rFonts w:ascii="Arial" w:hAnsi="Arial" w:cs="Arial"/>
          <w:sz w:val="22"/>
          <w:szCs w:val="22"/>
          <w:lang w:val="en-US"/>
        </w:rPr>
        <w:t>ere treated with or without AM5 (0.25</w:t>
      </w:r>
      <w:r w:rsidRPr="00591620">
        <w:rPr>
          <w:rFonts w:ascii="Arial" w:hAnsi="Arial" w:cs="Arial"/>
          <w:sz w:val="22"/>
          <w:szCs w:val="22"/>
          <w:lang w:val="en-US"/>
        </w:rPr>
        <w:t xml:space="preserve"> </w:t>
      </w:r>
      <w:proofErr w:type="spellStart"/>
      <w:r w:rsidRPr="00591620">
        <w:rPr>
          <w:rFonts w:ascii="Arial" w:hAnsi="Arial" w:cs="Arial"/>
          <w:sz w:val="22"/>
          <w:szCs w:val="22"/>
          <w:lang w:val="en-US"/>
        </w:rPr>
        <w:t>μM</w:t>
      </w:r>
      <w:proofErr w:type="spellEnd"/>
      <w:r w:rsidRPr="00591620">
        <w:rPr>
          <w:rFonts w:ascii="Arial" w:hAnsi="Arial" w:cs="Arial"/>
          <w:sz w:val="22"/>
          <w:szCs w:val="22"/>
          <w:lang w:val="en-US"/>
        </w:rPr>
        <w:t>)</w:t>
      </w:r>
      <w:r w:rsidR="00E85DD7" w:rsidRPr="00591620">
        <w:rPr>
          <w:rFonts w:ascii="Arial" w:hAnsi="Arial" w:cs="Arial"/>
          <w:sz w:val="22"/>
          <w:szCs w:val="22"/>
          <w:lang w:val="en-US"/>
        </w:rPr>
        <w:t xml:space="preserve"> or </w:t>
      </w:r>
      <w:proofErr w:type="spellStart"/>
      <w:r w:rsidR="00E85DD7" w:rsidRPr="00591620">
        <w:rPr>
          <w:rFonts w:ascii="Arial" w:hAnsi="Arial" w:cs="Arial"/>
          <w:sz w:val="22"/>
          <w:szCs w:val="22"/>
          <w:lang w:val="en-US"/>
        </w:rPr>
        <w:t>erastin</w:t>
      </w:r>
      <w:proofErr w:type="spellEnd"/>
      <w:r w:rsidR="00E85DD7" w:rsidRPr="00591620">
        <w:rPr>
          <w:rFonts w:ascii="Arial" w:hAnsi="Arial" w:cs="Arial"/>
          <w:sz w:val="22"/>
          <w:szCs w:val="22"/>
          <w:lang w:val="en-US"/>
        </w:rPr>
        <w:t xml:space="preserve"> (4µM, </w:t>
      </w:r>
      <w:proofErr w:type="spellStart"/>
      <w:r w:rsidR="00E85DD7" w:rsidRPr="00591620">
        <w:rPr>
          <w:rFonts w:ascii="Arial" w:hAnsi="Arial" w:cs="Arial"/>
          <w:sz w:val="22"/>
          <w:szCs w:val="22"/>
          <w:lang w:val="en-US"/>
        </w:rPr>
        <w:t>positif</w:t>
      </w:r>
      <w:proofErr w:type="spellEnd"/>
      <w:r w:rsidR="00E85DD7" w:rsidRPr="00591620">
        <w:rPr>
          <w:rFonts w:ascii="Arial" w:hAnsi="Arial" w:cs="Arial"/>
          <w:sz w:val="22"/>
          <w:szCs w:val="22"/>
          <w:lang w:val="en-US"/>
        </w:rPr>
        <w:t xml:space="preserve"> control of GSH depletion) as </w:t>
      </w:r>
      <w:r w:rsidRPr="00591620">
        <w:rPr>
          <w:rFonts w:ascii="Arial" w:hAnsi="Arial" w:cs="Arial"/>
          <w:sz w:val="22"/>
          <w:szCs w:val="22"/>
          <w:lang w:val="en-US"/>
        </w:rPr>
        <w:t>indicated, then harvested and counted. The intracellular</w:t>
      </w:r>
      <w:r w:rsidR="00E85DD7" w:rsidRPr="00591620">
        <w:rPr>
          <w:rFonts w:ascii="Arial" w:hAnsi="Arial" w:cs="Arial"/>
          <w:sz w:val="22"/>
          <w:szCs w:val="22"/>
          <w:lang w:val="en-US"/>
        </w:rPr>
        <w:t xml:space="preserve"> GSH level was measured using a commercial kit (GSH/GSSG-Glo™ Assay, #V6611, Promega</w:t>
      </w:r>
      <w:r w:rsidRPr="00591620">
        <w:rPr>
          <w:rFonts w:ascii="Arial" w:hAnsi="Arial" w:cs="Arial"/>
          <w:sz w:val="22"/>
          <w:szCs w:val="22"/>
          <w:lang w:val="en-US"/>
        </w:rPr>
        <w:t>) according to the manufacturer’s protocol.</w:t>
      </w:r>
    </w:p>
    <w:p w14:paraId="11AB35C5" w14:textId="77777777" w:rsidR="00E85DD7" w:rsidRPr="00591620" w:rsidRDefault="00E85DD7" w:rsidP="00CF4715">
      <w:pPr>
        <w:spacing w:line="360" w:lineRule="auto"/>
        <w:jc w:val="both"/>
        <w:rPr>
          <w:rFonts w:ascii="Arial" w:hAnsi="Arial" w:cs="Arial"/>
          <w:sz w:val="22"/>
          <w:szCs w:val="22"/>
          <w:lang w:val="en-US"/>
        </w:rPr>
      </w:pPr>
      <w:r w:rsidRPr="00591620">
        <w:rPr>
          <w:rFonts w:ascii="Arial" w:hAnsi="Arial" w:cs="Arial"/>
          <w:sz w:val="22"/>
          <w:szCs w:val="22"/>
          <w:lang w:val="en-US"/>
        </w:rPr>
        <w:t xml:space="preserve">GSH/GSSG ratio was calculated with the following </w:t>
      </w:r>
      <w:r w:rsidR="00BD15AD" w:rsidRPr="00591620">
        <w:rPr>
          <w:rFonts w:ascii="Arial" w:hAnsi="Arial" w:cs="Arial"/>
          <w:sz w:val="22"/>
          <w:szCs w:val="22"/>
          <w:lang w:val="en-US"/>
        </w:rPr>
        <w:t>formula:</w:t>
      </w:r>
    </w:p>
    <w:p w14:paraId="703A86A1" w14:textId="77777777" w:rsidR="00E85DD7" w:rsidRPr="00591620" w:rsidRDefault="00591620" w:rsidP="00CF4715">
      <w:pPr>
        <w:spacing w:line="360" w:lineRule="auto"/>
        <w:jc w:val="both"/>
        <w:rPr>
          <w:rFonts w:ascii="Arial" w:hAnsi="Arial" w:cs="Arial"/>
          <w:sz w:val="22"/>
          <w:szCs w:val="22"/>
          <w:highlight w:val="yellow"/>
          <w:lang w:val="en-US"/>
        </w:rPr>
      </w:pPr>
      <m:oMathPara>
        <m:oMath>
          <m:f>
            <m:fPr>
              <m:type m:val="lin"/>
              <m:ctrlPr>
                <w:rPr>
                  <w:rFonts w:ascii="Cambria Math" w:hAnsi="Cambria Math" w:cs="Arial"/>
                  <w:i/>
                  <w:sz w:val="22"/>
                  <w:szCs w:val="22"/>
                  <w:lang w:val="en-US"/>
                </w:rPr>
              </m:ctrlPr>
            </m:fPr>
            <m:num>
              <m:r>
                <w:rPr>
                  <w:rFonts w:ascii="Cambria Math" w:hAnsi="Cambria Math" w:cs="Arial"/>
                  <w:sz w:val="22"/>
                  <w:szCs w:val="22"/>
                  <w:lang w:val="en-US"/>
                </w:rPr>
                <m:t>GSH</m:t>
              </m:r>
            </m:num>
            <m:den>
              <m:r>
                <w:rPr>
                  <w:rFonts w:ascii="Cambria Math" w:hAnsi="Cambria Math" w:cs="Arial"/>
                  <w:sz w:val="22"/>
                  <w:szCs w:val="22"/>
                  <w:lang w:val="en-US"/>
                </w:rPr>
                <m:t>GSSG</m:t>
              </m:r>
            </m:den>
          </m:f>
          <m:r>
            <w:rPr>
              <w:rFonts w:ascii="Cambria Math" w:hAnsi="Cambria Math" w:cs="Arial"/>
              <w:sz w:val="22"/>
              <w:szCs w:val="22"/>
              <w:lang w:val="en-US"/>
            </w:rPr>
            <m:t xml:space="preserve">ratio = </m:t>
          </m:r>
          <m:f>
            <m:fPr>
              <m:ctrlPr>
                <w:rPr>
                  <w:rFonts w:ascii="Cambria Math" w:hAnsi="Cambria Math" w:cs="Arial"/>
                  <w:i/>
                  <w:sz w:val="22"/>
                  <w:szCs w:val="22"/>
                  <w:lang w:val="en-US"/>
                </w:rPr>
              </m:ctrlPr>
            </m:fPr>
            <m:num>
              <m:r>
                <w:rPr>
                  <w:rFonts w:ascii="Cambria Math" w:hAnsi="Cambria Math" w:cs="Arial"/>
                  <w:sz w:val="22"/>
                  <w:szCs w:val="22"/>
                  <w:lang w:val="en-US"/>
                </w:rPr>
                <m:t xml:space="preserve">(Net total glutathione RLU </m:t>
              </m:r>
              <m:r>
                <w:rPr>
                  <w:rFonts w:ascii="Cambria Math" w:hAnsi="Cambria Math" w:cs="Arial" w:hint="eastAsia"/>
                  <w:sz w:val="22"/>
                  <w:szCs w:val="22"/>
                  <w:lang w:val="en-US"/>
                </w:rPr>
                <m:t>–</m:t>
              </m:r>
              <m:r>
                <w:rPr>
                  <w:rFonts w:ascii="Cambria Math" w:hAnsi="Cambria Math" w:cs="Arial"/>
                  <w:sz w:val="22"/>
                  <w:szCs w:val="22"/>
                  <w:lang w:val="en-US"/>
                </w:rPr>
                <m:t xml:space="preserve"> Net GSSG RLU)</m:t>
              </m:r>
            </m:num>
            <m:den>
              <m:r>
                <w:rPr>
                  <w:rFonts w:ascii="Cambria Math" w:hAnsi="Cambria Math" w:cs="Arial"/>
                  <w:sz w:val="22"/>
                  <w:szCs w:val="22"/>
                  <w:lang w:val="en-US"/>
                </w:rPr>
                <m:t>[Net GSSG RLU/2]</m:t>
              </m:r>
            </m:den>
          </m:f>
        </m:oMath>
      </m:oMathPara>
    </w:p>
    <w:p w14:paraId="104BB3F2" w14:textId="77777777" w:rsidR="00845F88" w:rsidRPr="00591620" w:rsidRDefault="00845F88" w:rsidP="00056BB0">
      <w:pPr>
        <w:spacing w:line="360" w:lineRule="auto"/>
        <w:jc w:val="both"/>
        <w:rPr>
          <w:rFonts w:ascii="Arial" w:hAnsi="Arial" w:cs="Arial"/>
          <w:b/>
          <w:sz w:val="22"/>
          <w:szCs w:val="22"/>
          <w:lang w:val="en-US"/>
        </w:rPr>
      </w:pPr>
    </w:p>
    <w:p w14:paraId="4342FC4B" w14:textId="77777777" w:rsidR="008675B2" w:rsidRPr="00591620" w:rsidRDefault="008675B2" w:rsidP="00056BB0">
      <w:pPr>
        <w:spacing w:line="360" w:lineRule="auto"/>
        <w:jc w:val="both"/>
        <w:rPr>
          <w:rFonts w:ascii="Arial" w:hAnsi="Arial" w:cs="Arial"/>
          <w:b/>
          <w:sz w:val="22"/>
          <w:szCs w:val="22"/>
          <w:lang w:val="en-US"/>
        </w:rPr>
      </w:pPr>
      <w:r w:rsidRPr="00591620">
        <w:rPr>
          <w:rFonts w:ascii="Arial" w:hAnsi="Arial" w:cs="Arial"/>
          <w:b/>
          <w:sz w:val="22"/>
          <w:szCs w:val="22"/>
          <w:lang w:val="en-US"/>
        </w:rPr>
        <w:t>Cytotoxicity assay based on LDH release</w:t>
      </w:r>
    </w:p>
    <w:p w14:paraId="7BD5979E" w14:textId="31D599A5" w:rsidR="003C1275" w:rsidRPr="00591620" w:rsidRDefault="003C1275" w:rsidP="00056BB0">
      <w:pPr>
        <w:spacing w:line="360" w:lineRule="auto"/>
        <w:jc w:val="both"/>
        <w:rPr>
          <w:rFonts w:ascii="Arial" w:hAnsi="Arial" w:cs="Arial"/>
          <w:color w:val="000000"/>
          <w:sz w:val="22"/>
          <w:szCs w:val="22"/>
          <w:lang w:val="en-US"/>
        </w:rPr>
      </w:pPr>
      <w:r w:rsidRPr="00591620">
        <w:rPr>
          <w:rFonts w:ascii="Arial" w:hAnsi="Arial" w:cs="Arial"/>
          <w:color w:val="000000"/>
          <w:sz w:val="22"/>
          <w:szCs w:val="22"/>
          <w:lang w:val="en-US"/>
        </w:rPr>
        <w:t>Cells were seeded in a 48 well plate</w:t>
      </w:r>
      <w:r w:rsidR="00E168DA" w:rsidRPr="00591620">
        <w:rPr>
          <w:rFonts w:ascii="Arial" w:hAnsi="Arial" w:cs="Arial"/>
          <w:color w:val="000000"/>
          <w:sz w:val="22"/>
          <w:szCs w:val="22"/>
          <w:lang w:val="en-US"/>
        </w:rPr>
        <w:t>s</w:t>
      </w:r>
      <w:r w:rsidRPr="00591620">
        <w:rPr>
          <w:rFonts w:ascii="Arial" w:hAnsi="Arial" w:cs="Arial"/>
          <w:color w:val="000000"/>
          <w:sz w:val="22"/>
          <w:szCs w:val="22"/>
          <w:lang w:val="en-US"/>
        </w:rPr>
        <w:t xml:space="preserve"> and treated with increasing concentration of </w:t>
      </w:r>
      <w:proofErr w:type="spellStart"/>
      <w:r w:rsidRPr="00591620">
        <w:rPr>
          <w:rFonts w:ascii="Arial" w:hAnsi="Arial" w:cs="Arial"/>
          <w:color w:val="000000"/>
          <w:sz w:val="22"/>
          <w:szCs w:val="22"/>
          <w:lang w:val="en-US"/>
        </w:rPr>
        <w:t>Ironomycin</w:t>
      </w:r>
      <w:proofErr w:type="spellEnd"/>
      <w:r w:rsidRPr="00591620">
        <w:rPr>
          <w:rFonts w:ascii="Arial" w:hAnsi="Arial" w:cs="Arial"/>
          <w:color w:val="000000"/>
          <w:sz w:val="22"/>
          <w:szCs w:val="22"/>
          <w:lang w:val="en-US"/>
        </w:rPr>
        <w:t>, in presence of recommended controls: control</w:t>
      </w:r>
      <w:r w:rsidR="00E168DA" w:rsidRPr="00591620">
        <w:rPr>
          <w:rFonts w:ascii="Arial" w:hAnsi="Arial" w:cs="Arial"/>
          <w:color w:val="000000"/>
          <w:sz w:val="22"/>
          <w:szCs w:val="22"/>
          <w:lang w:val="en-US"/>
        </w:rPr>
        <w:t xml:space="preserve"> without cells</w:t>
      </w:r>
      <w:r w:rsidRPr="00591620">
        <w:rPr>
          <w:rFonts w:ascii="Arial" w:hAnsi="Arial" w:cs="Arial"/>
          <w:color w:val="000000"/>
          <w:sz w:val="22"/>
          <w:szCs w:val="22"/>
          <w:lang w:val="en-US"/>
        </w:rPr>
        <w:t>, vehicle only control and maximal LDH release control (obtained with the addition of 2</w:t>
      </w:r>
      <w:r w:rsidRPr="00591620">
        <w:rPr>
          <w:rFonts w:ascii="Arial" w:hAnsi="Arial" w:cs="Arial"/>
          <w:color w:val="000000"/>
          <w:sz w:val="22"/>
          <w:szCs w:val="22"/>
        </w:rPr>
        <w:t>μ</w:t>
      </w:r>
      <w:r w:rsidRPr="00591620">
        <w:rPr>
          <w:rFonts w:ascii="Arial" w:hAnsi="Arial" w:cs="Arial"/>
          <w:color w:val="000000"/>
          <w:sz w:val="22"/>
          <w:szCs w:val="22"/>
          <w:lang w:val="en-US"/>
        </w:rPr>
        <w:t>l of 10% Triton X-100 per 100</w:t>
      </w:r>
      <w:r w:rsidRPr="00591620">
        <w:rPr>
          <w:rFonts w:ascii="Arial" w:hAnsi="Arial" w:cs="Arial"/>
          <w:color w:val="000000"/>
          <w:sz w:val="22"/>
          <w:szCs w:val="22"/>
        </w:rPr>
        <w:t>μ</w:t>
      </w:r>
      <w:r w:rsidRPr="00591620">
        <w:rPr>
          <w:rFonts w:ascii="Arial" w:hAnsi="Arial" w:cs="Arial"/>
          <w:color w:val="000000"/>
          <w:sz w:val="22"/>
          <w:szCs w:val="22"/>
          <w:lang w:val="en-US"/>
        </w:rPr>
        <w:t>l for 10–15 minutes before collecting the samples for LDH detection).</w:t>
      </w:r>
    </w:p>
    <w:p w14:paraId="4C268873" w14:textId="77777777" w:rsidR="003C1275" w:rsidRPr="00591620" w:rsidRDefault="003C1275" w:rsidP="003C1275">
      <w:pPr>
        <w:spacing w:line="360" w:lineRule="auto"/>
        <w:jc w:val="both"/>
        <w:rPr>
          <w:rFonts w:ascii="Arial" w:hAnsi="Arial" w:cs="Arial"/>
          <w:sz w:val="22"/>
          <w:szCs w:val="22"/>
          <w:lang w:val="en-US"/>
        </w:rPr>
      </w:pPr>
      <w:r w:rsidRPr="00591620">
        <w:rPr>
          <w:rFonts w:ascii="Arial" w:hAnsi="Arial" w:cs="Arial"/>
          <w:sz w:val="22"/>
          <w:szCs w:val="22"/>
          <w:lang w:val="en-US"/>
        </w:rPr>
        <w:t>The LDH release level was measured using a commercial kit (</w:t>
      </w:r>
      <w:r w:rsidRPr="00591620">
        <w:rPr>
          <w:rFonts w:ascii="Arial" w:hAnsi="Arial" w:cs="Arial"/>
          <w:color w:val="000000"/>
          <w:sz w:val="22"/>
          <w:szCs w:val="22"/>
          <w:lang w:val="en-US"/>
        </w:rPr>
        <w:t>LDH-Glo™ Cytotoxicity Assay #J2380</w:t>
      </w:r>
      <w:r w:rsidRPr="00591620">
        <w:rPr>
          <w:rFonts w:ascii="Arial" w:hAnsi="Arial" w:cs="Arial"/>
          <w:sz w:val="22"/>
          <w:szCs w:val="22"/>
          <w:lang w:val="en-US"/>
        </w:rPr>
        <w:t>, Promega) according to the manufacturer’s protocol.</w:t>
      </w:r>
    </w:p>
    <w:p w14:paraId="7D4D8DF3" w14:textId="77777777" w:rsidR="000E0B98" w:rsidRPr="00591620" w:rsidRDefault="00845F88" w:rsidP="000E0B98">
      <w:pPr>
        <w:spacing w:line="360" w:lineRule="auto"/>
        <w:jc w:val="both"/>
        <w:rPr>
          <w:rFonts w:ascii="Arial" w:hAnsi="Arial" w:cs="Arial"/>
          <w:sz w:val="22"/>
          <w:szCs w:val="22"/>
          <w:lang w:val="en-US"/>
        </w:rPr>
      </w:pPr>
      <w:r w:rsidRPr="00591620">
        <w:rPr>
          <w:rFonts w:ascii="Arial" w:hAnsi="Arial" w:cs="Arial"/>
          <w:sz w:val="22"/>
          <w:szCs w:val="22"/>
          <w:lang w:val="en-US"/>
        </w:rPr>
        <w:t>Percentage of cytotoxicity was measured with the following formula</w:t>
      </w:r>
      <w:r w:rsidR="000E0B98" w:rsidRPr="00591620">
        <w:rPr>
          <w:rFonts w:ascii="Arial" w:hAnsi="Arial" w:cs="Arial"/>
          <w:sz w:val="22"/>
          <w:szCs w:val="22"/>
          <w:lang w:val="en-US"/>
        </w:rPr>
        <w:t>:</w:t>
      </w:r>
    </w:p>
    <w:p w14:paraId="234B8BE1" w14:textId="77777777" w:rsidR="008F5B69" w:rsidRPr="00591620" w:rsidRDefault="000E0B98" w:rsidP="00EF01D8">
      <w:pPr>
        <w:spacing w:line="360" w:lineRule="auto"/>
        <w:jc w:val="center"/>
        <w:rPr>
          <w:rFonts w:ascii="Arial" w:hAnsi="Arial" w:cs="Arial"/>
          <w:sz w:val="22"/>
          <w:szCs w:val="22"/>
          <w:lang w:val="en-US"/>
        </w:rPr>
      </w:pPr>
      <m:oMathPara>
        <m:oMath>
          <m:r>
            <w:rPr>
              <w:rFonts w:ascii="Cambria Math" w:hAnsi="Cambria Math" w:cs="Arial"/>
              <w:sz w:val="22"/>
              <w:szCs w:val="22"/>
              <w:lang w:val="en-US"/>
            </w:rPr>
            <m:t xml:space="preserve">% Cytotoxicity=100 </m:t>
          </m:r>
          <m:r>
            <w:rPr>
              <w:rFonts w:ascii="Cambria Math" w:hAnsi="Cambria Math" w:cs="Arial" w:hint="eastAsia"/>
              <w:sz w:val="22"/>
              <w:szCs w:val="22"/>
              <w:lang w:val="en-US"/>
            </w:rPr>
            <m:t>×</m:t>
          </m:r>
          <m:f>
            <m:fPr>
              <m:ctrlPr>
                <w:rPr>
                  <w:rFonts w:ascii="Cambria Math" w:hAnsi="Cambria Math" w:cs="Arial"/>
                  <w:i/>
                  <w:sz w:val="22"/>
                  <w:szCs w:val="22"/>
                  <w:lang w:val="en-US"/>
                </w:rPr>
              </m:ctrlPr>
            </m:fPr>
            <m:num>
              <m:r>
                <w:rPr>
                  <w:rFonts w:ascii="Cambria Math" w:hAnsi="Cambria Math" w:cs="Arial"/>
                  <w:sz w:val="22"/>
                  <w:szCs w:val="22"/>
                  <w:lang w:val="en-US"/>
                </w:rPr>
                <m:t xml:space="preserve">(Experimental LDH Release </m:t>
              </m:r>
              <m:r>
                <w:rPr>
                  <w:rFonts w:ascii="Cambria Math" w:hAnsi="Cambria Math" w:cs="Arial" w:hint="eastAsia"/>
                  <w:sz w:val="22"/>
                  <w:szCs w:val="22"/>
                  <w:lang w:val="en-US"/>
                </w:rPr>
                <m:t>–</m:t>
              </m:r>
              <m:r>
                <w:rPr>
                  <w:rFonts w:ascii="Cambria Math" w:hAnsi="Cambria Math" w:cs="Arial"/>
                  <w:sz w:val="22"/>
                  <w:szCs w:val="22"/>
                  <w:lang w:val="en-US"/>
                </w:rPr>
                <m:t xml:space="preserve"> Medium Background)</m:t>
              </m:r>
            </m:num>
            <m:den>
              <m:r>
                <w:rPr>
                  <w:rFonts w:ascii="Cambria Math" w:hAnsi="Cambria Math" w:cs="Arial"/>
                  <w:sz w:val="22"/>
                  <w:szCs w:val="22"/>
                  <w:lang w:val="en-US"/>
                </w:rPr>
                <m:t xml:space="preserve">(Maximum LDH Release Control </m:t>
              </m:r>
              <m:r>
                <w:rPr>
                  <w:rFonts w:ascii="Cambria Math" w:hAnsi="Cambria Math" w:cs="Arial" w:hint="eastAsia"/>
                  <w:sz w:val="22"/>
                  <w:szCs w:val="22"/>
                  <w:lang w:val="en-US"/>
                </w:rPr>
                <m:t>–</m:t>
              </m:r>
              <m:r>
                <w:rPr>
                  <w:rFonts w:ascii="Cambria Math" w:hAnsi="Cambria Math" w:cs="Arial"/>
                  <w:sz w:val="22"/>
                  <w:szCs w:val="22"/>
                  <w:lang w:val="en-US"/>
                </w:rPr>
                <m:t xml:space="preserve"> Medium Background)</m:t>
              </m:r>
            </m:den>
          </m:f>
        </m:oMath>
      </m:oMathPara>
    </w:p>
    <w:p w14:paraId="24420018" w14:textId="77777777" w:rsidR="008F5B69" w:rsidRPr="0097563E" w:rsidRDefault="008F5B69" w:rsidP="00056BB0">
      <w:pPr>
        <w:spacing w:line="360" w:lineRule="auto"/>
        <w:jc w:val="both"/>
        <w:rPr>
          <w:rFonts w:ascii="Arial" w:hAnsi="Arial" w:cs="Arial"/>
          <w:b/>
          <w:sz w:val="22"/>
          <w:szCs w:val="22"/>
          <w:lang w:val="en-US"/>
        </w:rPr>
      </w:pPr>
    </w:p>
    <w:p w14:paraId="130A6BE4" w14:textId="77777777" w:rsidR="00056BB0" w:rsidRPr="00C50ED5" w:rsidRDefault="00056BB0" w:rsidP="00056BB0">
      <w:pPr>
        <w:spacing w:line="360" w:lineRule="auto"/>
        <w:rPr>
          <w:rFonts w:ascii="Arial" w:hAnsi="Arial" w:cs="Arial"/>
          <w:b/>
          <w:sz w:val="22"/>
          <w:szCs w:val="22"/>
          <w:lang w:val="en-US"/>
        </w:rPr>
      </w:pPr>
      <w:r w:rsidRPr="00C50ED5">
        <w:rPr>
          <w:rFonts w:ascii="Arial" w:hAnsi="Arial" w:cs="Arial"/>
          <w:b/>
          <w:sz w:val="22"/>
          <w:szCs w:val="22"/>
          <w:lang w:val="en-US"/>
        </w:rPr>
        <w:t>DNA repair foci—immunofluorescence microscopy</w:t>
      </w:r>
    </w:p>
    <w:p w14:paraId="11D9D522" w14:textId="77777777" w:rsidR="00056BB0" w:rsidRPr="00846836" w:rsidRDefault="00056BB0" w:rsidP="00056BB0">
      <w:pPr>
        <w:pStyle w:val="follows-h4"/>
        <w:spacing w:line="360" w:lineRule="auto"/>
        <w:rPr>
          <w:rFonts w:ascii="Arial" w:hAnsi="Arial" w:cs="Arial"/>
          <w:b/>
          <w:sz w:val="22"/>
          <w:szCs w:val="22"/>
          <w:lang w:val="en-US"/>
        </w:rPr>
      </w:pPr>
      <w:r w:rsidRPr="00846836">
        <w:rPr>
          <w:rFonts w:ascii="Arial" w:hAnsi="Arial" w:cs="Arial"/>
          <w:b/>
          <w:sz w:val="22"/>
          <w:szCs w:val="22"/>
          <w:lang w:val="en-US"/>
        </w:rPr>
        <w:t>Gamma-H2AX staining:</w:t>
      </w:r>
    </w:p>
    <w:p w14:paraId="6CD241E1" w14:textId="687F7FE7" w:rsidR="00056BB0" w:rsidRPr="0097563E" w:rsidRDefault="00056BB0" w:rsidP="00056BB0">
      <w:pPr>
        <w:pStyle w:val="follows-h4"/>
        <w:spacing w:line="360" w:lineRule="auto"/>
        <w:jc w:val="both"/>
        <w:rPr>
          <w:rFonts w:ascii="Arial" w:hAnsi="Arial" w:cs="Arial"/>
          <w:sz w:val="22"/>
          <w:szCs w:val="22"/>
          <w:lang w:val="en-US"/>
        </w:rPr>
      </w:pPr>
      <w:r w:rsidRPr="00C50ED5">
        <w:rPr>
          <w:rFonts w:ascii="Arial" w:hAnsi="Arial" w:cs="Arial"/>
          <w:sz w:val="22"/>
          <w:szCs w:val="22"/>
          <w:lang w:val="en-US"/>
        </w:rPr>
        <w:t xml:space="preserve">After deposition on slides using a </w:t>
      </w:r>
      <w:proofErr w:type="spellStart"/>
      <w:r w:rsidRPr="00C50ED5">
        <w:rPr>
          <w:rFonts w:ascii="Arial" w:hAnsi="Arial" w:cs="Arial"/>
          <w:sz w:val="22"/>
          <w:szCs w:val="22"/>
          <w:lang w:val="en-US"/>
        </w:rPr>
        <w:t>Cytospin</w:t>
      </w:r>
      <w:proofErr w:type="spellEnd"/>
      <w:r w:rsidRPr="00C50ED5">
        <w:rPr>
          <w:rFonts w:ascii="Arial" w:hAnsi="Arial" w:cs="Arial"/>
          <w:sz w:val="22"/>
          <w:szCs w:val="22"/>
          <w:lang w:val="en-US"/>
        </w:rPr>
        <w:t xml:space="preserve"> centrifuge, cells were fixed with 4</w:t>
      </w:r>
      <w:r w:rsidRPr="00C50ED5">
        <w:rPr>
          <w:rStyle w:val="mb"/>
          <w:rFonts w:ascii="Arial" w:hAnsi="Arial" w:cs="Arial"/>
          <w:sz w:val="22"/>
          <w:szCs w:val="22"/>
          <w:lang w:val="en-US"/>
        </w:rPr>
        <w:t>%</w:t>
      </w:r>
      <w:r w:rsidRPr="00C50ED5">
        <w:rPr>
          <w:rFonts w:ascii="Arial" w:hAnsi="Arial" w:cs="Arial"/>
          <w:sz w:val="22"/>
          <w:szCs w:val="22"/>
          <w:lang w:val="en-US"/>
        </w:rPr>
        <w:t xml:space="preserve"> paraformaldehyde, permeabilized with 0.5</w:t>
      </w:r>
      <w:r w:rsidRPr="00C50ED5">
        <w:rPr>
          <w:rStyle w:val="mb"/>
          <w:rFonts w:ascii="Arial" w:hAnsi="Arial" w:cs="Arial"/>
          <w:sz w:val="22"/>
          <w:szCs w:val="22"/>
          <w:lang w:val="en-US"/>
        </w:rPr>
        <w:t>%</w:t>
      </w:r>
      <w:r w:rsidRPr="00C50ED5">
        <w:rPr>
          <w:rFonts w:ascii="Arial" w:hAnsi="Arial" w:cs="Arial"/>
          <w:sz w:val="22"/>
          <w:szCs w:val="22"/>
          <w:lang w:val="en-US"/>
        </w:rPr>
        <w:t xml:space="preserve"> Triton in phosphate-buffered saline (PBS) and saturated with 5</w:t>
      </w:r>
      <w:r w:rsidRPr="00C50ED5">
        <w:rPr>
          <w:rStyle w:val="mb"/>
          <w:rFonts w:ascii="Arial" w:hAnsi="Arial" w:cs="Arial"/>
          <w:sz w:val="22"/>
          <w:szCs w:val="22"/>
          <w:lang w:val="en-US"/>
        </w:rPr>
        <w:t>%</w:t>
      </w:r>
      <w:r w:rsidRPr="00C50ED5">
        <w:rPr>
          <w:rFonts w:ascii="Arial" w:hAnsi="Arial" w:cs="Arial"/>
          <w:sz w:val="22"/>
          <w:szCs w:val="22"/>
          <w:lang w:val="en-US"/>
        </w:rPr>
        <w:t xml:space="preserve"> bovine milk in PBS. The mouse anti-</w:t>
      </w:r>
      <w:r w:rsidRPr="0097563E">
        <w:rPr>
          <w:rStyle w:val="mb"/>
          <w:rFonts w:ascii="Arial" w:hAnsi="Arial" w:cs="Arial"/>
          <w:sz w:val="22"/>
          <w:szCs w:val="22"/>
        </w:rPr>
        <w:t>γ</w:t>
      </w:r>
      <w:r w:rsidRPr="00C50ED5">
        <w:rPr>
          <w:rFonts w:ascii="Arial" w:hAnsi="Arial" w:cs="Arial"/>
          <w:sz w:val="22"/>
          <w:szCs w:val="22"/>
          <w:lang w:val="en-US"/>
        </w:rPr>
        <w:t>H2AX (Ser139) antibody (clone JBW301, Merck Millipore, Darmstadt, Germany) w</w:t>
      </w:r>
      <w:r w:rsidR="00F37765">
        <w:rPr>
          <w:rFonts w:ascii="Arial" w:hAnsi="Arial" w:cs="Arial"/>
          <w:sz w:val="22"/>
          <w:szCs w:val="22"/>
          <w:lang w:val="en-US"/>
        </w:rPr>
        <w:t>as</w:t>
      </w:r>
      <w:r w:rsidRPr="00C50ED5">
        <w:rPr>
          <w:rFonts w:ascii="Arial" w:hAnsi="Arial" w:cs="Arial"/>
          <w:sz w:val="22"/>
          <w:szCs w:val="22"/>
          <w:lang w:val="en-US"/>
        </w:rPr>
        <w:t xml:space="preserve"> diluted 1</w:t>
      </w:r>
      <w:r w:rsidRPr="00C50ED5">
        <w:rPr>
          <w:rStyle w:val="mb"/>
          <w:rFonts w:ascii="Arial" w:hAnsi="Arial" w:cs="Arial"/>
          <w:sz w:val="22"/>
          <w:szCs w:val="22"/>
          <w:lang w:val="en-US"/>
        </w:rPr>
        <w:t>/</w:t>
      </w:r>
      <w:r w:rsidRPr="00C50ED5">
        <w:rPr>
          <w:rFonts w:ascii="Arial" w:hAnsi="Arial" w:cs="Arial"/>
          <w:sz w:val="22"/>
          <w:szCs w:val="22"/>
          <w:lang w:val="en-US"/>
        </w:rPr>
        <w:t>300 in 5</w:t>
      </w:r>
      <w:r w:rsidRPr="00C50ED5">
        <w:rPr>
          <w:rStyle w:val="mb"/>
          <w:rFonts w:ascii="Arial" w:hAnsi="Arial" w:cs="Arial"/>
          <w:sz w:val="22"/>
          <w:szCs w:val="22"/>
          <w:lang w:val="en-US"/>
        </w:rPr>
        <w:t>%</w:t>
      </w:r>
      <w:r w:rsidRPr="00C50ED5">
        <w:rPr>
          <w:rFonts w:ascii="Arial" w:hAnsi="Arial" w:cs="Arial"/>
          <w:sz w:val="22"/>
          <w:szCs w:val="22"/>
          <w:lang w:val="en-US"/>
        </w:rPr>
        <w:t xml:space="preserve"> bovine milk in PBS, and deposited on </w:t>
      </w:r>
      <w:proofErr w:type="spellStart"/>
      <w:r w:rsidRPr="00C50ED5">
        <w:rPr>
          <w:rFonts w:ascii="Arial" w:hAnsi="Arial" w:cs="Arial"/>
          <w:sz w:val="22"/>
          <w:szCs w:val="22"/>
          <w:lang w:val="en-US"/>
        </w:rPr>
        <w:t>cytospins</w:t>
      </w:r>
      <w:proofErr w:type="spellEnd"/>
      <w:r w:rsidRPr="00C50ED5">
        <w:rPr>
          <w:rFonts w:ascii="Arial" w:hAnsi="Arial" w:cs="Arial"/>
          <w:sz w:val="22"/>
          <w:szCs w:val="22"/>
          <w:lang w:val="en-US"/>
        </w:rPr>
        <w:t xml:space="preserve"> for 90</w:t>
      </w:r>
      <w:r w:rsidRPr="00C50ED5">
        <w:rPr>
          <w:rStyle w:val="mb"/>
          <w:rFonts w:ascii="Arial" w:hAnsi="Arial" w:cs="Arial"/>
          <w:sz w:val="22"/>
          <w:szCs w:val="22"/>
          <w:lang w:val="en-US"/>
        </w:rPr>
        <w:t> </w:t>
      </w:r>
      <w:r w:rsidRPr="00C50ED5">
        <w:rPr>
          <w:rFonts w:ascii="Arial" w:hAnsi="Arial" w:cs="Arial"/>
          <w:sz w:val="22"/>
          <w:szCs w:val="22"/>
          <w:lang w:val="en-US"/>
        </w:rPr>
        <w:t>min at room temperature. Slides were washed twice and antibod</w:t>
      </w:r>
      <w:r w:rsidR="001772BF">
        <w:rPr>
          <w:rFonts w:ascii="Arial" w:hAnsi="Arial" w:cs="Arial"/>
          <w:sz w:val="22"/>
          <w:szCs w:val="22"/>
          <w:lang w:val="en-US"/>
        </w:rPr>
        <w:t>y anti-</w:t>
      </w:r>
      <w:r w:rsidRPr="00C50ED5">
        <w:rPr>
          <w:rFonts w:ascii="Arial" w:hAnsi="Arial" w:cs="Arial"/>
          <w:sz w:val="22"/>
          <w:szCs w:val="22"/>
          <w:lang w:val="en-US"/>
        </w:rPr>
        <w:t xml:space="preserve">mouse immunoglobulins conjugated to </w:t>
      </w:r>
      <w:r>
        <w:rPr>
          <w:rFonts w:ascii="Arial" w:hAnsi="Arial" w:cs="Arial"/>
          <w:sz w:val="22"/>
          <w:szCs w:val="22"/>
          <w:lang w:val="en-US"/>
        </w:rPr>
        <w:t>A</w:t>
      </w:r>
      <w:r w:rsidRPr="00C50ED5">
        <w:rPr>
          <w:rFonts w:ascii="Arial" w:hAnsi="Arial" w:cs="Arial"/>
          <w:sz w:val="22"/>
          <w:szCs w:val="22"/>
          <w:lang w:val="en-US"/>
        </w:rPr>
        <w:t>lexa 488 (diluted 1</w:t>
      </w:r>
      <w:r w:rsidRPr="00C50ED5">
        <w:rPr>
          <w:rStyle w:val="mb"/>
          <w:rFonts w:ascii="Arial" w:hAnsi="Arial" w:cs="Arial"/>
          <w:sz w:val="22"/>
          <w:szCs w:val="22"/>
          <w:lang w:val="en-US"/>
        </w:rPr>
        <w:t>/</w:t>
      </w:r>
      <w:r w:rsidRPr="00C50ED5">
        <w:rPr>
          <w:rFonts w:ascii="Arial" w:hAnsi="Arial" w:cs="Arial"/>
          <w:sz w:val="22"/>
          <w:szCs w:val="22"/>
          <w:lang w:val="en-US"/>
        </w:rPr>
        <w:t>500 in 5</w:t>
      </w:r>
      <w:r w:rsidRPr="00C50ED5">
        <w:rPr>
          <w:rStyle w:val="mb"/>
          <w:rFonts w:ascii="Arial" w:hAnsi="Arial" w:cs="Arial"/>
          <w:sz w:val="22"/>
          <w:szCs w:val="22"/>
          <w:lang w:val="en-US"/>
        </w:rPr>
        <w:t>%</w:t>
      </w:r>
      <w:r w:rsidRPr="00C50ED5">
        <w:rPr>
          <w:rFonts w:ascii="Arial" w:hAnsi="Arial" w:cs="Arial"/>
          <w:sz w:val="22"/>
          <w:szCs w:val="22"/>
          <w:lang w:val="en-US"/>
        </w:rPr>
        <w:t xml:space="preserve"> bovine milk in PBS) were added for 45</w:t>
      </w:r>
      <w:r w:rsidRPr="00C50ED5">
        <w:rPr>
          <w:rStyle w:val="mb"/>
          <w:rFonts w:ascii="Arial" w:hAnsi="Arial" w:cs="Arial"/>
          <w:sz w:val="22"/>
          <w:szCs w:val="22"/>
          <w:lang w:val="en-US"/>
        </w:rPr>
        <w:t> </w:t>
      </w:r>
      <w:r w:rsidRPr="00C50ED5">
        <w:rPr>
          <w:rFonts w:ascii="Arial" w:hAnsi="Arial" w:cs="Arial"/>
          <w:sz w:val="22"/>
          <w:szCs w:val="22"/>
          <w:lang w:val="en-US"/>
        </w:rPr>
        <w:t xml:space="preserve">min at room temperature. Slides were washed and mounted with </w:t>
      </w:r>
      <w:proofErr w:type="spellStart"/>
      <w:r w:rsidRPr="00C50ED5">
        <w:rPr>
          <w:rFonts w:ascii="Arial" w:hAnsi="Arial" w:cs="Arial"/>
          <w:sz w:val="22"/>
          <w:szCs w:val="22"/>
          <w:lang w:val="en-US"/>
        </w:rPr>
        <w:t>Vectashield</w:t>
      </w:r>
      <w:proofErr w:type="spellEnd"/>
      <w:r w:rsidRPr="00C50ED5">
        <w:rPr>
          <w:rFonts w:ascii="Arial" w:hAnsi="Arial" w:cs="Arial"/>
          <w:sz w:val="22"/>
          <w:szCs w:val="22"/>
          <w:lang w:val="en-US"/>
        </w:rPr>
        <w:t xml:space="preserve"> and 1</w:t>
      </w:r>
      <w:r w:rsidRPr="00C50ED5">
        <w:rPr>
          <w:rStyle w:val="mb"/>
          <w:rFonts w:ascii="Arial" w:hAnsi="Arial" w:cs="Arial"/>
          <w:sz w:val="22"/>
          <w:szCs w:val="22"/>
          <w:lang w:val="en-US"/>
        </w:rPr>
        <w:t>%</w:t>
      </w:r>
      <w:r w:rsidRPr="00C50ED5">
        <w:rPr>
          <w:rFonts w:ascii="Arial" w:hAnsi="Arial" w:cs="Arial"/>
          <w:sz w:val="22"/>
          <w:szCs w:val="22"/>
          <w:lang w:val="en-US"/>
        </w:rPr>
        <w:t xml:space="preserve"> DAPI. Images and fluorescence were captured with a ZEISS </w:t>
      </w:r>
      <w:proofErr w:type="spellStart"/>
      <w:r w:rsidRPr="00C50ED5">
        <w:rPr>
          <w:rFonts w:ascii="Arial" w:hAnsi="Arial" w:cs="Arial"/>
          <w:sz w:val="22"/>
          <w:szCs w:val="22"/>
          <w:lang w:val="en-US"/>
        </w:rPr>
        <w:t>Axio</w:t>
      </w:r>
      <w:proofErr w:type="spellEnd"/>
      <w:r w:rsidRPr="00C50ED5">
        <w:rPr>
          <w:rFonts w:ascii="Arial" w:hAnsi="Arial" w:cs="Arial"/>
          <w:sz w:val="22"/>
          <w:szCs w:val="22"/>
          <w:lang w:val="en-US"/>
        </w:rPr>
        <w:t xml:space="preserve"> Imager Z2 microscope (× 63 objective), analyzed with </w:t>
      </w:r>
      <w:r w:rsidRPr="0097563E">
        <w:rPr>
          <w:rFonts w:ascii="Arial" w:hAnsi="Arial" w:cs="Arial"/>
          <w:sz w:val="22"/>
          <w:szCs w:val="22"/>
          <w:lang w:val="en-US"/>
        </w:rPr>
        <w:t xml:space="preserve">Zen software </w:t>
      </w:r>
      <w:r w:rsidRPr="00C50ED5">
        <w:rPr>
          <w:rFonts w:ascii="Arial" w:hAnsi="Arial" w:cs="Arial"/>
          <w:sz w:val="22"/>
          <w:szCs w:val="22"/>
          <w:lang w:val="en-US"/>
        </w:rPr>
        <w:t xml:space="preserve">and </w:t>
      </w:r>
      <w:r w:rsidRPr="0097563E">
        <w:rPr>
          <w:rFonts w:ascii="Arial" w:hAnsi="Arial" w:cs="Arial"/>
          <w:sz w:val="22"/>
          <w:szCs w:val="22"/>
          <w:lang w:val="en-US"/>
        </w:rPr>
        <w:t>FIJI (</w:t>
      </w:r>
      <w:r w:rsidRPr="00C50ED5">
        <w:rPr>
          <w:rFonts w:ascii="Arial" w:hAnsi="Arial" w:cs="Arial"/>
          <w:sz w:val="22"/>
          <w:szCs w:val="22"/>
          <w:lang w:val="en-US"/>
        </w:rPr>
        <w:t>ImageJ</w:t>
      </w:r>
      <w:r w:rsidRPr="0097563E">
        <w:rPr>
          <w:rFonts w:ascii="Arial" w:hAnsi="Arial" w:cs="Arial"/>
          <w:sz w:val="22"/>
          <w:szCs w:val="22"/>
          <w:lang w:val="en-US"/>
        </w:rPr>
        <w:t>)</w:t>
      </w:r>
      <w:r w:rsidRPr="00C50ED5">
        <w:rPr>
          <w:rFonts w:ascii="Arial" w:hAnsi="Arial" w:cs="Arial"/>
          <w:sz w:val="22"/>
          <w:szCs w:val="22"/>
          <w:lang w:val="en-US"/>
        </w:rPr>
        <w:t xml:space="preserve"> s</w:t>
      </w:r>
      <w:r w:rsidRPr="0097563E">
        <w:rPr>
          <w:rFonts w:ascii="Arial" w:hAnsi="Arial" w:cs="Arial"/>
          <w:sz w:val="22"/>
          <w:szCs w:val="22"/>
          <w:lang w:val="en-US"/>
        </w:rPr>
        <w:t>oftware. The number</w:t>
      </w:r>
      <w:r w:rsidRPr="00C50ED5">
        <w:rPr>
          <w:rFonts w:ascii="Arial" w:hAnsi="Arial" w:cs="Arial"/>
          <w:sz w:val="22"/>
          <w:szCs w:val="22"/>
          <w:lang w:val="en-US"/>
        </w:rPr>
        <w:t xml:space="preserve"> </w:t>
      </w:r>
      <w:r w:rsidRPr="0097563E">
        <w:rPr>
          <w:rStyle w:val="mb"/>
          <w:rFonts w:ascii="Arial" w:hAnsi="Arial" w:cs="Arial"/>
          <w:sz w:val="22"/>
          <w:szCs w:val="22"/>
        </w:rPr>
        <w:t>γ</w:t>
      </w:r>
      <w:r w:rsidRPr="00C50ED5">
        <w:rPr>
          <w:rFonts w:ascii="Arial" w:hAnsi="Arial" w:cs="Arial"/>
          <w:sz w:val="22"/>
          <w:szCs w:val="22"/>
          <w:lang w:val="en-US"/>
        </w:rPr>
        <w:t>H2AX foci was counted in at least 300 nuclei.</w:t>
      </w:r>
    </w:p>
    <w:p w14:paraId="59364E58" w14:textId="77777777" w:rsidR="00056BB0" w:rsidRPr="0097563E" w:rsidRDefault="00056BB0" w:rsidP="00056BB0">
      <w:pPr>
        <w:pStyle w:val="follows-h4"/>
        <w:spacing w:line="360" w:lineRule="auto"/>
        <w:rPr>
          <w:rFonts w:ascii="Arial" w:hAnsi="Arial" w:cs="Arial"/>
          <w:sz w:val="22"/>
          <w:szCs w:val="22"/>
          <w:lang w:val="en-US"/>
        </w:rPr>
      </w:pPr>
      <w:r>
        <w:rPr>
          <w:rFonts w:ascii="Arial" w:hAnsi="Arial" w:cs="Arial"/>
          <w:b/>
          <w:sz w:val="22"/>
          <w:szCs w:val="22"/>
          <w:lang w:val="en-US"/>
        </w:rPr>
        <w:t>Phospho-</w:t>
      </w:r>
      <w:r w:rsidRPr="004B5672">
        <w:rPr>
          <w:rFonts w:ascii="Arial" w:hAnsi="Arial" w:cs="Arial"/>
          <w:b/>
          <w:sz w:val="22"/>
          <w:szCs w:val="22"/>
          <w:lang w:val="en-US"/>
        </w:rPr>
        <w:t>RPA2 (T21) staining</w:t>
      </w:r>
      <w:r w:rsidRPr="0097563E">
        <w:rPr>
          <w:rFonts w:ascii="Arial" w:hAnsi="Arial" w:cs="Arial"/>
          <w:sz w:val="22"/>
          <w:szCs w:val="22"/>
          <w:lang w:val="en-US"/>
        </w:rPr>
        <w:t>:</w:t>
      </w:r>
    </w:p>
    <w:p w14:paraId="13687EAE" w14:textId="77777777" w:rsidR="00056BB0" w:rsidRPr="0097563E" w:rsidRDefault="00056BB0" w:rsidP="00056BB0">
      <w:pPr>
        <w:spacing w:line="360" w:lineRule="auto"/>
        <w:jc w:val="both"/>
        <w:rPr>
          <w:rFonts w:ascii="Arial" w:hAnsi="Arial" w:cs="Arial"/>
          <w:sz w:val="22"/>
          <w:szCs w:val="22"/>
          <w:lang w:val="en-US"/>
        </w:rPr>
      </w:pPr>
      <w:r w:rsidRPr="0097563E">
        <w:rPr>
          <w:rFonts w:ascii="Arial" w:hAnsi="Arial" w:cs="Arial"/>
          <w:sz w:val="22"/>
          <w:szCs w:val="22"/>
          <w:lang w:val="en-US"/>
        </w:rPr>
        <w:t>Cells are cultured 24</w:t>
      </w:r>
      <w:r>
        <w:rPr>
          <w:rFonts w:ascii="Arial" w:hAnsi="Arial" w:cs="Arial"/>
          <w:sz w:val="22"/>
          <w:szCs w:val="22"/>
          <w:lang w:val="en-US"/>
        </w:rPr>
        <w:t xml:space="preserve"> hours</w:t>
      </w:r>
      <w:r w:rsidRPr="0097563E">
        <w:rPr>
          <w:rFonts w:ascii="Arial" w:hAnsi="Arial" w:cs="Arial"/>
          <w:sz w:val="22"/>
          <w:szCs w:val="22"/>
          <w:lang w:val="en-US"/>
        </w:rPr>
        <w:t xml:space="preserve"> and treated with </w:t>
      </w:r>
      <w:proofErr w:type="spellStart"/>
      <w:r w:rsidRPr="0097563E">
        <w:rPr>
          <w:rFonts w:ascii="Arial" w:hAnsi="Arial" w:cs="Arial"/>
          <w:sz w:val="22"/>
          <w:szCs w:val="22"/>
          <w:lang w:val="en-US"/>
        </w:rPr>
        <w:t>EdU</w:t>
      </w:r>
      <w:proofErr w:type="spellEnd"/>
      <w:r w:rsidRPr="0097563E">
        <w:rPr>
          <w:rFonts w:ascii="Arial" w:hAnsi="Arial" w:cs="Arial"/>
          <w:sz w:val="22"/>
          <w:szCs w:val="22"/>
          <w:lang w:val="en-US"/>
        </w:rPr>
        <w:t xml:space="preserve"> during 30’. After </w:t>
      </w:r>
      <w:proofErr w:type="spellStart"/>
      <w:r>
        <w:rPr>
          <w:rFonts w:ascii="Arial" w:hAnsi="Arial" w:cs="Arial"/>
          <w:sz w:val="22"/>
          <w:szCs w:val="22"/>
          <w:lang w:val="en-US"/>
        </w:rPr>
        <w:t>cytospin</w:t>
      </w:r>
      <w:proofErr w:type="spellEnd"/>
      <w:r>
        <w:rPr>
          <w:rFonts w:ascii="Arial" w:hAnsi="Arial" w:cs="Arial"/>
          <w:sz w:val="22"/>
          <w:szCs w:val="22"/>
          <w:lang w:val="en-US"/>
        </w:rPr>
        <w:t xml:space="preserve"> preparation</w:t>
      </w:r>
      <w:r w:rsidRPr="0097563E">
        <w:rPr>
          <w:rFonts w:ascii="Arial" w:hAnsi="Arial" w:cs="Arial"/>
          <w:sz w:val="22"/>
          <w:szCs w:val="22"/>
          <w:lang w:val="en-US"/>
        </w:rPr>
        <w:t>, cells were fixed with 4</w:t>
      </w:r>
      <w:r w:rsidRPr="0097563E">
        <w:rPr>
          <w:rStyle w:val="mb"/>
          <w:rFonts w:ascii="Arial" w:hAnsi="Arial" w:cs="Arial"/>
          <w:sz w:val="22"/>
          <w:szCs w:val="22"/>
          <w:lang w:val="en-US"/>
        </w:rPr>
        <w:t>%</w:t>
      </w:r>
      <w:r w:rsidRPr="0097563E">
        <w:rPr>
          <w:rFonts w:ascii="Arial" w:hAnsi="Arial" w:cs="Arial"/>
          <w:sz w:val="22"/>
          <w:szCs w:val="22"/>
          <w:lang w:val="en-US"/>
        </w:rPr>
        <w:t xml:space="preserve"> paraformaldehyde and cells were washed with PBS and then incubated twice for 3 min at room temperature with CSK buffer (10 mM Pipes, pH 7.0, 100 mM NaCl, 300 mM sucrose, and 3 mM MgCl</w:t>
      </w:r>
      <w:r w:rsidRPr="0097563E">
        <w:rPr>
          <w:rFonts w:ascii="Arial" w:hAnsi="Arial" w:cs="Arial"/>
          <w:sz w:val="22"/>
          <w:szCs w:val="22"/>
          <w:vertAlign w:val="subscript"/>
          <w:lang w:val="en-US"/>
        </w:rPr>
        <w:t>2</w:t>
      </w:r>
      <w:r w:rsidRPr="0097563E">
        <w:rPr>
          <w:rFonts w:ascii="Arial" w:hAnsi="Arial" w:cs="Arial"/>
          <w:sz w:val="22"/>
          <w:szCs w:val="22"/>
          <w:lang w:val="en-US"/>
        </w:rPr>
        <w:t>) containing 0.7% Triton X-100 (CSK) and 0.3 mg/ml RNase A when specified (CSK+R). After pre</w:t>
      </w:r>
      <w:r>
        <w:rPr>
          <w:rFonts w:ascii="Arial" w:hAnsi="Arial" w:cs="Arial"/>
          <w:sz w:val="22"/>
          <w:szCs w:val="22"/>
          <w:lang w:val="en-US"/>
        </w:rPr>
        <w:t>-</w:t>
      </w:r>
      <w:r w:rsidRPr="0097563E">
        <w:rPr>
          <w:rFonts w:ascii="Arial" w:hAnsi="Arial" w:cs="Arial"/>
          <w:sz w:val="22"/>
          <w:szCs w:val="22"/>
          <w:lang w:val="en-US"/>
        </w:rPr>
        <w:t>extraction, cells were washed with PBS and fixed with 2% PFA and permeabilized with 0.2</w:t>
      </w:r>
      <w:r w:rsidRPr="0097563E">
        <w:rPr>
          <w:rStyle w:val="mb"/>
          <w:rFonts w:ascii="Arial" w:hAnsi="Arial" w:cs="Arial"/>
          <w:sz w:val="22"/>
          <w:szCs w:val="22"/>
          <w:lang w:val="en-US"/>
        </w:rPr>
        <w:t>%</w:t>
      </w:r>
      <w:r w:rsidRPr="0097563E">
        <w:rPr>
          <w:rFonts w:ascii="Arial" w:hAnsi="Arial" w:cs="Arial"/>
          <w:sz w:val="22"/>
          <w:szCs w:val="22"/>
          <w:lang w:val="en-US"/>
        </w:rPr>
        <w:t xml:space="preserve"> Triton in phosphate-buffered saline (PBS) and saturated with 5</w:t>
      </w:r>
      <w:r w:rsidRPr="0097563E">
        <w:rPr>
          <w:rStyle w:val="mb"/>
          <w:rFonts w:ascii="Arial" w:hAnsi="Arial" w:cs="Arial"/>
          <w:sz w:val="22"/>
          <w:szCs w:val="22"/>
          <w:lang w:val="en-US"/>
        </w:rPr>
        <w:t>%</w:t>
      </w:r>
      <w:r w:rsidRPr="0097563E">
        <w:rPr>
          <w:rFonts w:ascii="Arial" w:hAnsi="Arial" w:cs="Arial"/>
          <w:sz w:val="22"/>
          <w:szCs w:val="22"/>
          <w:lang w:val="en-US"/>
        </w:rPr>
        <w:t xml:space="preserve"> bovine serum albumin in PBS-0.1% Tween 20. The rabbit phospho-RPA2 T21 antibody ([EPR2846(2)], ab109394, </w:t>
      </w:r>
      <w:r>
        <w:rPr>
          <w:rFonts w:ascii="Arial" w:hAnsi="Arial" w:cs="Arial"/>
          <w:sz w:val="22"/>
          <w:szCs w:val="22"/>
          <w:lang w:val="en-US"/>
        </w:rPr>
        <w:t>A</w:t>
      </w:r>
      <w:r w:rsidRPr="0097563E">
        <w:rPr>
          <w:rFonts w:ascii="Arial" w:hAnsi="Arial" w:cs="Arial"/>
          <w:sz w:val="22"/>
          <w:szCs w:val="22"/>
          <w:lang w:val="en-US"/>
        </w:rPr>
        <w:t>bcam) was diluted 1</w:t>
      </w:r>
      <w:r w:rsidRPr="0097563E">
        <w:rPr>
          <w:rStyle w:val="mb"/>
          <w:rFonts w:ascii="Arial" w:hAnsi="Arial" w:cs="Arial"/>
          <w:sz w:val="22"/>
          <w:szCs w:val="22"/>
          <w:lang w:val="en-US"/>
        </w:rPr>
        <w:t>/</w:t>
      </w:r>
      <w:r w:rsidRPr="0097563E">
        <w:rPr>
          <w:rFonts w:ascii="Arial" w:hAnsi="Arial" w:cs="Arial"/>
          <w:sz w:val="22"/>
          <w:szCs w:val="22"/>
          <w:lang w:val="en-US"/>
        </w:rPr>
        <w:t>300 in 5</w:t>
      </w:r>
      <w:r w:rsidRPr="0097563E">
        <w:rPr>
          <w:rStyle w:val="mb"/>
          <w:rFonts w:ascii="Arial" w:hAnsi="Arial" w:cs="Arial"/>
          <w:sz w:val="22"/>
          <w:szCs w:val="22"/>
          <w:lang w:val="en-US"/>
        </w:rPr>
        <w:t>%</w:t>
      </w:r>
      <w:r w:rsidRPr="0097563E">
        <w:rPr>
          <w:rFonts w:ascii="Arial" w:hAnsi="Arial" w:cs="Arial"/>
          <w:sz w:val="22"/>
          <w:szCs w:val="22"/>
          <w:lang w:val="en-US"/>
        </w:rPr>
        <w:t xml:space="preserve"> bovine serum albumin in PBS-0.1% Tween 20, and deposited on </w:t>
      </w:r>
      <w:proofErr w:type="spellStart"/>
      <w:r w:rsidRPr="0097563E">
        <w:rPr>
          <w:rFonts w:ascii="Arial" w:hAnsi="Arial" w:cs="Arial"/>
          <w:sz w:val="22"/>
          <w:szCs w:val="22"/>
          <w:lang w:val="en-US"/>
        </w:rPr>
        <w:t>cytospins</w:t>
      </w:r>
      <w:proofErr w:type="spellEnd"/>
      <w:r w:rsidRPr="0097563E">
        <w:rPr>
          <w:rFonts w:ascii="Arial" w:hAnsi="Arial" w:cs="Arial"/>
          <w:sz w:val="22"/>
          <w:szCs w:val="22"/>
          <w:lang w:val="en-US"/>
        </w:rPr>
        <w:t xml:space="preserve"> for overnight at 4°C. Slides were washed </w:t>
      </w:r>
      <w:r w:rsidRPr="0097563E">
        <w:rPr>
          <w:rFonts w:ascii="Arial" w:hAnsi="Arial" w:cs="Arial"/>
          <w:sz w:val="22"/>
          <w:szCs w:val="22"/>
          <w:lang w:val="en-US"/>
        </w:rPr>
        <w:lastRenderedPageBreak/>
        <w:t xml:space="preserve">twice and antibodies to rabbit immunoglobulins conjugated to Alexa-Fluor 488 (A11008, molecular probe, </w:t>
      </w:r>
      <w:proofErr w:type="spellStart"/>
      <w:r w:rsidRPr="0097563E">
        <w:rPr>
          <w:rFonts w:ascii="Arial" w:hAnsi="Arial" w:cs="Arial"/>
          <w:sz w:val="22"/>
          <w:szCs w:val="22"/>
          <w:lang w:val="en-US"/>
        </w:rPr>
        <w:t>Thermofisher</w:t>
      </w:r>
      <w:proofErr w:type="spellEnd"/>
      <w:r w:rsidRPr="0097563E">
        <w:rPr>
          <w:rFonts w:ascii="Arial" w:hAnsi="Arial" w:cs="Arial"/>
          <w:sz w:val="22"/>
          <w:szCs w:val="22"/>
          <w:lang w:val="en-US"/>
        </w:rPr>
        <w:t>) (diluted 1</w:t>
      </w:r>
      <w:r w:rsidRPr="0097563E">
        <w:rPr>
          <w:rStyle w:val="mb"/>
          <w:rFonts w:ascii="Arial" w:hAnsi="Arial" w:cs="Arial"/>
          <w:sz w:val="22"/>
          <w:szCs w:val="22"/>
          <w:lang w:val="en-US"/>
        </w:rPr>
        <w:t>/</w:t>
      </w:r>
      <w:r w:rsidRPr="0097563E">
        <w:rPr>
          <w:rFonts w:ascii="Arial" w:hAnsi="Arial" w:cs="Arial"/>
          <w:sz w:val="22"/>
          <w:szCs w:val="22"/>
          <w:lang w:val="en-US"/>
        </w:rPr>
        <w:t>500 in 5</w:t>
      </w:r>
      <w:r w:rsidRPr="0097563E">
        <w:rPr>
          <w:rStyle w:val="mb"/>
          <w:rFonts w:ascii="Arial" w:hAnsi="Arial" w:cs="Arial"/>
          <w:sz w:val="22"/>
          <w:szCs w:val="22"/>
          <w:lang w:val="en-US"/>
        </w:rPr>
        <w:t>%</w:t>
      </w:r>
      <w:r w:rsidRPr="0097563E">
        <w:rPr>
          <w:rFonts w:ascii="Arial" w:hAnsi="Arial" w:cs="Arial"/>
          <w:sz w:val="22"/>
          <w:szCs w:val="22"/>
          <w:lang w:val="en-US"/>
        </w:rPr>
        <w:t xml:space="preserve"> bovine serum albumin in PBS-0.1% Tween 20) were added for 45 min at room temperature. After washes in PBS-T and PBS, Clic</w:t>
      </w:r>
      <w:r>
        <w:rPr>
          <w:rFonts w:ascii="Arial" w:hAnsi="Arial" w:cs="Arial"/>
          <w:sz w:val="22"/>
          <w:szCs w:val="22"/>
          <w:lang w:val="en-US"/>
        </w:rPr>
        <w:t>k</w:t>
      </w:r>
      <w:r w:rsidRPr="0097563E">
        <w:rPr>
          <w:rFonts w:ascii="Arial" w:hAnsi="Arial" w:cs="Arial"/>
          <w:sz w:val="22"/>
          <w:szCs w:val="22"/>
          <w:lang w:val="en-US"/>
        </w:rPr>
        <w:t xml:space="preserve">-it reaction was performed using CuSO4 (3mM), ascorbate sodium salt (10mM) and Alexa Fluor 555 </w:t>
      </w:r>
      <w:proofErr w:type="spellStart"/>
      <w:r w:rsidRPr="0097563E">
        <w:rPr>
          <w:rFonts w:ascii="Arial" w:hAnsi="Arial" w:cs="Arial"/>
          <w:sz w:val="22"/>
          <w:szCs w:val="22"/>
          <w:lang w:val="en-US"/>
        </w:rPr>
        <w:t>Azide</w:t>
      </w:r>
      <w:proofErr w:type="spellEnd"/>
      <w:r w:rsidRPr="0097563E">
        <w:rPr>
          <w:rFonts w:ascii="Arial" w:hAnsi="Arial" w:cs="Arial"/>
          <w:sz w:val="22"/>
          <w:szCs w:val="22"/>
          <w:lang w:val="en-US"/>
        </w:rPr>
        <w:t xml:space="preserve">, Triethylammonium Salt (30µM) (A20012, molecular probe, </w:t>
      </w:r>
      <w:proofErr w:type="spellStart"/>
      <w:r w:rsidRPr="0097563E">
        <w:rPr>
          <w:rFonts w:ascii="Arial" w:hAnsi="Arial" w:cs="Arial"/>
          <w:sz w:val="22"/>
          <w:szCs w:val="22"/>
          <w:lang w:val="en-US"/>
        </w:rPr>
        <w:t>Thermofisher</w:t>
      </w:r>
      <w:proofErr w:type="spellEnd"/>
      <w:r w:rsidRPr="0097563E">
        <w:rPr>
          <w:rFonts w:ascii="Arial" w:hAnsi="Arial" w:cs="Arial"/>
          <w:sz w:val="22"/>
          <w:szCs w:val="22"/>
          <w:lang w:val="en-US"/>
        </w:rPr>
        <w:t>).</w:t>
      </w:r>
    </w:p>
    <w:p w14:paraId="2AD0A497" w14:textId="77777777" w:rsidR="00056BB0" w:rsidRDefault="00056BB0" w:rsidP="00056BB0">
      <w:pPr>
        <w:spacing w:line="360" w:lineRule="auto"/>
        <w:jc w:val="both"/>
        <w:rPr>
          <w:rFonts w:ascii="Arial" w:hAnsi="Arial" w:cs="Arial"/>
          <w:sz w:val="22"/>
          <w:szCs w:val="22"/>
          <w:lang w:val="en-US"/>
        </w:rPr>
      </w:pPr>
      <w:r w:rsidRPr="0097563E">
        <w:rPr>
          <w:rFonts w:ascii="Arial" w:hAnsi="Arial" w:cs="Arial"/>
          <w:sz w:val="22"/>
          <w:szCs w:val="22"/>
          <w:lang w:val="en-US"/>
        </w:rPr>
        <w:t xml:space="preserve">After washes in PBS-T and PBS, coverslips were incubated 5 min with 2 </w:t>
      </w:r>
      <w:proofErr w:type="spellStart"/>
      <w:r w:rsidRPr="0097563E">
        <w:rPr>
          <w:rFonts w:ascii="Arial" w:hAnsi="Arial" w:cs="Arial"/>
          <w:sz w:val="22"/>
          <w:szCs w:val="22"/>
          <w:lang w:val="en-US"/>
        </w:rPr>
        <w:t>μg</w:t>
      </w:r>
      <w:proofErr w:type="spellEnd"/>
      <w:r w:rsidRPr="0097563E">
        <w:rPr>
          <w:rFonts w:ascii="Arial" w:hAnsi="Arial" w:cs="Arial"/>
          <w:sz w:val="22"/>
          <w:szCs w:val="22"/>
          <w:lang w:val="en-US"/>
        </w:rPr>
        <w:t xml:space="preserve">/ml DAPI in PBS and dipped in water and mounted on glass slides using </w:t>
      </w:r>
      <w:proofErr w:type="spellStart"/>
      <w:r w:rsidRPr="0097563E">
        <w:rPr>
          <w:rFonts w:ascii="Arial" w:hAnsi="Arial" w:cs="Arial"/>
          <w:sz w:val="22"/>
          <w:szCs w:val="22"/>
          <w:lang w:val="en-US"/>
        </w:rPr>
        <w:t>ProLong</w:t>
      </w:r>
      <w:proofErr w:type="spellEnd"/>
      <w:r w:rsidRPr="0097563E">
        <w:rPr>
          <w:rFonts w:ascii="Arial" w:hAnsi="Arial" w:cs="Arial"/>
          <w:sz w:val="22"/>
          <w:szCs w:val="22"/>
          <w:lang w:val="en-US"/>
        </w:rPr>
        <w:t xml:space="preserve"> Gold (P36930, Life technology, </w:t>
      </w:r>
      <w:proofErr w:type="spellStart"/>
      <w:r>
        <w:rPr>
          <w:rFonts w:ascii="Arial" w:hAnsi="Arial" w:cs="Arial"/>
          <w:sz w:val="22"/>
          <w:szCs w:val="22"/>
          <w:lang w:val="en-US"/>
        </w:rPr>
        <w:t>T</w:t>
      </w:r>
      <w:r w:rsidRPr="0097563E">
        <w:rPr>
          <w:rFonts w:ascii="Arial" w:hAnsi="Arial" w:cs="Arial"/>
          <w:sz w:val="22"/>
          <w:szCs w:val="22"/>
          <w:lang w:val="en-US"/>
        </w:rPr>
        <w:t>hermofisher</w:t>
      </w:r>
      <w:proofErr w:type="spellEnd"/>
      <w:r w:rsidRPr="0097563E">
        <w:rPr>
          <w:rFonts w:ascii="Arial" w:hAnsi="Arial" w:cs="Arial"/>
          <w:sz w:val="22"/>
          <w:szCs w:val="22"/>
          <w:lang w:val="en-US"/>
        </w:rPr>
        <w:t xml:space="preserve">). Images and fluorescence were captured with a ZEISS </w:t>
      </w:r>
      <w:proofErr w:type="spellStart"/>
      <w:r w:rsidRPr="0097563E">
        <w:rPr>
          <w:rFonts w:ascii="Arial" w:hAnsi="Arial" w:cs="Arial"/>
          <w:sz w:val="22"/>
          <w:szCs w:val="22"/>
          <w:lang w:val="en-US"/>
        </w:rPr>
        <w:t>Axio</w:t>
      </w:r>
      <w:proofErr w:type="spellEnd"/>
      <w:r w:rsidRPr="0097563E">
        <w:rPr>
          <w:rFonts w:ascii="Arial" w:hAnsi="Arial" w:cs="Arial"/>
          <w:sz w:val="22"/>
          <w:szCs w:val="22"/>
          <w:lang w:val="en-US"/>
        </w:rPr>
        <w:t xml:space="preserve"> Imager Z2 Apotome microscope (× 63 objective), analyzed with Zen Software (version3.6, company, town state) and FIJI software. The number of pRPA2 T21 foci was counted in at least 300 nuclei.</w:t>
      </w:r>
    </w:p>
    <w:p w14:paraId="2147045B" w14:textId="77777777" w:rsidR="00F37765" w:rsidRDefault="00F37765" w:rsidP="00056BB0">
      <w:pPr>
        <w:spacing w:line="360" w:lineRule="auto"/>
        <w:jc w:val="both"/>
        <w:rPr>
          <w:rFonts w:ascii="Arial" w:hAnsi="Arial" w:cs="Arial"/>
          <w:sz w:val="22"/>
          <w:szCs w:val="22"/>
          <w:lang w:val="en-US"/>
        </w:rPr>
      </w:pPr>
    </w:p>
    <w:p w14:paraId="3C7EE62F" w14:textId="77777777" w:rsidR="00F37765" w:rsidRPr="00591620" w:rsidRDefault="00F37765" w:rsidP="00056BB0">
      <w:pPr>
        <w:spacing w:line="360" w:lineRule="auto"/>
        <w:jc w:val="both"/>
        <w:rPr>
          <w:rFonts w:ascii="Arial" w:hAnsi="Arial" w:cs="Arial"/>
          <w:b/>
          <w:sz w:val="22"/>
          <w:szCs w:val="22"/>
          <w:lang w:val="en-US"/>
        </w:rPr>
      </w:pPr>
      <w:r w:rsidRPr="00591620">
        <w:rPr>
          <w:rFonts w:ascii="Arial" w:hAnsi="Arial" w:cs="Arial"/>
          <w:b/>
          <w:sz w:val="22"/>
          <w:szCs w:val="22"/>
          <w:lang w:val="en-US"/>
        </w:rPr>
        <w:t>LC3BII foci—immunofluorescence microscopy</w:t>
      </w:r>
    </w:p>
    <w:p w14:paraId="6B516BB8" w14:textId="77777777" w:rsidR="00F37765" w:rsidRPr="00591620" w:rsidRDefault="00F37765" w:rsidP="00EF01D8">
      <w:pPr>
        <w:pStyle w:val="follows-h4"/>
        <w:spacing w:line="360" w:lineRule="auto"/>
        <w:jc w:val="both"/>
        <w:rPr>
          <w:rFonts w:ascii="Arial" w:hAnsi="Arial" w:cs="Arial"/>
          <w:sz w:val="22"/>
          <w:szCs w:val="22"/>
          <w:lang w:val="en-US"/>
        </w:rPr>
      </w:pPr>
      <w:r w:rsidRPr="00591620">
        <w:rPr>
          <w:rFonts w:ascii="Arial" w:hAnsi="Arial" w:cs="Arial"/>
          <w:sz w:val="22"/>
          <w:szCs w:val="22"/>
          <w:lang w:val="en-US"/>
        </w:rPr>
        <w:t xml:space="preserve">After deposition on slides using a </w:t>
      </w:r>
      <w:proofErr w:type="spellStart"/>
      <w:r w:rsidRPr="00591620">
        <w:rPr>
          <w:rFonts w:ascii="Arial" w:hAnsi="Arial" w:cs="Arial"/>
          <w:sz w:val="22"/>
          <w:szCs w:val="22"/>
          <w:lang w:val="en-US"/>
        </w:rPr>
        <w:t>Cytospin</w:t>
      </w:r>
      <w:proofErr w:type="spellEnd"/>
      <w:r w:rsidRPr="00591620">
        <w:rPr>
          <w:rFonts w:ascii="Arial" w:hAnsi="Arial" w:cs="Arial"/>
          <w:sz w:val="22"/>
          <w:szCs w:val="22"/>
          <w:lang w:val="en-US"/>
        </w:rPr>
        <w:t xml:space="preserve"> centrifuge, cells were fixed with 4</w:t>
      </w:r>
      <w:r w:rsidRPr="00591620">
        <w:rPr>
          <w:rStyle w:val="mb"/>
          <w:rFonts w:ascii="Arial" w:hAnsi="Arial" w:cs="Arial"/>
          <w:sz w:val="22"/>
          <w:szCs w:val="22"/>
          <w:lang w:val="en-US"/>
        </w:rPr>
        <w:t>%</w:t>
      </w:r>
      <w:r w:rsidRPr="00591620">
        <w:rPr>
          <w:rFonts w:ascii="Arial" w:hAnsi="Arial" w:cs="Arial"/>
          <w:sz w:val="22"/>
          <w:szCs w:val="22"/>
          <w:lang w:val="en-US"/>
        </w:rPr>
        <w:t xml:space="preserve"> paraformaldehyde, permeabilized with 0.5</w:t>
      </w:r>
      <w:r w:rsidRPr="00591620">
        <w:rPr>
          <w:rStyle w:val="mb"/>
          <w:rFonts w:ascii="Arial" w:hAnsi="Arial" w:cs="Arial"/>
          <w:sz w:val="22"/>
          <w:szCs w:val="22"/>
          <w:lang w:val="en-US"/>
        </w:rPr>
        <w:t>%</w:t>
      </w:r>
      <w:r w:rsidRPr="00591620">
        <w:rPr>
          <w:rFonts w:ascii="Arial" w:hAnsi="Arial" w:cs="Arial"/>
          <w:sz w:val="22"/>
          <w:szCs w:val="22"/>
          <w:lang w:val="en-US"/>
        </w:rPr>
        <w:t xml:space="preserve"> Triton in phosphate-buffered saline (PBS) and saturated with 5</w:t>
      </w:r>
      <w:r w:rsidRPr="00591620">
        <w:rPr>
          <w:rStyle w:val="mb"/>
          <w:rFonts w:ascii="Arial" w:hAnsi="Arial" w:cs="Arial"/>
          <w:sz w:val="22"/>
          <w:szCs w:val="22"/>
          <w:lang w:val="en-US"/>
        </w:rPr>
        <w:t>%</w:t>
      </w:r>
      <w:r w:rsidRPr="00591620">
        <w:rPr>
          <w:rFonts w:ascii="Arial" w:hAnsi="Arial" w:cs="Arial"/>
          <w:sz w:val="22"/>
          <w:szCs w:val="22"/>
          <w:lang w:val="en-US"/>
        </w:rPr>
        <w:t xml:space="preserve"> bovine milk in PBS. The rabbit anti-LC3B (D11) antibody (Cell Signaling,</w:t>
      </w:r>
      <w:r w:rsidRPr="00591620">
        <w:rPr>
          <w:lang w:val="en-US"/>
        </w:rPr>
        <w:t xml:space="preserve"> </w:t>
      </w:r>
      <w:proofErr w:type="spellStart"/>
      <w:r w:rsidRPr="00591620">
        <w:rPr>
          <w:rFonts w:ascii="Arial" w:hAnsi="Arial" w:cs="Arial"/>
          <w:sz w:val="22"/>
          <w:szCs w:val="22"/>
          <w:lang w:val="en-US"/>
        </w:rPr>
        <w:t>Bioké</w:t>
      </w:r>
      <w:proofErr w:type="spellEnd"/>
      <w:r w:rsidRPr="00591620">
        <w:rPr>
          <w:rFonts w:ascii="Arial" w:hAnsi="Arial" w:cs="Arial"/>
          <w:sz w:val="22"/>
          <w:szCs w:val="22"/>
          <w:lang w:val="en-US"/>
        </w:rPr>
        <w:t>, Leiden, The Netherlands, #3868) and mouse anti-alpha-tubulin (Sigma-Aldrich, St. Louis MO, USA, T9026) were diluted 1</w:t>
      </w:r>
      <w:r w:rsidRPr="00591620">
        <w:rPr>
          <w:rStyle w:val="mb"/>
          <w:rFonts w:ascii="Arial" w:hAnsi="Arial" w:cs="Arial"/>
          <w:sz w:val="22"/>
          <w:szCs w:val="22"/>
          <w:lang w:val="en-US"/>
        </w:rPr>
        <w:t>/</w:t>
      </w:r>
      <w:r w:rsidRPr="00591620">
        <w:rPr>
          <w:rFonts w:ascii="Arial" w:hAnsi="Arial" w:cs="Arial"/>
          <w:sz w:val="22"/>
          <w:szCs w:val="22"/>
          <w:lang w:val="en-US"/>
        </w:rPr>
        <w:t>300 in 5</w:t>
      </w:r>
      <w:r w:rsidRPr="00591620">
        <w:rPr>
          <w:rStyle w:val="mb"/>
          <w:rFonts w:ascii="Arial" w:hAnsi="Arial" w:cs="Arial"/>
          <w:sz w:val="22"/>
          <w:szCs w:val="22"/>
          <w:lang w:val="en-US"/>
        </w:rPr>
        <w:t>%</w:t>
      </w:r>
      <w:r w:rsidRPr="00591620">
        <w:rPr>
          <w:rFonts w:ascii="Arial" w:hAnsi="Arial" w:cs="Arial"/>
          <w:sz w:val="22"/>
          <w:szCs w:val="22"/>
          <w:lang w:val="en-US"/>
        </w:rPr>
        <w:t xml:space="preserve"> bovine milk in PBS, and deposited on </w:t>
      </w:r>
      <w:proofErr w:type="spellStart"/>
      <w:r w:rsidRPr="00591620">
        <w:rPr>
          <w:rFonts w:ascii="Arial" w:hAnsi="Arial" w:cs="Arial"/>
          <w:sz w:val="22"/>
          <w:szCs w:val="22"/>
          <w:lang w:val="en-US"/>
        </w:rPr>
        <w:t>cytospins</w:t>
      </w:r>
      <w:proofErr w:type="spellEnd"/>
      <w:r w:rsidRPr="00591620">
        <w:rPr>
          <w:rFonts w:ascii="Arial" w:hAnsi="Arial" w:cs="Arial"/>
          <w:sz w:val="22"/>
          <w:szCs w:val="22"/>
          <w:lang w:val="en-US"/>
        </w:rPr>
        <w:t xml:space="preserve"> for 90</w:t>
      </w:r>
      <w:r w:rsidRPr="00591620">
        <w:rPr>
          <w:rStyle w:val="mb"/>
          <w:rFonts w:ascii="Arial" w:hAnsi="Arial" w:cs="Arial"/>
          <w:sz w:val="22"/>
          <w:szCs w:val="22"/>
          <w:lang w:val="en-US"/>
        </w:rPr>
        <w:t> </w:t>
      </w:r>
      <w:r w:rsidRPr="00591620">
        <w:rPr>
          <w:rFonts w:ascii="Arial" w:hAnsi="Arial" w:cs="Arial"/>
          <w:sz w:val="22"/>
          <w:szCs w:val="22"/>
          <w:lang w:val="en-US"/>
        </w:rPr>
        <w:t>min at room temperature. Slides were washed twice and antibody anti-rabbit and mouse immunoglobulins conjugated to Alexa 488 and Texas Red, respectively (diluted 1</w:t>
      </w:r>
      <w:r w:rsidRPr="00591620">
        <w:rPr>
          <w:rStyle w:val="mb"/>
          <w:rFonts w:ascii="Arial" w:hAnsi="Arial" w:cs="Arial"/>
          <w:sz w:val="22"/>
          <w:szCs w:val="22"/>
          <w:lang w:val="en-US"/>
        </w:rPr>
        <w:t>/</w:t>
      </w:r>
      <w:r w:rsidRPr="00591620">
        <w:rPr>
          <w:rFonts w:ascii="Arial" w:hAnsi="Arial" w:cs="Arial"/>
          <w:sz w:val="22"/>
          <w:szCs w:val="22"/>
          <w:lang w:val="en-US"/>
        </w:rPr>
        <w:t>500 in 5</w:t>
      </w:r>
      <w:r w:rsidRPr="00591620">
        <w:rPr>
          <w:rStyle w:val="mb"/>
          <w:rFonts w:ascii="Arial" w:hAnsi="Arial" w:cs="Arial"/>
          <w:sz w:val="22"/>
          <w:szCs w:val="22"/>
          <w:lang w:val="en-US"/>
        </w:rPr>
        <w:t>%</w:t>
      </w:r>
      <w:r w:rsidRPr="00591620">
        <w:rPr>
          <w:rFonts w:ascii="Arial" w:hAnsi="Arial" w:cs="Arial"/>
          <w:sz w:val="22"/>
          <w:szCs w:val="22"/>
          <w:lang w:val="en-US"/>
        </w:rPr>
        <w:t xml:space="preserve"> bovine milk in PBS) were added for 45</w:t>
      </w:r>
      <w:r w:rsidRPr="00591620">
        <w:rPr>
          <w:rStyle w:val="mb"/>
          <w:rFonts w:ascii="Arial" w:hAnsi="Arial" w:cs="Arial"/>
          <w:sz w:val="22"/>
          <w:szCs w:val="22"/>
          <w:lang w:val="en-US"/>
        </w:rPr>
        <w:t> </w:t>
      </w:r>
      <w:r w:rsidRPr="00591620">
        <w:rPr>
          <w:rFonts w:ascii="Arial" w:hAnsi="Arial" w:cs="Arial"/>
          <w:sz w:val="22"/>
          <w:szCs w:val="22"/>
          <w:lang w:val="en-US"/>
        </w:rPr>
        <w:t xml:space="preserve">min at room temperature. Slides were incubated 5 min with 2 </w:t>
      </w:r>
      <w:proofErr w:type="spellStart"/>
      <w:r w:rsidRPr="00591620">
        <w:rPr>
          <w:rFonts w:ascii="Arial" w:hAnsi="Arial" w:cs="Arial"/>
          <w:sz w:val="22"/>
          <w:szCs w:val="22"/>
          <w:lang w:val="en-US"/>
        </w:rPr>
        <w:t>μg</w:t>
      </w:r>
      <w:proofErr w:type="spellEnd"/>
      <w:r w:rsidRPr="00591620">
        <w:rPr>
          <w:rFonts w:ascii="Arial" w:hAnsi="Arial" w:cs="Arial"/>
          <w:sz w:val="22"/>
          <w:szCs w:val="22"/>
          <w:lang w:val="en-US"/>
        </w:rPr>
        <w:t xml:space="preserve">/ml DAPI in PBS and dipped in water and mounted on glass slides using </w:t>
      </w:r>
      <w:proofErr w:type="spellStart"/>
      <w:r w:rsidRPr="00591620">
        <w:rPr>
          <w:rFonts w:ascii="Arial" w:hAnsi="Arial" w:cs="Arial"/>
          <w:sz w:val="22"/>
          <w:szCs w:val="22"/>
          <w:lang w:val="en-US"/>
        </w:rPr>
        <w:t>ProLong</w:t>
      </w:r>
      <w:proofErr w:type="spellEnd"/>
      <w:r w:rsidRPr="00591620">
        <w:rPr>
          <w:rFonts w:ascii="Arial" w:hAnsi="Arial" w:cs="Arial"/>
          <w:sz w:val="22"/>
          <w:szCs w:val="22"/>
          <w:lang w:val="en-US"/>
        </w:rPr>
        <w:t xml:space="preserve"> Gold (P36930, Life technology, </w:t>
      </w:r>
      <w:proofErr w:type="spellStart"/>
      <w:r w:rsidRPr="00591620">
        <w:rPr>
          <w:rFonts w:ascii="Arial" w:hAnsi="Arial" w:cs="Arial"/>
          <w:sz w:val="22"/>
          <w:szCs w:val="22"/>
          <w:lang w:val="en-US"/>
        </w:rPr>
        <w:t>Thermofisher</w:t>
      </w:r>
      <w:proofErr w:type="spellEnd"/>
      <w:r w:rsidRPr="00591620">
        <w:rPr>
          <w:rFonts w:ascii="Arial" w:hAnsi="Arial" w:cs="Arial"/>
          <w:sz w:val="22"/>
          <w:szCs w:val="22"/>
          <w:lang w:val="en-US"/>
        </w:rPr>
        <w:t xml:space="preserve">). Images and fluorescence were captured with a ZEISS </w:t>
      </w:r>
      <w:proofErr w:type="spellStart"/>
      <w:r w:rsidRPr="00591620">
        <w:rPr>
          <w:rFonts w:ascii="Arial" w:hAnsi="Arial" w:cs="Arial"/>
          <w:sz w:val="22"/>
          <w:szCs w:val="22"/>
          <w:lang w:val="en-US"/>
        </w:rPr>
        <w:t>Axio</w:t>
      </w:r>
      <w:proofErr w:type="spellEnd"/>
      <w:r w:rsidRPr="00591620">
        <w:rPr>
          <w:rFonts w:ascii="Arial" w:hAnsi="Arial" w:cs="Arial"/>
          <w:sz w:val="22"/>
          <w:szCs w:val="22"/>
          <w:lang w:val="en-US"/>
        </w:rPr>
        <w:t xml:space="preserve"> Imager Z2 microscope (× 63 objective), analyzed with Zen software and FIJI (ImageJ) software. The number </w:t>
      </w:r>
      <w:r w:rsidRPr="00591620">
        <w:rPr>
          <w:rStyle w:val="mb"/>
          <w:rFonts w:ascii="Arial" w:hAnsi="Arial" w:cs="Arial"/>
          <w:sz w:val="22"/>
          <w:szCs w:val="22"/>
          <w:lang w:val="en-US"/>
        </w:rPr>
        <w:t>LC3B-II</w:t>
      </w:r>
      <w:r w:rsidRPr="00591620">
        <w:rPr>
          <w:rFonts w:ascii="Arial" w:hAnsi="Arial" w:cs="Arial"/>
          <w:sz w:val="22"/>
          <w:szCs w:val="22"/>
          <w:lang w:val="en-US"/>
        </w:rPr>
        <w:t xml:space="preserve"> foci was counted in at least 300 cells.</w:t>
      </w:r>
    </w:p>
    <w:p w14:paraId="2D9E5919" w14:textId="77777777" w:rsidR="00056BB0" w:rsidRPr="0097563E" w:rsidRDefault="00056BB0" w:rsidP="00056BB0">
      <w:pPr>
        <w:pStyle w:val="follows-h4"/>
        <w:spacing w:line="360" w:lineRule="auto"/>
        <w:jc w:val="both"/>
        <w:rPr>
          <w:rFonts w:ascii="Arial" w:hAnsi="Arial" w:cs="Arial"/>
          <w:b/>
          <w:sz w:val="22"/>
          <w:szCs w:val="22"/>
          <w:lang w:val="en-US"/>
        </w:rPr>
      </w:pPr>
      <w:r w:rsidRPr="0097563E">
        <w:rPr>
          <w:rFonts w:ascii="Arial" w:hAnsi="Arial" w:cs="Arial"/>
          <w:b/>
          <w:sz w:val="22"/>
          <w:szCs w:val="22"/>
          <w:lang w:val="en-US"/>
        </w:rPr>
        <w:t>DNA fiber spreading:</w:t>
      </w:r>
    </w:p>
    <w:p w14:paraId="2ECCD33F" w14:textId="77777777" w:rsidR="00056BB0" w:rsidRPr="007A7FB0" w:rsidRDefault="00056BB0" w:rsidP="00056BB0">
      <w:pPr>
        <w:spacing w:line="360" w:lineRule="auto"/>
        <w:jc w:val="both"/>
        <w:rPr>
          <w:rFonts w:ascii="Arial" w:hAnsi="Arial" w:cs="Arial"/>
          <w:color w:val="000000"/>
          <w:sz w:val="22"/>
          <w:szCs w:val="22"/>
          <w:lang w:val="en-US"/>
        </w:rPr>
      </w:pPr>
      <w:r w:rsidRPr="007A7FB0">
        <w:rPr>
          <w:rFonts w:ascii="Arial" w:hAnsi="Arial" w:cs="Arial"/>
          <w:sz w:val="22"/>
          <w:szCs w:val="22"/>
          <w:lang w:val="en-US"/>
        </w:rPr>
        <w:t xml:space="preserve">DNA fiber spreading was performed as </w:t>
      </w:r>
      <w:r w:rsidRPr="00EC2ECB">
        <w:rPr>
          <w:rFonts w:ascii="Arial" w:hAnsi="Arial" w:cs="Arial"/>
          <w:sz w:val="22"/>
          <w:szCs w:val="22"/>
          <w:lang w:val="en-US"/>
        </w:rPr>
        <w:t xml:space="preserve">described </w:t>
      </w:r>
      <w:r w:rsidRPr="00EC2ECB">
        <w:rPr>
          <w:rFonts w:ascii="Arial" w:hAnsi="Arial" w:cs="Arial"/>
          <w:sz w:val="22"/>
          <w:szCs w:val="22"/>
          <w:lang w:val="en-US"/>
        </w:rPr>
        <w:fldChar w:fldCharType="begin"/>
      </w:r>
      <w:r>
        <w:rPr>
          <w:rFonts w:ascii="Arial" w:hAnsi="Arial" w:cs="Arial"/>
          <w:sz w:val="22"/>
          <w:szCs w:val="22"/>
          <w:lang w:val="en-US"/>
        </w:rPr>
        <w:instrText xml:space="preserve"> ADDIN ZOTERO_ITEM CSL_CITATION {"citationID":"O7u8nbuw","properties":{"formattedCitation":"(Breslin et al., 2006)","plainCitation":"(Breslin et al., 2006)","noteIndex":0},"citationItems":[{"id":1014,"uris":["http://zotero.org/users/1781003/items/3YRCVQQT"],"uri":["http://zotero.org/users/1781003/items/3YRCVQQT"],"itemData":{"id":1014,"type":"article-journal","abstract":"Chromosomal single-strand breaks (SSBs) are the most common lesions arising in cells, but are normally rapidly repaired by multiprotein complexes centered around the scaffold protein, XRCC1. Here, we describe protocols to measure chromosomal SSBs in cells and for recovering and identifying novel components of SSBR complexes in vitro and in vivo. We also describe an assay we employ to measure the rate of replication fork progression in mammalian/vertebrate cells in the presence or absence of DNA damage.","container-title":"Methods in Enzymology","DOI":"10.1016/S0076-6879(05)09024-5","ISSN":"0076-6879","journalAbbreviation":"Meth. Enzymol.","language":"eng","note":"PMID: 16793415","page":"410-425","source":"PubMed","title":"Measurement of chromosomal DNA single-strand breaks and replication fork progression rates","volume":"409","author":[{"family":"Breslin","given":"Claire"},{"family":"Clements","given":"Paula M."},{"family":"El-Khamisy","given":"Sherif F."},{"family":"Petermann","given":"Eva"},{"family":"Iles","given":"Natasha"},{"family":"Caldecott","given":"Keith W."}],"issued":{"date-parts":[["2006"]]}}}],"schema":"https://github.com/citation-style-language/schema/raw/master/csl-citation.json"} </w:instrText>
      </w:r>
      <w:r w:rsidRPr="00EC2ECB">
        <w:rPr>
          <w:rFonts w:ascii="Arial" w:hAnsi="Arial" w:cs="Arial"/>
          <w:sz w:val="22"/>
          <w:szCs w:val="22"/>
          <w:lang w:val="en-US"/>
        </w:rPr>
        <w:fldChar w:fldCharType="separate"/>
      </w:r>
      <w:r w:rsidRPr="00EC2ECB">
        <w:rPr>
          <w:rFonts w:ascii="Arial" w:hAnsi="Arial" w:cs="Arial"/>
          <w:sz w:val="22"/>
          <w:szCs w:val="22"/>
          <w:lang w:val="en-US"/>
        </w:rPr>
        <w:t>(Breslin et al., 2006)</w:t>
      </w:r>
      <w:r w:rsidRPr="00EC2ECB">
        <w:rPr>
          <w:rFonts w:ascii="Arial" w:hAnsi="Arial" w:cs="Arial"/>
          <w:sz w:val="22"/>
          <w:szCs w:val="22"/>
          <w:lang w:val="en-US"/>
        </w:rPr>
        <w:fldChar w:fldCharType="end"/>
      </w:r>
      <w:r w:rsidRPr="00EC2ECB">
        <w:rPr>
          <w:rFonts w:ascii="Arial" w:hAnsi="Arial" w:cs="Arial"/>
          <w:sz w:val="22"/>
          <w:szCs w:val="22"/>
          <w:lang w:val="en-US"/>
        </w:rPr>
        <w:t xml:space="preserve">, </w:t>
      </w:r>
      <w:r w:rsidRPr="00EC2ECB">
        <w:rPr>
          <w:rFonts w:ascii="Arial" w:hAnsi="Arial" w:cs="Arial"/>
          <w:sz w:val="22"/>
          <w:szCs w:val="22"/>
          <w:lang w:val="en-US"/>
        </w:rPr>
        <w:fldChar w:fldCharType="begin"/>
      </w:r>
      <w:r>
        <w:rPr>
          <w:rFonts w:ascii="Arial" w:hAnsi="Arial" w:cs="Arial"/>
          <w:sz w:val="22"/>
          <w:szCs w:val="22"/>
          <w:lang w:val="en-US"/>
        </w:rPr>
        <w:instrText xml:space="preserve"> ADDIN ZOTERO_ITEM CSL_CITATION {"citationID":"c2jdOaMU","properties":{"formattedCitation":"(Jackson and Pombo, 1998)","plainCitation":"(Jackson and Pombo, 1998)","noteIndex":0},"citationItems":[{"id":1016,"uris":["http://zotero.org/users/1781003/items/IF57VKZG"],"uri":["http://zotero.org/users/1781003/items/IF57VKZG"],"itemData":{"id":1016,"type":"article-journal","abstract":"In proliferating cells, DNA synthesis must be performed with extreme precision. We show that groups of replicons, labeled together as replicon clusters, form stable units of chromosome structure. HeLa cells were labeled with 5-bromodeoxyuridine (BrdU) at different times of S phase. At the onset of S phase, clusters of replicons were activated in each of approximately 750 replication sites. The majority of these replication \"foci\" were shown to be individual replicon clusters that remained together, as stable cohorts, throughout the following 15 cell cycles. In individual cells, the same replication foci were labeled with BrdU and 5-iododeoxyuridine at the beginning of different cell cycles. In DNA fibers, 95% of replicons in replicon clusters that were labeled at the beginning of one S phase were also labeled at the beginning of the next. This shows that a subset of origins are activated both reliably and efficiently in different cycles. The majority of replication forks activated at the onset of S phase terminated 45-60 min later. During this interval, secondary replicon clusters became active. However, while the activation of early replicons is synchronized at the onset of S phase, different secondary clusters were activated at different times. Nevertheless, replication foci pulse labeled during any short interval of S phase were stable for many cell cycles. We propose that the coordinated replication of related groups of replicons, that form stable replicon clusters, contributes to the efficient activation and propagation of S phase in mammalian cells.","container-title":"The Journal of Cell Biology","ISSN":"0021-9525","issue":"6","journalAbbreviation":"J. Cell Biol.","language":"eng","note":"PMID: 9508763\nPMCID: PMC2132671","page":"1285-1295","source":"PubMed","title":"Replicon clusters are stable units of chromosome structure: evidence that nuclear organization contributes to the efficient activation and propagation of S phase in human cells","title-short":"Replicon clusters are stable units of chromosome structure","volume":"140","author":[{"family":"Jackson","given":"D. A."},{"family":"Pombo","given":"A."}],"issued":{"date-parts":[["1998",3,23]]}}}],"schema":"https://github.com/citation-style-language/schema/raw/master/csl-citation.json"} </w:instrText>
      </w:r>
      <w:r w:rsidRPr="00EC2ECB">
        <w:rPr>
          <w:rFonts w:ascii="Arial" w:hAnsi="Arial" w:cs="Arial"/>
          <w:sz w:val="22"/>
          <w:szCs w:val="22"/>
          <w:lang w:val="en-US"/>
        </w:rPr>
        <w:fldChar w:fldCharType="separate"/>
      </w:r>
      <w:r w:rsidRPr="00EC2ECB">
        <w:rPr>
          <w:rFonts w:ascii="Arial" w:hAnsi="Arial" w:cs="Arial"/>
          <w:sz w:val="22"/>
          <w:szCs w:val="22"/>
          <w:lang w:val="en-US"/>
        </w:rPr>
        <w:t>(Jackson and Pombo, 1998)</w:t>
      </w:r>
      <w:r w:rsidRPr="00EC2ECB">
        <w:rPr>
          <w:rFonts w:ascii="Arial" w:hAnsi="Arial" w:cs="Arial"/>
          <w:sz w:val="22"/>
          <w:szCs w:val="22"/>
          <w:lang w:val="en-US"/>
        </w:rPr>
        <w:fldChar w:fldCharType="end"/>
      </w:r>
      <w:r w:rsidRPr="007A7FB0">
        <w:rPr>
          <w:rFonts w:ascii="Arial" w:hAnsi="Arial" w:cs="Arial"/>
          <w:sz w:val="22"/>
          <w:szCs w:val="22"/>
          <w:lang w:val="en-US"/>
        </w:rPr>
        <w:t xml:space="preserve">. Briefly, DLBCL cells were labeled sequentially with 10 </w:t>
      </w:r>
      <w:r w:rsidRPr="007A7FB0">
        <w:rPr>
          <w:rFonts w:ascii="Arial" w:hAnsi="Arial" w:cs="Arial"/>
          <w:sz w:val="22"/>
          <w:szCs w:val="22"/>
        </w:rPr>
        <w:t>μ</w:t>
      </w:r>
      <w:r w:rsidRPr="007A7FB0">
        <w:rPr>
          <w:rFonts w:ascii="Arial" w:hAnsi="Arial" w:cs="Arial"/>
          <w:sz w:val="22"/>
          <w:szCs w:val="22"/>
          <w:lang w:val="en-US"/>
        </w:rPr>
        <w:t xml:space="preserve">M of </w:t>
      </w:r>
      <w:proofErr w:type="spellStart"/>
      <w:r w:rsidRPr="007A7FB0">
        <w:rPr>
          <w:rFonts w:ascii="Arial" w:hAnsi="Arial" w:cs="Arial"/>
          <w:sz w:val="22"/>
          <w:szCs w:val="22"/>
          <w:lang w:val="en-US"/>
        </w:rPr>
        <w:t>IdU</w:t>
      </w:r>
      <w:proofErr w:type="spellEnd"/>
      <w:r w:rsidRPr="007A7FB0">
        <w:rPr>
          <w:rFonts w:ascii="Arial" w:hAnsi="Arial" w:cs="Arial"/>
          <w:sz w:val="22"/>
          <w:szCs w:val="22"/>
          <w:lang w:val="en-US"/>
        </w:rPr>
        <w:t xml:space="preserve"> (</w:t>
      </w:r>
      <w:r>
        <w:rPr>
          <w:rFonts w:ascii="Arial" w:hAnsi="Arial" w:cs="Arial"/>
          <w:sz w:val="22"/>
          <w:szCs w:val="22"/>
          <w:lang w:val="en-US"/>
        </w:rPr>
        <w:t>I</w:t>
      </w:r>
      <w:r w:rsidRPr="007A7FB0">
        <w:rPr>
          <w:rFonts w:ascii="Arial" w:hAnsi="Arial" w:cs="Arial"/>
          <w:sz w:val="22"/>
          <w:szCs w:val="22"/>
          <w:lang w:val="en-US"/>
        </w:rPr>
        <w:t xml:space="preserve">ododeoxyuridine) and 100 </w:t>
      </w:r>
      <w:r w:rsidRPr="007A7FB0">
        <w:rPr>
          <w:rFonts w:ascii="Arial" w:hAnsi="Arial" w:cs="Arial"/>
          <w:sz w:val="22"/>
          <w:szCs w:val="22"/>
        </w:rPr>
        <w:t>μ</w:t>
      </w:r>
      <w:r w:rsidRPr="007A7FB0">
        <w:rPr>
          <w:rFonts w:ascii="Arial" w:hAnsi="Arial" w:cs="Arial"/>
          <w:sz w:val="22"/>
          <w:szCs w:val="22"/>
          <w:lang w:val="en-US"/>
        </w:rPr>
        <w:t xml:space="preserve">M of </w:t>
      </w:r>
      <w:proofErr w:type="spellStart"/>
      <w:r w:rsidRPr="007A7FB0">
        <w:rPr>
          <w:rFonts w:ascii="Arial" w:hAnsi="Arial" w:cs="Arial"/>
          <w:sz w:val="22"/>
          <w:szCs w:val="22"/>
          <w:lang w:val="en-US"/>
        </w:rPr>
        <w:t>CldU</w:t>
      </w:r>
      <w:proofErr w:type="spellEnd"/>
      <w:r w:rsidRPr="007A7FB0">
        <w:rPr>
          <w:rFonts w:ascii="Arial" w:hAnsi="Arial" w:cs="Arial"/>
          <w:sz w:val="22"/>
          <w:szCs w:val="22"/>
          <w:lang w:val="en-US"/>
        </w:rPr>
        <w:t xml:space="preserve"> (</w:t>
      </w:r>
      <w:proofErr w:type="spellStart"/>
      <w:r>
        <w:rPr>
          <w:rFonts w:ascii="Arial" w:hAnsi="Arial" w:cs="Arial"/>
          <w:sz w:val="22"/>
          <w:szCs w:val="22"/>
          <w:lang w:val="en-US"/>
        </w:rPr>
        <w:t>C</w:t>
      </w:r>
      <w:r w:rsidRPr="007A7FB0">
        <w:rPr>
          <w:rFonts w:ascii="Arial" w:hAnsi="Arial" w:cs="Arial"/>
          <w:sz w:val="22"/>
          <w:szCs w:val="22"/>
          <w:lang w:val="en-US"/>
        </w:rPr>
        <w:t>hlorodeoxyuridine</w:t>
      </w:r>
      <w:proofErr w:type="spellEnd"/>
      <w:r w:rsidRPr="007A7FB0">
        <w:rPr>
          <w:rFonts w:ascii="Arial" w:hAnsi="Arial" w:cs="Arial"/>
          <w:sz w:val="22"/>
          <w:szCs w:val="22"/>
          <w:lang w:val="en-US"/>
        </w:rPr>
        <w:t>) with or without treatment for 30 min. A thousand cells were transferred on a glass slide (</w:t>
      </w:r>
      <w:proofErr w:type="spellStart"/>
      <w:r w:rsidRPr="007A7FB0">
        <w:rPr>
          <w:rFonts w:ascii="Arial" w:hAnsi="Arial" w:cs="Arial"/>
          <w:sz w:val="22"/>
          <w:szCs w:val="22"/>
          <w:lang w:val="en-US"/>
        </w:rPr>
        <w:t>SuperFrost</w:t>
      </w:r>
      <w:proofErr w:type="spellEnd"/>
      <w:r w:rsidRPr="007A7FB0">
        <w:rPr>
          <w:rFonts w:ascii="Arial" w:hAnsi="Arial" w:cs="Arial"/>
          <w:sz w:val="22"/>
          <w:szCs w:val="22"/>
          <w:lang w:val="en-US"/>
        </w:rPr>
        <w:t xml:space="preserve">) and lysed with spreading </w:t>
      </w:r>
      <w:r w:rsidRPr="007A7FB0">
        <w:rPr>
          <w:rFonts w:ascii="Arial" w:hAnsi="Arial" w:cs="Arial"/>
          <w:color w:val="000000"/>
          <w:sz w:val="22"/>
          <w:szCs w:val="22"/>
          <w:lang w:val="en-US"/>
        </w:rPr>
        <w:t xml:space="preserve">buffer (200 mM </w:t>
      </w:r>
      <w:proofErr w:type="spellStart"/>
      <w:r w:rsidRPr="007A7FB0">
        <w:rPr>
          <w:rFonts w:ascii="Arial" w:hAnsi="Arial" w:cs="Arial"/>
          <w:color w:val="000000"/>
          <w:sz w:val="22"/>
          <w:szCs w:val="22"/>
          <w:lang w:val="en-US"/>
        </w:rPr>
        <w:t>Tris.HCl</w:t>
      </w:r>
      <w:proofErr w:type="spellEnd"/>
      <w:r w:rsidRPr="007A7FB0">
        <w:rPr>
          <w:rFonts w:ascii="Arial" w:hAnsi="Arial" w:cs="Arial"/>
          <w:color w:val="000000"/>
          <w:sz w:val="22"/>
          <w:szCs w:val="22"/>
          <w:lang w:val="en-US"/>
        </w:rPr>
        <w:t xml:space="preserve"> ph7.5; 50 mM EDTA; 0.5 % SDS) by gently stirring with a pipette tip. The slides were tilted slightly and the</w:t>
      </w:r>
      <w:r w:rsidRPr="007A7FB0">
        <w:rPr>
          <w:rFonts w:ascii="Arial" w:hAnsi="Arial" w:cs="Arial"/>
          <w:sz w:val="22"/>
          <w:szCs w:val="22"/>
          <w:lang w:val="en-US"/>
        </w:rPr>
        <w:t xml:space="preserve"> </w:t>
      </w:r>
      <w:r w:rsidRPr="007A7FB0">
        <w:rPr>
          <w:rFonts w:ascii="Arial" w:hAnsi="Arial" w:cs="Arial"/>
          <w:color w:val="000000"/>
          <w:sz w:val="22"/>
          <w:szCs w:val="22"/>
          <w:lang w:val="en-US"/>
        </w:rPr>
        <w:t xml:space="preserve">surface tension of the drops was disrupted with a pipette tip. The drops were let run down the slides slowly, air-dried, fixed in methanol/acetic acid 3:1 for 10 minutes </w:t>
      </w:r>
      <w:r w:rsidRPr="007A7FB0">
        <w:rPr>
          <w:rFonts w:ascii="Arial" w:hAnsi="Arial" w:cs="Arial"/>
          <w:color w:val="000000"/>
          <w:sz w:val="22"/>
          <w:szCs w:val="22"/>
          <w:lang w:val="en-US"/>
        </w:rPr>
        <w:lastRenderedPageBreak/>
        <w:t xml:space="preserve">and allowed to dry. </w:t>
      </w:r>
      <w:r w:rsidRPr="007A7FB0">
        <w:rPr>
          <w:rFonts w:ascii="Arial" w:hAnsi="Arial" w:cs="Arial"/>
          <w:bCs/>
          <w:color w:val="000000"/>
          <w:sz w:val="22"/>
          <w:szCs w:val="22"/>
          <w:lang w:val="en-US"/>
        </w:rPr>
        <w:t>Slides are washed with H</w:t>
      </w:r>
      <w:r w:rsidRPr="007A7FB0">
        <w:rPr>
          <w:rFonts w:ascii="Arial" w:hAnsi="Arial" w:cs="Arial"/>
          <w:bCs/>
          <w:color w:val="000000"/>
          <w:sz w:val="22"/>
          <w:szCs w:val="22"/>
          <w:vertAlign w:val="subscript"/>
          <w:lang w:val="en-US"/>
        </w:rPr>
        <w:t>2</w:t>
      </w:r>
      <w:r w:rsidRPr="007A7FB0">
        <w:rPr>
          <w:rFonts w:ascii="Arial" w:hAnsi="Arial" w:cs="Arial"/>
          <w:bCs/>
          <w:color w:val="000000"/>
          <w:sz w:val="22"/>
          <w:szCs w:val="22"/>
          <w:lang w:val="en-US"/>
        </w:rPr>
        <w:t>O and denatured with 2.5M HCl for 1 hour and washed with blocking solution (PBS 1% tween 20, 1% BSA) for 1 hour.</w:t>
      </w:r>
    </w:p>
    <w:p w14:paraId="02D0F673" w14:textId="77777777" w:rsidR="00056BB0" w:rsidRPr="007A7FB0" w:rsidRDefault="00056BB0" w:rsidP="00056BB0">
      <w:pPr>
        <w:spacing w:line="360" w:lineRule="auto"/>
        <w:jc w:val="both"/>
        <w:rPr>
          <w:rFonts w:ascii="Arial" w:hAnsi="Arial" w:cs="Arial"/>
          <w:color w:val="000000"/>
          <w:sz w:val="22"/>
          <w:szCs w:val="22"/>
          <w:lang w:val="en-US"/>
        </w:rPr>
      </w:pPr>
      <w:r w:rsidRPr="007A7FB0">
        <w:rPr>
          <w:rFonts w:ascii="Arial" w:hAnsi="Arial" w:cs="Arial"/>
          <w:color w:val="000000"/>
          <w:sz w:val="22"/>
          <w:szCs w:val="22"/>
          <w:lang w:val="en-US"/>
        </w:rPr>
        <w:t xml:space="preserve">Glass slides were processed for immunostaining using IgG1 mouse anti- </w:t>
      </w:r>
      <w:proofErr w:type="spellStart"/>
      <w:r w:rsidRPr="007A7FB0">
        <w:rPr>
          <w:rFonts w:ascii="Arial" w:hAnsi="Arial" w:cs="Arial"/>
          <w:color w:val="000000"/>
          <w:sz w:val="22"/>
          <w:szCs w:val="22"/>
          <w:lang w:val="en-US"/>
        </w:rPr>
        <w:t>BrdU</w:t>
      </w:r>
      <w:proofErr w:type="spellEnd"/>
      <w:r w:rsidRPr="007A7FB0">
        <w:rPr>
          <w:rFonts w:ascii="Arial" w:hAnsi="Arial" w:cs="Arial"/>
          <w:color w:val="000000"/>
          <w:sz w:val="22"/>
          <w:szCs w:val="22"/>
          <w:lang w:val="en-US"/>
        </w:rPr>
        <w:t xml:space="preserve"> for </w:t>
      </w:r>
      <w:proofErr w:type="spellStart"/>
      <w:r w:rsidRPr="007A7FB0">
        <w:rPr>
          <w:rFonts w:ascii="Arial" w:hAnsi="Arial" w:cs="Arial"/>
          <w:color w:val="000000"/>
          <w:sz w:val="22"/>
          <w:szCs w:val="22"/>
          <w:lang w:val="en-US"/>
        </w:rPr>
        <w:t>IdU</w:t>
      </w:r>
      <w:proofErr w:type="spellEnd"/>
      <w:r w:rsidRPr="007A7FB0">
        <w:rPr>
          <w:rFonts w:ascii="Arial" w:hAnsi="Arial" w:cs="Arial"/>
          <w:color w:val="000000"/>
          <w:sz w:val="22"/>
          <w:szCs w:val="22"/>
          <w:lang w:val="en-US"/>
        </w:rPr>
        <w:t xml:space="preserve"> detection (BD, clone B44, #</w:t>
      </w:r>
      <w:r w:rsidRPr="007A7FB0">
        <w:rPr>
          <w:rFonts w:ascii="Arial" w:hAnsi="Arial" w:cs="Arial"/>
          <w:sz w:val="22"/>
          <w:szCs w:val="22"/>
          <w:lang w:val="en-US"/>
        </w:rPr>
        <w:t>347580</w:t>
      </w:r>
      <w:r w:rsidRPr="007A7FB0">
        <w:rPr>
          <w:rFonts w:ascii="Arial" w:hAnsi="Arial" w:cs="Arial"/>
          <w:color w:val="000000"/>
          <w:sz w:val="22"/>
          <w:szCs w:val="22"/>
          <w:lang w:val="en-US"/>
        </w:rPr>
        <w:t>, 1/100), IgG2a rat anti-</w:t>
      </w:r>
      <w:proofErr w:type="spellStart"/>
      <w:r w:rsidRPr="007A7FB0">
        <w:rPr>
          <w:rFonts w:ascii="Arial" w:hAnsi="Arial" w:cs="Arial"/>
          <w:color w:val="000000"/>
          <w:sz w:val="22"/>
          <w:szCs w:val="22"/>
          <w:lang w:val="en-US"/>
        </w:rPr>
        <w:t>BrdU</w:t>
      </w:r>
      <w:proofErr w:type="spellEnd"/>
      <w:r w:rsidRPr="007A7FB0">
        <w:rPr>
          <w:rFonts w:ascii="Arial" w:hAnsi="Arial" w:cs="Arial"/>
          <w:color w:val="000000"/>
          <w:sz w:val="22"/>
          <w:szCs w:val="22"/>
          <w:lang w:val="en-US"/>
        </w:rPr>
        <w:t xml:space="preserve"> for </w:t>
      </w:r>
      <w:proofErr w:type="spellStart"/>
      <w:r w:rsidRPr="007A7FB0">
        <w:rPr>
          <w:rFonts w:ascii="Arial" w:hAnsi="Arial" w:cs="Arial"/>
          <w:color w:val="000000"/>
          <w:sz w:val="22"/>
          <w:szCs w:val="22"/>
          <w:lang w:val="en-US"/>
        </w:rPr>
        <w:t>CldU</w:t>
      </w:r>
      <w:proofErr w:type="spellEnd"/>
      <w:r w:rsidRPr="007A7FB0">
        <w:rPr>
          <w:rFonts w:ascii="Arial" w:hAnsi="Arial" w:cs="Arial"/>
          <w:color w:val="000000"/>
          <w:sz w:val="22"/>
          <w:szCs w:val="22"/>
          <w:lang w:val="en-US"/>
        </w:rPr>
        <w:t xml:space="preserve"> detection (clone BU1/75, 1/100, </w:t>
      </w:r>
      <w:proofErr w:type="spellStart"/>
      <w:r w:rsidRPr="007A7FB0">
        <w:rPr>
          <w:rFonts w:ascii="Arial" w:hAnsi="Arial" w:cs="Arial"/>
          <w:color w:val="000000"/>
          <w:sz w:val="22"/>
          <w:szCs w:val="22"/>
          <w:lang w:val="en-US"/>
        </w:rPr>
        <w:t>Eurobio</w:t>
      </w:r>
      <w:proofErr w:type="spellEnd"/>
      <w:r w:rsidRPr="007A7FB0">
        <w:rPr>
          <w:rFonts w:ascii="Arial" w:hAnsi="Arial" w:cs="Arial"/>
          <w:color w:val="000000"/>
          <w:sz w:val="22"/>
          <w:szCs w:val="22"/>
          <w:lang w:val="en-US"/>
        </w:rPr>
        <w:t xml:space="preserve"> </w:t>
      </w:r>
      <w:proofErr w:type="spellStart"/>
      <w:r w:rsidRPr="007A7FB0">
        <w:rPr>
          <w:rFonts w:ascii="Arial" w:hAnsi="Arial" w:cs="Arial"/>
          <w:color w:val="000000"/>
          <w:sz w:val="22"/>
          <w:szCs w:val="22"/>
          <w:lang w:val="en-US"/>
        </w:rPr>
        <w:t>AbCys</w:t>
      </w:r>
      <w:proofErr w:type="spellEnd"/>
      <w:r w:rsidRPr="007A7FB0">
        <w:rPr>
          <w:rFonts w:ascii="Arial" w:hAnsi="Arial" w:cs="Arial"/>
          <w:color w:val="000000"/>
          <w:sz w:val="22"/>
          <w:szCs w:val="22"/>
          <w:lang w:val="en-US"/>
        </w:rPr>
        <w:t>, ABC117-7513), mouse anti-ssDNA (1/50) antibodies and corresponding secondary antibodies conjugated to different Alexa-Fluor dyes (Goat anti-Mouse IgG1 AF546 1/100 #A21123, Chicken anti-Rat AF488 1/100 #</w:t>
      </w:r>
      <w:r w:rsidRPr="007A7FB0">
        <w:rPr>
          <w:rFonts w:ascii="Arial" w:hAnsi="Arial" w:cs="Arial"/>
          <w:sz w:val="22"/>
          <w:szCs w:val="22"/>
          <w:lang w:val="en-US"/>
        </w:rPr>
        <w:t xml:space="preserve"> </w:t>
      </w:r>
      <w:r w:rsidRPr="007A7FB0">
        <w:rPr>
          <w:rFonts w:ascii="Arial" w:hAnsi="Arial" w:cs="Arial"/>
          <w:color w:val="000000"/>
          <w:sz w:val="22"/>
          <w:szCs w:val="22"/>
          <w:lang w:val="en-US"/>
        </w:rPr>
        <w:t>A21470, Goat anti-Mouse IgG2a AF647 1/50 #A21241, Molecular probe). The nascent DNA fibers were visualized using immunofluorescence microscopy (Leica DM6000). The acquired DNA fiber images were analyzed using FIJI software and statistical analysis was performed with GraphPad Prism V7.</w:t>
      </w:r>
    </w:p>
    <w:p w14:paraId="258B5619" w14:textId="77777777" w:rsidR="00056BB0" w:rsidRPr="00C50ED5" w:rsidRDefault="00056BB0" w:rsidP="00056BB0">
      <w:pPr>
        <w:autoSpaceDE w:val="0"/>
        <w:autoSpaceDN w:val="0"/>
        <w:adjustRightInd w:val="0"/>
        <w:spacing w:line="360" w:lineRule="auto"/>
        <w:jc w:val="both"/>
        <w:rPr>
          <w:rFonts w:ascii="Arial" w:hAnsi="Arial" w:cs="Arial"/>
          <w:sz w:val="22"/>
          <w:szCs w:val="22"/>
          <w:lang w:val="en-US"/>
        </w:rPr>
      </w:pPr>
    </w:p>
    <w:p w14:paraId="6D72B906" w14:textId="7E5AB31B" w:rsidR="00EC4018" w:rsidRPr="007E65BA" w:rsidRDefault="00EC4018" w:rsidP="00EC4018">
      <w:pPr>
        <w:spacing w:line="360" w:lineRule="auto"/>
        <w:rPr>
          <w:rFonts w:ascii="Arial" w:hAnsi="Arial" w:cs="Arial"/>
          <w:b/>
          <w:color w:val="000000"/>
          <w:sz w:val="22"/>
          <w:szCs w:val="22"/>
          <w:lang w:val="en-US"/>
        </w:rPr>
      </w:pPr>
      <w:r>
        <w:rPr>
          <w:rFonts w:ascii="Arial" w:hAnsi="Arial" w:cs="Arial"/>
          <w:b/>
          <w:color w:val="000000"/>
          <w:sz w:val="22"/>
          <w:szCs w:val="22"/>
          <w:lang w:val="en-US"/>
        </w:rPr>
        <w:t>Dru</w:t>
      </w:r>
      <w:r w:rsidR="000C71F4">
        <w:rPr>
          <w:rFonts w:ascii="Arial" w:hAnsi="Arial" w:cs="Arial"/>
          <w:b/>
          <w:color w:val="000000"/>
          <w:sz w:val="22"/>
          <w:szCs w:val="22"/>
          <w:lang w:val="en-US"/>
        </w:rPr>
        <w:t>g</w:t>
      </w:r>
      <w:r>
        <w:rPr>
          <w:rFonts w:ascii="Arial" w:hAnsi="Arial" w:cs="Arial"/>
          <w:b/>
          <w:color w:val="000000"/>
          <w:sz w:val="22"/>
          <w:szCs w:val="22"/>
          <w:lang w:val="en-US"/>
        </w:rPr>
        <w:t xml:space="preserve"> combination study</w:t>
      </w:r>
    </w:p>
    <w:p w14:paraId="65311802" w14:textId="77777777" w:rsidR="00EC4018" w:rsidRPr="00C50ED5" w:rsidRDefault="00EC4018" w:rsidP="00EC4018">
      <w:pPr>
        <w:spacing w:line="360" w:lineRule="auto"/>
        <w:jc w:val="both"/>
        <w:rPr>
          <w:rFonts w:ascii="Arial" w:hAnsi="Arial" w:cs="Arial"/>
          <w:sz w:val="22"/>
          <w:szCs w:val="22"/>
          <w:lang w:val="en-US"/>
        </w:rPr>
      </w:pPr>
      <w:r w:rsidRPr="00C50ED5">
        <w:rPr>
          <w:rFonts w:ascii="Arial" w:hAnsi="Arial" w:cs="Arial"/>
          <w:sz w:val="22"/>
          <w:szCs w:val="22"/>
          <w:lang w:val="en-US"/>
        </w:rPr>
        <w:t xml:space="preserve">The interaction between the drugs tested in vitro was investigated with a concentration matrix test, in which increasing concentration of each single drug were assessed with all possible combinations of the other drugs. For each combination, the percentage of expected growing cells in the case of effect independence was calculated according to the Bliss equation </w:t>
      </w:r>
      <w:r w:rsidRPr="00C50ED5">
        <w:rPr>
          <w:rFonts w:ascii="Arial" w:hAnsi="Arial" w:cs="Arial"/>
          <w:sz w:val="22"/>
          <w:szCs w:val="22"/>
          <w:lang w:val="en-US"/>
        </w:rPr>
        <w:fldChar w:fldCharType="begin"/>
      </w:r>
      <w:r>
        <w:rPr>
          <w:rFonts w:ascii="Arial" w:hAnsi="Arial" w:cs="Arial"/>
          <w:sz w:val="22"/>
          <w:szCs w:val="22"/>
          <w:lang w:val="en-US"/>
        </w:rPr>
        <w:instrText xml:space="preserve"> ADDIN ZOTERO_ITEM CSL_CITATION {"citationID":"ESRTLODY","properties":{"formattedCitation":"(Combes et al., 2019; Greco et al., 1995)","plainCitation":"(Combes et al., 2019; Greco et al., 1995)","noteIndex":0},"citationItems":[{"id":1765,"uris":["http://zotero.org/users/1781003/items/9DVCY2W5"],"uri":["http://zotero.org/users/1781003/items/9DVCY2W5"],"itemData":{"id":1765,"type":"article-journal","abstract":"Although many colorectal cancer (CRC) patients initially respond to the chemotherapeutic agent oxaliplatin, acquired resistance to this treatment remains a major challenge to the long-term management of this disease. To identify molecular targets of oxaliplatin resistance in colorectal cancer (CRC), we performed an shRNA-based loss-of-function genetic screen using a kinome library. We found that silencing of ataxia-telangiectasia mutated and RAD3-related (ATR), a serine/threonine protein kinase involved in the response to DNA stress, restored oxaliplatin sensitivity in a cellular model of oxaliplatin resistance. Combined application of the ATR inhibitor VE-822 and oxaliplatin resulted in strong synergistic effects in six different CRC cell lines and their oxaliplatin-resistant sub-clones, promoted DNA single- and double-strand break formation, growth arrest, and apoptosis. This treatment also increased replicative stress, cytoplasmic DNA, and signals related to immunogenic cell death such as calreticulin exposure and HMGB1 and ATP release. In a syngeneic CRC mouse model, combined administration of VE-822 and oxaliplatin significantly increased survival by promoting anti-tumor T cell responses. Finally, a DNA repair-gene signature discriminated sensitive from drug-resistant CRC patients. Overall, our results highlight the potential of ATR inhibition combined with oxaliplatin to sensitize cells to chemotherapy as a therapeutic option for CRC patients.","container-title":"Cancer Research","DOI":"10.1158/0008-5472.CAN-18-2807","ISSN":"1538-7445","journalAbbreviation":"Cancer Res.","language":"eng","note":"PMID: 30987998","source":"PubMed","title":"Inhibition of Ataxia-Telangiectasia Mutated and RAD3-related (ATR) overcomes oxaliplatin resistance and promotes anti-tumor immunity in colorectal cancer","author":[{"family":"Combes","given":"Eve"},{"family":"Andrade","given":"Augusto F."},{"family":"Tosi","given":"Diego"},{"family":"Michaud","given":"Henri-Alexandre"},{"family":"Coquel","given":"Flavie"},{"family":"Garambois","given":"Veronique"},{"family":"Desigaud","given":"Delphine"},{"family":"Jarlier","given":"Marta"},{"family":"Coquelle","given":"Arnaud"},{"family":"Pasero","given":"Philippe"},{"family":"Bonnefoy","given":"Nathalie"},{"family":"Moreaux","given":"Jerome"},{"family":"Martineau","given":"Pierre"},{"family":"Del Rio","given":"Maguy"},{"family":"Beijersbergen","given":"Roderick L."},{"family":"Vezzio-Vie","given":"Nadia"},{"family":"Gongora","given":"Celine"}],"issued":{"date-parts":[["2019",4,15]]}}},{"id":1784,"uris":["http://zotero.org/users/1781003/items/XD3XZZJF"],"uri":["http://zotero.org/users/1781003/items/XD3XZZJF"],"itemData":{"id":1784,"type":"article-journal","container-title":"Pharmacological Reviews","ISSN":"0031-6997","issue":"2","journalAbbreviation":"Pharmacol. Rev.","language":"eng","note":"PMID: 7568331","page":"331-385","source":"PubMed","title":"The search for synergy: a critical review from a response surface perspective","title-short":"The search for synergy","volume":"47","author":[{"family":"Greco","given":"W. R."},{"family":"Bravo","given":"G."},{"family":"Parsons","given":"J. C."}],"issued":{"date-parts":[["1995",6]]}}}],"schema":"https://github.com/citation-style-language/schema/raw/master/csl-citation.json"} </w:instrText>
      </w:r>
      <w:r w:rsidRPr="00C50ED5">
        <w:rPr>
          <w:rFonts w:ascii="Arial" w:hAnsi="Arial" w:cs="Arial"/>
          <w:sz w:val="22"/>
          <w:szCs w:val="22"/>
          <w:lang w:val="en-US"/>
        </w:rPr>
        <w:fldChar w:fldCharType="separate"/>
      </w:r>
      <w:r w:rsidRPr="000278E2">
        <w:rPr>
          <w:rFonts w:ascii="Arial" w:hAnsi="Arial" w:cs="Arial"/>
          <w:sz w:val="22"/>
          <w:lang w:val="en-US"/>
        </w:rPr>
        <w:t>(Combes et al., 2019; Greco et al., 1995)</w:t>
      </w:r>
      <w:r w:rsidRPr="00C50ED5">
        <w:rPr>
          <w:rFonts w:ascii="Arial" w:hAnsi="Arial" w:cs="Arial"/>
          <w:sz w:val="22"/>
          <w:szCs w:val="22"/>
          <w:lang w:val="en-US"/>
        </w:rPr>
        <w:fldChar w:fldCharType="end"/>
      </w:r>
      <w:r w:rsidRPr="00C50ED5">
        <w:rPr>
          <w:rFonts w:ascii="Arial" w:hAnsi="Arial" w:cs="Arial"/>
          <w:sz w:val="22"/>
          <w:szCs w:val="22"/>
          <w:lang w:val="en-US"/>
        </w:rPr>
        <w:t>:</w:t>
      </w:r>
    </w:p>
    <w:p w14:paraId="2772F63F" w14:textId="77777777" w:rsidR="00EC4018" w:rsidRPr="00A271C5" w:rsidRDefault="00EC4018" w:rsidP="00EC4018">
      <w:pPr>
        <w:spacing w:line="360" w:lineRule="auto"/>
        <w:jc w:val="center"/>
        <w:rPr>
          <w:rFonts w:ascii="Arial" w:hAnsi="Arial" w:cs="Arial"/>
          <w:sz w:val="22"/>
          <w:szCs w:val="22"/>
          <w:lang w:val="en-US"/>
        </w:rPr>
      </w:pPr>
      <w:r w:rsidRPr="00A271C5">
        <w:rPr>
          <w:rFonts w:ascii="Cambria Math" w:hAnsi="Cambria Math" w:cs="Cambria Math"/>
          <w:sz w:val="22"/>
          <w:szCs w:val="22"/>
          <w:lang w:val="en-US"/>
        </w:rPr>
        <w:t>𝑓𝑢C</w:t>
      </w:r>
      <w:r w:rsidRPr="00A271C5">
        <w:rPr>
          <w:rFonts w:ascii="Arial" w:hAnsi="Arial" w:cs="Arial"/>
          <w:sz w:val="22"/>
          <w:szCs w:val="22"/>
          <w:lang w:val="en-US"/>
        </w:rPr>
        <w:t xml:space="preserve"> = </w:t>
      </w:r>
      <w:r w:rsidRPr="00A271C5">
        <w:rPr>
          <w:rFonts w:ascii="Cambria Math" w:hAnsi="Cambria Math" w:cs="Cambria Math"/>
          <w:sz w:val="22"/>
          <w:szCs w:val="22"/>
          <w:lang w:val="en-US"/>
        </w:rPr>
        <w:t>𝑓𝑢𝐴</w:t>
      </w:r>
      <w:r>
        <w:rPr>
          <w:rFonts w:ascii="Cambria Math" w:hAnsi="Cambria Math" w:cs="Cambria Math"/>
          <w:sz w:val="22"/>
          <w:szCs w:val="22"/>
          <w:lang w:val="en-US"/>
        </w:rPr>
        <w:t>.</w:t>
      </w:r>
      <w:r w:rsidRPr="00A271C5">
        <w:rPr>
          <w:rFonts w:ascii="Cambria Math" w:hAnsi="Cambria Math" w:cs="Cambria Math"/>
          <w:sz w:val="22"/>
          <w:szCs w:val="22"/>
          <w:lang w:val="en-US"/>
        </w:rPr>
        <w:t>𝑓𝑢𝐵</w:t>
      </w:r>
    </w:p>
    <w:p w14:paraId="005D897C" w14:textId="77777777" w:rsidR="00EC4018" w:rsidRPr="00C50ED5" w:rsidRDefault="00EC4018" w:rsidP="00EC4018">
      <w:pPr>
        <w:spacing w:line="360" w:lineRule="auto"/>
        <w:jc w:val="both"/>
        <w:rPr>
          <w:rFonts w:ascii="Arial" w:hAnsi="Arial" w:cs="Arial"/>
          <w:sz w:val="22"/>
          <w:szCs w:val="22"/>
          <w:lang w:val="en-US"/>
        </w:rPr>
      </w:pPr>
      <w:r w:rsidRPr="00C50ED5">
        <w:rPr>
          <w:rFonts w:ascii="Arial" w:hAnsi="Arial" w:cs="Arial"/>
          <w:sz w:val="22"/>
          <w:szCs w:val="22"/>
          <w:lang w:val="en-US"/>
        </w:rPr>
        <w:t xml:space="preserve">where </w:t>
      </w:r>
      <w:r w:rsidRPr="00A271C5">
        <w:rPr>
          <w:rFonts w:ascii="Cambria Math" w:hAnsi="Cambria Math" w:cs="Cambria Math"/>
          <w:sz w:val="22"/>
          <w:szCs w:val="22"/>
          <w:lang w:val="en-US"/>
        </w:rPr>
        <w:t>𝑓𝑢C</w:t>
      </w:r>
      <w:r w:rsidRPr="00C50ED5">
        <w:rPr>
          <w:rFonts w:ascii="Arial" w:hAnsi="Arial" w:cs="Arial"/>
          <w:sz w:val="22"/>
          <w:szCs w:val="22"/>
          <w:lang w:val="en-US"/>
        </w:rPr>
        <w:t xml:space="preserve"> is the expected fraction of cells unaffected by the drug combination in the case of effect independence, and </w:t>
      </w:r>
      <w:r w:rsidRPr="00A271C5">
        <w:rPr>
          <w:rFonts w:ascii="Cambria Math" w:hAnsi="Cambria Math" w:cs="Cambria Math"/>
          <w:sz w:val="22"/>
          <w:szCs w:val="22"/>
          <w:lang w:val="en-US"/>
        </w:rPr>
        <w:t>𝑓𝑢𝐴</w:t>
      </w:r>
      <w:r w:rsidRPr="00C50ED5">
        <w:rPr>
          <w:rFonts w:ascii="Arial" w:hAnsi="Arial" w:cs="Arial"/>
          <w:sz w:val="22"/>
          <w:szCs w:val="22"/>
          <w:lang w:val="en-US"/>
        </w:rPr>
        <w:t xml:space="preserve"> and </w:t>
      </w:r>
      <w:r w:rsidRPr="00A271C5">
        <w:rPr>
          <w:rFonts w:ascii="Cambria Math" w:hAnsi="Cambria Math" w:cs="Cambria Math"/>
          <w:sz w:val="22"/>
          <w:szCs w:val="22"/>
          <w:lang w:val="en-US"/>
        </w:rPr>
        <w:t>𝑓𝑢𝐵</w:t>
      </w:r>
      <w:r w:rsidRPr="00C50ED5">
        <w:rPr>
          <w:rFonts w:ascii="Arial" w:hAnsi="Arial" w:cs="Arial"/>
          <w:sz w:val="22"/>
          <w:szCs w:val="22"/>
          <w:lang w:val="en-US"/>
        </w:rPr>
        <w:t xml:space="preserve"> are the fractions of cells unaffected by treatment A and B, respectively. The difference between the fraction of living cells in the cytotoxicity test </w:t>
      </w:r>
      <w:r>
        <w:rPr>
          <w:rFonts w:ascii="Arial" w:hAnsi="Arial" w:cs="Arial"/>
          <w:sz w:val="22"/>
          <w:szCs w:val="22"/>
          <w:lang w:val="en-US"/>
        </w:rPr>
        <w:t xml:space="preserve">and </w:t>
      </w:r>
      <w:r w:rsidRPr="00C50ED5">
        <w:rPr>
          <w:rFonts w:ascii="Arial" w:hAnsi="Arial" w:cs="Arial"/>
          <w:sz w:val="22"/>
          <w:szCs w:val="22"/>
          <w:lang w:val="en-US"/>
        </w:rPr>
        <w:t xml:space="preserve">the </w:t>
      </w:r>
      <w:r w:rsidRPr="00A271C5">
        <w:rPr>
          <w:rFonts w:ascii="Cambria Math" w:hAnsi="Cambria Math" w:cs="Cambria Math"/>
          <w:sz w:val="22"/>
          <w:szCs w:val="22"/>
          <w:lang w:val="en-US"/>
        </w:rPr>
        <w:t>𝑓𝑢C</w:t>
      </w:r>
      <w:r>
        <w:rPr>
          <w:rFonts w:ascii="Arial" w:hAnsi="Arial" w:cs="Arial"/>
          <w:sz w:val="22"/>
          <w:szCs w:val="22"/>
          <w:lang w:val="en-US"/>
        </w:rPr>
        <w:t xml:space="preserve"> value</w:t>
      </w:r>
      <w:r w:rsidRPr="00C50ED5">
        <w:rPr>
          <w:rFonts w:ascii="Arial" w:hAnsi="Arial" w:cs="Arial"/>
          <w:sz w:val="22"/>
          <w:szCs w:val="22"/>
          <w:lang w:val="en-US"/>
        </w:rPr>
        <w:t xml:space="preserve"> was considered as an estimation of the interaction effect, with </w:t>
      </w:r>
      <w:r>
        <w:rPr>
          <w:rFonts w:ascii="Arial" w:hAnsi="Arial" w:cs="Arial"/>
          <w:sz w:val="22"/>
          <w:szCs w:val="22"/>
          <w:lang w:val="en-US"/>
        </w:rPr>
        <w:t>positive</w:t>
      </w:r>
      <w:r w:rsidRPr="00C50ED5">
        <w:rPr>
          <w:rFonts w:ascii="Arial" w:hAnsi="Arial" w:cs="Arial"/>
          <w:sz w:val="22"/>
          <w:szCs w:val="22"/>
          <w:lang w:val="en-US"/>
        </w:rPr>
        <w:t xml:space="preserve"> values indicating synergism and </w:t>
      </w:r>
      <w:r>
        <w:rPr>
          <w:rFonts w:ascii="Arial" w:hAnsi="Arial" w:cs="Arial"/>
          <w:sz w:val="22"/>
          <w:szCs w:val="22"/>
          <w:lang w:val="en-US"/>
        </w:rPr>
        <w:t>negative</w:t>
      </w:r>
      <w:r w:rsidRPr="00C50ED5">
        <w:rPr>
          <w:rFonts w:ascii="Arial" w:hAnsi="Arial" w:cs="Arial"/>
          <w:sz w:val="22"/>
          <w:szCs w:val="22"/>
          <w:lang w:val="en-US"/>
        </w:rPr>
        <w:t xml:space="preserve"> values antagonism.</w:t>
      </w:r>
    </w:p>
    <w:p w14:paraId="1F700F2C" w14:textId="77777777" w:rsidR="00056BB0" w:rsidRPr="00C50ED5" w:rsidRDefault="00056BB0" w:rsidP="00056BB0">
      <w:pPr>
        <w:spacing w:line="360" w:lineRule="auto"/>
        <w:jc w:val="both"/>
        <w:rPr>
          <w:rFonts w:ascii="Arial" w:hAnsi="Arial" w:cs="Arial"/>
          <w:color w:val="211F21"/>
          <w:sz w:val="22"/>
          <w:szCs w:val="22"/>
          <w:lang w:val="en-US"/>
        </w:rPr>
      </w:pPr>
    </w:p>
    <w:p w14:paraId="2902DC82" w14:textId="77777777" w:rsidR="00D66459" w:rsidRPr="0097563E" w:rsidRDefault="00D66459" w:rsidP="00D66459">
      <w:pPr>
        <w:spacing w:line="360" w:lineRule="auto"/>
        <w:rPr>
          <w:rFonts w:ascii="Arial" w:hAnsi="Arial" w:cs="Arial"/>
          <w:color w:val="000000"/>
          <w:sz w:val="22"/>
          <w:szCs w:val="22"/>
          <w:lang w:val="en-US"/>
        </w:rPr>
      </w:pPr>
    </w:p>
    <w:p w14:paraId="6DD24110" w14:textId="77777777" w:rsidR="00D66459" w:rsidRPr="0097563E" w:rsidRDefault="00D66459" w:rsidP="00D66459">
      <w:pPr>
        <w:spacing w:line="360" w:lineRule="auto"/>
        <w:rPr>
          <w:rFonts w:ascii="Arial" w:hAnsi="Arial" w:cs="Arial"/>
          <w:b/>
          <w:color w:val="000000"/>
          <w:sz w:val="22"/>
          <w:szCs w:val="22"/>
          <w:lang w:val="en-US"/>
        </w:rPr>
      </w:pPr>
      <w:r w:rsidRPr="0097563E">
        <w:rPr>
          <w:rFonts w:ascii="Arial" w:hAnsi="Arial" w:cs="Arial"/>
          <w:b/>
          <w:color w:val="000000"/>
          <w:sz w:val="22"/>
          <w:szCs w:val="22"/>
          <w:lang w:val="en-US"/>
        </w:rPr>
        <w:t>Primary DLBCL Cells</w:t>
      </w:r>
    </w:p>
    <w:p w14:paraId="3616FAD9" w14:textId="77777777" w:rsidR="00D66459" w:rsidRPr="0097563E" w:rsidRDefault="00D66459" w:rsidP="00D66459">
      <w:pPr>
        <w:spacing w:line="360" w:lineRule="auto"/>
        <w:rPr>
          <w:rFonts w:ascii="Arial" w:hAnsi="Arial" w:cs="Arial"/>
          <w:color w:val="000000"/>
          <w:sz w:val="22"/>
          <w:szCs w:val="22"/>
          <w:lang w:val="en-US"/>
        </w:rPr>
      </w:pPr>
    </w:p>
    <w:p w14:paraId="2AA2305F" w14:textId="77777777" w:rsidR="00D66459" w:rsidRPr="00F47097" w:rsidRDefault="00D66459" w:rsidP="00D66459">
      <w:pPr>
        <w:spacing w:line="360" w:lineRule="auto"/>
        <w:jc w:val="both"/>
        <w:rPr>
          <w:rFonts w:ascii="Arial" w:hAnsi="Arial" w:cs="Arial"/>
          <w:color w:val="000000"/>
          <w:sz w:val="22"/>
          <w:szCs w:val="22"/>
          <w:lang w:val="en-US"/>
        </w:rPr>
      </w:pPr>
      <w:r w:rsidRPr="0097563E">
        <w:rPr>
          <w:rFonts w:ascii="Arial" w:hAnsi="Arial" w:cs="Arial"/>
          <w:color w:val="000000"/>
          <w:sz w:val="22"/>
          <w:szCs w:val="22"/>
          <w:lang w:val="en-US"/>
        </w:rPr>
        <w:t>Lymph node samples were collected after patients’ written informed consent in accordance with the Declaration of Helsinki and institutional research board approval from Montpellier University hospital.</w:t>
      </w:r>
      <w:r>
        <w:rPr>
          <w:rFonts w:ascii="Arial" w:hAnsi="Arial" w:cs="Arial"/>
          <w:color w:val="000000"/>
          <w:sz w:val="22"/>
          <w:szCs w:val="22"/>
          <w:lang w:val="en-US"/>
        </w:rPr>
        <w:t xml:space="preserve"> </w:t>
      </w:r>
      <w:r w:rsidRPr="00F47097">
        <w:rPr>
          <w:rFonts w:ascii="Arial" w:hAnsi="Arial" w:cs="Arial"/>
          <w:color w:val="000000"/>
          <w:sz w:val="22"/>
          <w:szCs w:val="22"/>
          <w:lang w:val="en-US"/>
        </w:rPr>
        <w:t xml:space="preserve">Cells are obtained from lymph nodes or blood of 5 patients with DLBCL. Cells from blood are obtained by density gradient separation and cells from lymph node are obtained with a tissues </w:t>
      </w:r>
      <w:proofErr w:type="spellStart"/>
      <w:r w:rsidRPr="00F47097">
        <w:rPr>
          <w:rFonts w:ascii="Arial" w:hAnsi="Arial" w:cs="Arial"/>
          <w:color w:val="000000"/>
          <w:sz w:val="22"/>
          <w:szCs w:val="22"/>
          <w:lang w:val="en-US"/>
        </w:rPr>
        <w:t>dissociator</w:t>
      </w:r>
      <w:proofErr w:type="spellEnd"/>
      <w:r w:rsidRPr="00F47097">
        <w:rPr>
          <w:rFonts w:ascii="Arial" w:hAnsi="Arial" w:cs="Arial"/>
          <w:color w:val="000000"/>
          <w:sz w:val="22"/>
          <w:szCs w:val="22"/>
          <w:lang w:val="en-US"/>
        </w:rPr>
        <w:t xml:space="preserve"> and qualified by Flow cytometry.</w:t>
      </w:r>
    </w:p>
    <w:p w14:paraId="2B2688AD" w14:textId="77777777" w:rsidR="00D66459" w:rsidRDefault="00D66459" w:rsidP="00D66459">
      <w:pPr>
        <w:spacing w:line="360" w:lineRule="auto"/>
        <w:jc w:val="both"/>
        <w:rPr>
          <w:rFonts w:ascii="Arial" w:hAnsi="Arial" w:cs="Arial"/>
          <w:color w:val="000000"/>
          <w:sz w:val="22"/>
          <w:szCs w:val="22"/>
          <w:lang w:val="en-US"/>
        </w:rPr>
      </w:pPr>
      <w:r w:rsidRPr="00F47097">
        <w:rPr>
          <w:rFonts w:ascii="Arial" w:hAnsi="Arial" w:cs="Arial"/>
          <w:color w:val="000000"/>
          <w:sz w:val="22"/>
          <w:szCs w:val="22"/>
          <w:lang w:val="en-US"/>
        </w:rPr>
        <w:t xml:space="preserve">Cells are cultured in Gibco ® </w:t>
      </w:r>
      <w:proofErr w:type="spellStart"/>
      <w:r w:rsidRPr="00F47097">
        <w:rPr>
          <w:rFonts w:ascii="Arial" w:hAnsi="Arial" w:cs="Arial"/>
          <w:color w:val="000000"/>
          <w:sz w:val="22"/>
          <w:szCs w:val="22"/>
          <w:lang w:val="en-US"/>
        </w:rPr>
        <w:t>Iscove’s</w:t>
      </w:r>
      <w:proofErr w:type="spellEnd"/>
      <w:r w:rsidRPr="00F47097">
        <w:rPr>
          <w:rFonts w:ascii="Arial" w:hAnsi="Arial" w:cs="Arial"/>
          <w:color w:val="000000"/>
          <w:sz w:val="22"/>
          <w:szCs w:val="22"/>
          <w:lang w:val="en-US"/>
        </w:rPr>
        <w:t xml:space="preserve"> MDM (</w:t>
      </w:r>
      <w:proofErr w:type="spellStart"/>
      <w:r w:rsidRPr="00F47097">
        <w:rPr>
          <w:rFonts w:ascii="Arial" w:hAnsi="Arial" w:cs="Arial"/>
          <w:color w:val="000000"/>
          <w:sz w:val="22"/>
          <w:szCs w:val="22"/>
          <w:lang w:val="en-US"/>
        </w:rPr>
        <w:t>Glutamax</w:t>
      </w:r>
      <w:proofErr w:type="spellEnd"/>
      <w:r w:rsidRPr="00F47097">
        <w:rPr>
          <w:rFonts w:ascii="Arial" w:hAnsi="Arial" w:cs="Arial"/>
          <w:color w:val="000000"/>
          <w:sz w:val="22"/>
          <w:szCs w:val="22"/>
          <w:lang w:val="en-US"/>
        </w:rPr>
        <w:t xml:space="preserve">) medium (#31980-022) with 20% FBS with </w:t>
      </w:r>
      <w:proofErr w:type="spellStart"/>
      <w:r w:rsidRPr="00F47097">
        <w:rPr>
          <w:rFonts w:ascii="Arial" w:hAnsi="Arial" w:cs="Arial"/>
          <w:color w:val="000000"/>
          <w:sz w:val="22"/>
          <w:szCs w:val="22"/>
          <w:lang w:val="en-US"/>
        </w:rPr>
        <w:t>antibiotitcs-antimicotics</w:t>
      </w:r>
      <w:proofErr w:type="spellEnd"/>
      <w:r w:rsidRPr="00F47097">
        <w:rPr>
          <w:rFonts w:ascii="Arial" w:hAnsi="Arial" w:cs="Arial"/>
          <w:color w:val="000000"/>
          <w:sz w:val="22"/>
          <w:szCs w:val="22"/>
          <w:lang w:val="en-US"/>
        </w:rPr>
        <w:t xml:space="preserve"> (Gibco Penicillin-streptomycin-amphotericin B 100X, #15240-096) at a density of 0.5x10^6 Cell/mL with 50ng/mL of histidine-tagged CD40L (R&amp;D System, 2706-CL) and 5µg/mL of anti-histidine antibody R&amp;D System, MAB050), Gibco ® pyruvate </w:t>
      </w:r>
      <w:r w:rsidRPr="00F47097">
        <w:rPr>
          <w:rFonts w:ascii="Arial" w:hAnsi="Arial" w:cs="Arial"/>
          <w:color w:val="000000"/>
          <w:sz w:val="22"/>
          <w:szCs w:val="22"/>
          <w:lang w:val="en-US"/>
        </w:rPr>
        <w:lastRenderedPageBreak/>
        <w:t xml:space="preserve">100X, # 1136-039. Cells are seeded 24H after thawing and treated </w:t>
      </w:r>
      <w:r>
        <w:rPr>
          <w:rFonts w:ascii="Arial" w:hAnsi="Arial" w:cs="Arial"/>
          <w:color w:val="000000"/>
          <w:sz w:val="22"/>
          <w:szCs w:val="22"/>
          <w:lang w:val="en-US"/>
        </w:rPr>
        <w:t>with various compounds</w:t>
      </w:r>
      <w:r w:rsidRPr="00F47097">
        <w:rPr>
          <w:rFonts w:ascii="Arial" w:hAnsi="Arial" w:cs="Arial"/>
          <w:color w:val="000000"/>
          <w:sz w:val="22"/>
          <w:szCs w:val="22"/>
          <w:lang w:val="en-US"/>
        </w:rPr>
        <w:t xml:space="preserve"> during 72H.</w:t>
      </w:r>
    </w:p>
    <w:p w14:paraId="0056185D" w14:textId="77777777" w:rsidR="00D66459" w:rsidRDefault="00D66459" w:rsidP="00D66459">
      <w:pPr>
        <w:spacing w:line="360" w:lineRule="auto"/>
        <w:jc w:val="both"/>
        <w:rPr>
          <w:rFonts w:ascii="Arial" w:hAnsi="Arial" w:cs="Arial"/>
          <w:color w:val="000000"/>
          <w:sz w:val="22"/>
          <w:szCs w:val="22"/>
          <w:lang w:val="en-US"/>
        </w:rPr>
      </w:pPr>
      <w:r w:rsidRPr="00F47097">
        <w:rPr>
          <w:rFonts w:ascii="Arial" w:hAnsi="Arial" w:cs="Arial"/>
          <w:color w:val="000000"/>
          <w:sz w:val="22"/>
          <w:szCs w:val="22"/>
          <w:lang w:val="en-US"/>
        </w:rPr>
        <w:t>Total cells were counted with trypan bleu and stained with the panel CD45 V500 (BD, #560777), Kappa FITC (</w:t>
      </w:r>
      <w:proofErr w:type="spellStart"/>
      <w:r w:rsidRPr="00F47097">
        <w:rPr>
          <w:rFonts w:ascii="Arial" w:hAnsi="Arial" w:cs="Arial"/>
          <w:color w:val="000000"/>
          <w:sz w:val="22"/>
          <w:szCs w:val="22"/>
          <w:lang w:val="en-US"/>
        </w:rPr>
        <w:t>Dako</w:t>
      </w:r>
      <w:proofErr w:type="spellEnd"/>
      <w:r w:rsidRPr="00F47097">
        <w:rPr>
          <w:rFonts w:ascii="Arial" w:hAnsi="Arial" w:cs="Arial"/>
          <w:color w:val="000000"/>
          <w:sz w:val="22"/>
          <w:szCs w:val="22"/>
          <w:lang w:val="en-US"/>
        </w:rPr>
        <w:t>, F0434), CD19 PE-Cy7 (BD, #341113), Lambda PE (</w:t>
      </w:r>
      <w:proofErr w:type="spellStart"/>
      <w:r w:rsidRPr="00F47097">
        <w:rPr>
          <w:rFonts w:ascii="Arial" w:hAnsi="Arial" w:cs="Arial"/>
          <w:color w:val="000000"/>
          <w:sz w:val="22"/>
          <w:szCs w:val="22"/>
          <w:lang w:val="en-US"/>
        </w:rPr>
        <w:t>Dako</w:t>
      </w:r>
      <w:proofErr w:type="spellEnd"/>
      <w:r w:rsidRPr="00F47097">
        <w:rPr>
          <w:rFonts w:ascii="Arial" w:hAnsi="Arial" w:cs="Arial"/>
          <w:color w:val="000000"/>
          <w:sz w:val="22"/>
          <w:szCs w:val="22"/>
          <w:lang w:val="en-US"/>
        </w:rPr>
        <w:t xml:space="preserve">, R0437), CD3 APC-H7 (BD, #641415), CD10 APC (BD, #332777) and CD20 V450 (BD, #655872) and analyzed by flow cytometry (Canto II cytometer, BD </w:t>
      </w:r>
      <w:proofErr w:type="spellStart"/>
      <w:r w:rsidRPr="00F47097">
        <w:rPr>
          <w:rFonts w:ascii="Arial" w:hAnsi="Arial" w:cs="Arial"/>
          <w:color w:val="000000"/>
          <w:sz w:val="22"/>
          <w:szCs w:val="22"/>
          <w:lang w:val="en-US"/>
        </w:rPr>
        <w:t>Pharmigen</w:t>
      </w:r>
      <w:proofErr w:type="spellEnd"/>
      <w:r w:rsidRPr="00F47097">
        <w:rPr>
          <w:rFonts w:ascii="Arial" w:hAnsi="Arial" w:cs="Arial"/>
          <w:color w:val="000000"/>
          <w:sz w:val="22"/>
          <w:szCs w:val="22"/>
          <w:lang w:val="en-US"/>
        </w:rPr>
        <w:t>).</w:t>
      </w:r>
      <w:r>
        <w:rPr>
          <w:rFonts w:ascii="Arial" w:hAnsi="Arial" w:cs="Arial"/>
          <w:color w:val="000000"/>
          <w:sz w:val="22"/>
          <w:szCs w:val="22"/>
          <w:lang w:val="en-US"/>
        </w:rPr>
        <w:t xml:space="preserve"> Malignant</w:t>
      </w:r>
      <w:r w:rsidRPr="0097563E">
        <w:rPr>
          <w:rFonts w:ascii="Arial" w:hAnsi="Arial" w:cs="Arial"/>
          <w:color w:val="000000"/>
          <w:sz w:val="22"/>
          <w:szCs w:val="22"/>
          <w:lang w:val="en-US"/>
        </w:rPr>
        <w:t xml:space="preserve"> cells were </w:t>
      </w:r>
      <w:r>
        <w:rPr>
          <w:rFonts w:ascii="Arial" w:hAnsi="Arial" w:cs="Arial"/>
          <w:color w:val="000000"/>
          <w:sz w:val="22"/>
          <w:szCs w:val="22"/>
          <w:lang w:val="en-US"/>
        </w:rPr>
        <w:t xml:space="preserve">gated on </w:t>
      </w:r>
      <w:r w:rsidRPr="0097563E">
        <w:rPr>
          <w:rFonts w:ascii="Arial" w:hAnsi="Arial" w:cs="Arial"/>
          <w:color w:val="000000"/>
          <w:sz w:val="22"/>
          <w:szCs w:val="22"/>
          <w:lang w:val="en-US"/>
        </w:rPr>
        <w:t>CD19+,</w:t>
      </w:r>
      <w:r>
        <w:rPr>
          <w:rFonts w:ascii="Arial" w:hAnsi="Arial" w:cs="Arial"/>
          <w:color w:val="000000"/>
          <w:sz w:val="22"/>
          <w:szCs w:val="22"/>
          <w:lang w:val="en-US"/>
        </w:rPr>
        <w:t xml:space="preserve"> CD45+, CD20+, Kappa or lambda and non-tumorous</w:t>
      </w:r>
      <w:r w:rsidRPr="0097563E">
        <w:rPr>
          <w:rFonts w:ascii="Arial" w:hAnsi="Arial" w:cs="Arial"/>
          <w:color w:val="000000"/>
          <w:sz w:val="22"/>
          <w:szCs w:val="22"/>
          <w:lang w:val="en-US"/>
        </w:rPr>
        <w:t xml:space="preserve"> population cells were gated on CD45+,CD19-, and T cells on CD45+, CD3+</w:t>
      </w:r>
      <w:r>
        <w:rPr>
          <w:rFonts w:ascii="Arial" w:hAnsi="Arial" w:cs="Arial"/>
          <w:color w:val="000000"/>
          <w:sz w:val="22"/>
          <w:szCs w:val="22"/>
          <w:lang w:val="en-US"/>
        </w:rPr>
        <w:t>, CD19-</w:t>
      </w:r>
      <w:r w:rsidRPr="0097563E">
        <w:rPr>
          <w:rFonts w:ascii="Arial" w:hAnsi="Arial" w:cs="Arial"/>
          <w:color w:val="000000"/>
          <w:sz w:val="22"/>
          <w:szCs w:val="22"/>
          <w:lang w:val="en-US"/>
        </w:rPr>
        <w:t>.</w:t>
      </w:r>
    </w:p>
    <w:p w14:paraId="01F14E27" w14:textId="77777777" w:rsidR="00056BB0" w:rsidRPr="00DB7A05" w:rsidRDefault="00056BB0">
      <w:pPr>
        <w:rPr>
          <w:lang w:val="en-US"/>
        </w:rPr>
      </w:pPr>
    </w:p>
    <w:p w14:paraId="214FE1A6" w14:textId="77777777" w:rsidR="00056BB0" w:rsidRPr="00DB7A05" w:rsidRDefault="00056BB0">
      <w:pPr>
        <w:rPr>
          <w:lang w:val="en-US"/>
        </w:rPr>
      </w:pPr>
    </w:p>
    <w:sectPr w:rsidR="00056BB0" w:rsidRPr="00DB7A05" w:rsidSect="003F32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04900"/>
    <w:multiLevelType w:val="multilevel"/>
    <w:tmpl w:val="7E4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B0"/>
    <w:rsid w:val="00003EA0"/>
    <w:rsid w:val="00056BB0"/>
    <w:rsid w:val="00072034"/>
    <w:rsid w:val="000B5FFF"/>
    <w:rsid w:val="000C71CD"/>
    <w:rsid w:val="000C71F4"/>
    <w:rsid w:val="000C7B31"/>
    <w:rsid w:val="000E0B98"/>
    <w:rsid w:val="000F7E3C"/>
    <w:rsid w:val="00116C8A"/>
    <w:rsid w:val="00122FF1"/>
    <w:rsid w:val="00123865"/>
    <w:rsid w:val="00137088"/>
    <w:rsid w:val="00151FEB"/>
    <w:rsid w:val="001772BF"/>
    <w:rsid w:val="001B2807"/>
    <w:rsid w:val="001B7E78"/>
    <w:rsid w:val="001C7CBB"/>
    <w:rsid w:val="002157F2"/>
    <w:rsid w:val="00226E9E"/>
    <w:rsid w:val="0024627F"/>
    <w:rsid w:val="002761C5"/>
    <w:rsid w:val="00282259"/>
    <w:rsid w:val="00297C17"/>
    <w:rsid w:val="002B3A50"/>
    <w:rsid w:val="002C51F6"/>
    <w:rsid w:val="002E760F"/>
    <w:rsid w:val="00337CB3"/>
    <w:rsid w:val="00356FBB"/>
    <w:rsid w:val="0037631C"/>
    <w:rsid w:val="00386250"/>
    <w:rsid w:val="003C1275"/>
    <w:rsid w:val="003C4BC0"/>
    <w:rsid w:val="003E04C4"/>
    <w:rsid w:val="003F32AA"/>
    <w:rsid w:val="004113A9"/>
    <w:rsid w:val="00441C0B"/>
    <w:rsid w:val="0044464D"/>
    <w:rsid w:val="00467B5E"/>
    <w:rsid w:val="00475B90"/>
    <w:rsid w:val="004D0471"/>
    <w:rsid w:val="00511E59"/>
    <w:rsid w:val="005225A8"/>
    <w:rsid w:val="005350CE"/>
    <w:rsid w:val="005669AB"/>
    <w:rsid w:val="00591620"/>
    <w:rsid w:val="005C0AC9"/>
    <w:rsid w:val="005D3EFD"/>
    <w:rsid w:val="005F4F1C"/>
    <w:rsid w:val="005F7D64"/>
    <w:rsid w:val="006116A8"/>
    <w:rsid w:val="00614097"/>
    <w:rsid w:val="00630456"/>
    <w:rsid w:val="00635193"/>
    <w:rsid w:val="00637AD8"/>
    <w:rsid w:val="006461D8"/>
    <w:rsid w:val="00647666"/>
    <w:rsid w:val="006735DE"/>
    <w:rsid w:val="006B10A2"/>
    <w:rsid w:val="006C0733"/>
    <w:rsid w:val="006E19F2"/>
    <w:rsid w:val="00721F72"/>
    <w:rsid w:val="00743AE9"/>
    <w:rsid w:val="007747D3"/>
    <w:rsid w:val="007B221F"/>
    <w:rsid w:val="007D0ABC"/>
    <w:rsid w:val="007F380E"/>
    <w:rsid w:val="008154E6"/>
    <w:rsid w:val="00827437"/>
    <w:rsid w:val="00845F88"/>
    <w:rsid w:val="0086171B"/>
    <w:rsid w:val="008675B2"/>
    <w:rsid w:val="00867C94"/>
    <w:rsid w:val="00875650"/>
    <w:rsid w:val="008C5DDF"/>
    <w:rsid w:val="008D7027"/>
    <w:rsid w:val="008F1DAF"/>
    <w:rsid w:val="008F5B69"/>
    <w:rsid w:val="00907951"/>
    <w:rsid w:val="00911EDB"/>
    <w:rsid w:val="00915D4D"/>
    <w:rsid w:val="009C100D"/>
    <w:rsid w:val="009D1439"/>
    <w:rsid w:val="009D4954"/>
    <w:rsid w:val="009E103B"/>
    <w:rsid w:val="009F5722"/>
    <w:rsid w:val="00A0391F"/>
    <w:rsid w:val="00A14823"/>
    <w:rsid w:val="00A165CD"/>
    <w:rsid w:val="00A271F0"/>
    <w:rsid w:val="00A303DF"/>
    <w:rsid w:val="00A8694F"/>
    <w:rsid w:val="00AD6357"/>
    <w:rsid w:val="00AE1D13"/>
    <w:rsid w:val="00AE7FB6"/>
    <w:rsid w:val="00B152C9"/>
    <w:rsid w:val="00B17B5E"/>
    <w:rsid w:val="00B21C53"/>
    <w:rsid w:val="00B25DDA"/>
    <w:rsid w:val="00B34E20"/>
    <w:rsid w:val="00B92515"/>
    <w:rsid w:val="00B95243"/>
    <w:rsid w:val="00BB22BE"/>
    <w:rsid w:val="00BD15AD"/>
    <w:rsid w:val="00C045F1"/>
    <w:rsid w:val="00C054A8"/>
    <w:rsid w:val="00C06E6E"/>
    <w:rsid w:val="00C4604B"/>
    <w:rsid w:val="00C80C19"/>
    <w:rsid w:val="00CB0E28"/>
    <w:rsid w:val="00CB7ABE"/>
    <w:rsid w:val="00CF4715"/>
    <w:rsid w:val="00D46C23"/>
    <w:rsid w:val="00D66459"/>
    <w:rsid w:val="00D7122B"/>
    <w:rsid w:val="00D74E01"/>
    <w:rsid w:val="00D9160C"/>
    <w:rsid w:val="00D9197B"/>
    <w:rsid w:val="00D961B0"/>
    <w:rsid w:val="00DB7A05"/>
    <w:rsid w:val="00DC1612"/>
    <w:rsid w:val="00DC51C7"/>
    <w:rsid w:val="00E168DA"/>
    <w:rsid w:val="00E21F5B"/>
    <w:rsid w:val="00E85DD7"/>
    <w:rsid w:val="00EC4018"/>
    <w:rsid w:val="00ED033E"/>
    <w:rsid w:val="00EE7C1B"/>
    <w:rsid w:val="00EF01D8"/>
    <w:rsid w:val="00EF2304"/>
    <w:rsid w:val="00EF5A2F"/>
    <w:rsid w:val="00F01C53"/>
    <w:rsid w:val="00F234EF"/>
    <w:rsid w:val="00F33B70"/>
    <w:rsid w:val="00F37765"/>
    <w:rsid w:val="00F6652F"/>
    <w:rsid w:val="00F739E9"/>
    <w:rsid w:val="00F77D44"/>
    <w:rsid w:val="00F95DAA"/>
    <w:rsid w:val="00FF1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FC9F"/>
  <w15:chartTrackingRefBased/>
  <w15:docId w15:val="{95584757-0E38-8B49-ACE8-0F93765C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56BB0"/>
    <w:rPr>
      <w:rFonts w:ascii="Times New Roman" w:hAnsi="Times New Roman" w:cs="Times New Roman"/>
      <w:sz w:val="18"/>
      <w:szCs w:val="18"/>
    </w:rPr>
  </w:style>
  <w:style w:type="paragraph" w:customStyle="1" w:styleId="follows-h4">
    <w:name w:val="follows-h4"/>
    <w:basedOn w:val="Normal"/>
    <w:rsid w:val="00056BB0"/>
    <w:pPr>
      <w:spacing w:before="100" w:beforeAutospacing="1" w:after="100" w:afterAutospacing="1"/>
    </w:pPr>
    <w:rPr>
      <w:rFonts w:ascii="Times New Roman" w:eastAsia="Times New Roman" w:hAnsi="Times New Roman" w:cs="Times New Roman"/>
      <w:lang w:eastAsia="fr-FR"/>
    </w:rPr>
  </w:style>
  <w:style w:type="character" w:customStyle="1" w:styleId="mb">
    <w:name w:val="mb"/>
    <w:basedOn w:val="Policepardfaut"/>
    <w:rsid w:val="00056BB0"/>
  </w:style>
  <w:style w:type="character" w:styleId="Textedelespacerserv">
    <w:name w:val="Placeholder Text"/>
    <w:basedOn w:val="Policepardfaut"/>
    <w:uiPriority w:val="99"/>
    <w:semiHidden/>
    <w:rsid w:val="000E0B98"/>
    <w:rPr>
      <w:color w:val="808080"/>
    </w:rPr>
  </w:style>
  <w:style w:type="character" w:styleId="Marquedecommentaire">
    <w:name w:val="annotation reference"/>
    <w:basedOn w:val="Policepardfaut"/>
    <w:uiPriority w:val="99"/>
    <w:semiHidden/>
    <w:unhideWhenUsed/>
    <w:rsid w:val="005350CE"/>
    <w:rPr>
      <w:sz w:val="16"/>
      <w:szCs w:val="16"/>
    </w:rPr>
  </w:style>
  <w:style w:type="paragraph" w:styleId="Commentaire">
    <w:name w:val="annotation text"/>
    <w:basedOn w:val="Normal"/>
    <w:link w:val="CommentaireCar"/>
    <w:uiPriority w:val="99"/>
    <w:semiHidden/>
    <w:unhideWhenUsed/>
    <w:rsid w:val="005350CE"/>
    <w:rPr>
      <w:sz w:val="20"/>
      <w:szCs w:val="20"/>
    </w:rPr>
  </w:style>
  <w:style w:type="character" w:customStyle="1" w:styleId="CommentaireCar">
    <w:name w:val="Commentaire Car"/>
    <w:basedOn w:val="Policepardfaut"/>
    <w:link w:val="Commentaire"/>
    <w:uiPriority w:val="99"/>
    <w:semiHidden/>
    <w:rsid w:val="005350CE"/>
    <w:rPr>
      <w:sz w:val="20"/>
      <w:szCs w:val="20"/>
    </w:rPr>
  </w:style>
  <w:style w:type="paragraph" w:styleId="Objetducommentaire">
    <w:name w:val="annotation subject"/>
    <w:basedOn w:val="Commentaire"/>
    <w:next w:val="Commentaire"/>
    <w:link w:val="ObjetducommentaireCar"/>
    <w:uiPriority w:val="99"/>
    <w:semiHidden/>
    <w:unhideWhenUsed/>
    <w:rsid w:val="005350CE"/>
    <w:rPr>
      <w:b/>
      <w:bCs/>
    </w:rPr>
  </w:style>
  <w:style w:type="character" w:customStyle="1" w:styleId="ObjetducommentaireCar">
    <w:name w:val="Objet du commentaire Car"/>
    <w:basedOn w:val="CommentaireCar"/>
    <w:link w:val="Objetducommentaire"/>
    <w:uiPriority w:val="99"/>
    <w:semiHidden/>
    <w:rsid w:val="005350CE"/>
    <w:rPr>
      <w:b/>
      <w:bCs/>
      <w:sz w:val="20"/>
      <w:szCs w:val="20"/>
    </w:rPr>
  </w:style>
  <w:style w:type="character" w:customStyle="1" w:styleId="authors">
    <w:name w:val="authors"/>
    <w:basedOn w:val="Policepardfaut"/>
    <w:rsid w:val="005350CE"/>
  </w:style>
  <w:style w:type="character" w:customStyle="1" w:styleId="apple-converted-space">
    <w:name w:val="apple-converted-space"/>
    <w:basedOn w:val="Policepardfaut"/>
    <w:rsid w:val="005350CE"/>
  </w:style>
  <w:style w:type="character" w:customStyle="1" w:styleId="Titre1">
    <w:name w:val="Titre1"/>
    <w:basedOn w:val="Policepardfaut"/>
    <w:rsid w:val="005350CE"/>
  </w:style>
  <w:style w:type="character" w:customStyle="1" w:styleId="source">
    <w:name w:val="source"/>
    <w:basedOn w:val="Policepardfaut"/>
    <w:rsid w:val="005350CE"/>
  </w:style>
  <w:style w:type="character" w:styleId="Lienhypertexte">
    <w:name w:val="Hyperlink"/>
    <w:basedOn w:val="Policepardfaut"/>
    <w:uiPriority w:val="99"/>
    <w:semiHidden/>
    <w:unhideWhenUsed/>
    <w:rsid w:val="005350CE"/>
    <w:rPr>
      <w:color w:val="0000FF"/>
      <w:u w:val="single"/>
    </w:rPr>
  </w:style>
  <w:style w:type="paragraph" w:styleId="Rvision">
    <w:name w:val="Revision"/>
    <w:hidden/>
    <w:uiPriority w:val="99"/>
    <w:semiHidden/>
    <w:rsid w:val="006B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0120">
      <w:bodyDiv w:val="1"/>
      <w:marLeft w:val="0"/>
      <w:marRight w:val="0"/>
      <w:marTop w:val="0"/>
      <w:marBottom w:val="0"/>
      <w:divBdr>
        <w:top w:val="none" w:sz="0" w:space="0" w:color="auto"/>
        <w:left w:val="none" w:sz="0" w:space="0" w:color="auto"/>
        <w:bottom w:val="none" w:sz="0" w:space="0" w:color="auto"/>
        <w:right w:val="none" w:sz="0" w:space="0" w:color="auto"/>
      </w:divBdr>
    </w:div>
    <w:div w:id="14145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8988</Words>
  <Characters>49440</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Moreaux</dc:creator>
  <cp:keywords/>
  <dc:description/>
  <cp:lastModifiedBy>Jerome Moreaux</cp:lastModifiedBy>
  <cp:revision>4</cp:revision>
  <dcterms:created xsi:type="dcterms:W3CDTF">2021-08-14T15:29:00Z</dcterms:created>
  <dcterms:modified xsi:type="dcterms:W3CDTF">2021-08-14T15:32:00Z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id="PjhV7zAl"/&gt;&lt;style id="http://www.zotero.org/styles/cell" hasBibliography="1" bibliographyStyleHasBeenSet="0"/&gt;&lt;prefs&gt;&lt;pref name="fieldType" value="Field"/&gt;&lt;pref name="automaticJournalAbbreviati</vt:lpwstr>
  </property>
  <property fmtid="{D5CDD505-2E9C-101B-9397-08002B2CF9AE}" pid="3" name="ZOTERO_PREF_2">
    <vt:lpwstr>ons" value="true"/&gt;&lt;/prefs&gt;&lt;/data&gt;</vt:lpwstr>
  </property>
</Properties>
</file>