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DFD6" w14:textId="77777777" w:rsidR="00AB0B9C" w:rsidRDefault="00AB0B9C" w:rsidP="00AB0B9C">
      <w:pPr>
        <w:pStyle w:val="Heading1"/>
      </w:pPr>
      <w:bookmarkStart w:id="0" w:name="_Toc35419912"/>
      <w:r>
        <w:t>Supplementary Information</w:t>
      </w:r>
      <w:bookmarkEnd w:id="0"/>
    </w:p>
    <w:p w14:paraId="682CE729" w14:textId="77777777" w:rsidR="00AB0B9C" w:rsidRDefault="00AB0B9C" w:rsidP="00AB0B9C">
      <w:pPr>
        <w:pStyle w:val="Heading2"/>
      </w:pPr>
      <w:bookmarkStart w:id="1" w:name="_Toc35419913"/>
      <w:r>
        <w:t>Supplementary Methods</w:t>
      </w:r>
      <w:bookmarkEnd w:id="1"/>
    </w:p>
    <w:p w14:paraId="1DAD089B" w14:textId="5B37B69E" w:rsidR="00E73381" w:rsidRPr="00215FA9" w:rsidRDefault="00E73381" w:rsidP="00E73381">
      <w:pPr>
        <w:pStyle w:val="Heading3"/>
      </w:pPr>
      <w:bookmarkStart w:id="2" w:name="_Toc40009148"/>
      <w:r w:rsidRPr="00215FA9">
        <w:t>Reverse</w:t>
      </w:r>
      <w:r w:rsidR="00A05CD4">
        <w:t>-</w:t>
      </w:r>
      <w:r w:rsidRPr="00215FA9">
        <w:t>phase protein array</w:t>
      </w:r>
      <w:bookmarkEnd w:id="2"/>
    </w:p>
    <w:p w14:paraId="122FEDB1" w14:textId="60B62F6C" w:rsidR="00E73381" w:rsidRDefault="00E73381" w:rsidP="00E73381">
      <w:r>
        <w:rPr>
          <w:rFonts w:cs="Times New Roman"/>
          <w:noProof/>
          <w:szCs w:val="24"/>
        </w:rPr>
        <w:t xml:space="preserve">RPPA </w:t>
      </w:r>
      <w:r w:rsidR="00A05CD4">
        <w:rPr>
          <w:rFonts w:cs="Times New Roman"/>
          <w:noProof/>
          <w:szCs w:val="24"/>
        </w:rPr>
        <w:t>technology was used to quantify a panel of proteins and phosphoproteins using</w:t>
      </w:r>
      <w:r w:rsidR="00CC537A">
        <w:rPr>
          <w:rFonts w:cs="Times New Roman"/>
          <w:noProof/>
          <w:szCs w:val="24"/>
        </w:rPr>
        <w:t xml:space="preserve"> a set of 127 antibodies</w:t>
      </w:r>
      <w:r w:rsidR="002302E1">
        <w:rPr>
          <w:rFonts w:cs="Times New Roman"/>
          <w:noProof/>
          <w:szCs w:val="24"/>
        </w:rPr>
        <w:t xml:space="preserve"> </w:t>
      </w:r>
      <w:r w:rsidR="008E0E2B" w:rsidRPr="002302E1">
        <w:rPr>
          <w:rFonts w:cs="Times New Roman"/>
          <w:noProof/>
          <w:szCs w:val="24"/>
        </w:rPr>
        <w:t>(</w:t>
      </w:r>
      <w:r w:rsidR="00CC537A" w:rsidRPr="002302E1">
        <w:rPr>
          <w:rFonts w:cs="Times New Roman"/>
          <w:noProof/>
          <w:szCs w:val="24"/>
        </w:rPr>
        <w:fldChar w:fldCharType="begin" w:fldLock="1"/>
      </w:r>
      <w:r w:rsidR="00CC537A" w:rsidRPr="002302E1">
        <w:rPr>
          <w:rFonts w:cs="Times New Roman"/>
          <w:noProof/>
          <w:szCs w:val="24"/>
        </w:rPr>
        <w:instrText xml:space="preserve"> ADDIN PAPERS2_CITATIONS &lt;citation&gt;&lt;uuid&gt;8D567128-C061-4A94-A505-6CE8793E3620&lt;/uuid&gt;&lt;priority&gt;0&lt;/priority&gt;&lt;publications&gt;&lt;publication&gt;&lt;doi&gt;10.1007/978-1-4939-7201-2_10&lt;/doi&gt;&lt;publication_date&gt;99201700000000000000200000&lt;/publication_date&gt;&lt;startpage&gt;153&lt;/startpage&gt;&lt;subtype&gt;400&lt;/subtype&gt;&lt;title&gt;Reverse Phase Protein Arrays and Drug Discovery&lt;/title&gt;&lt;type&gt;400&lt;/type&gt;&lt;uuid&gt;6ca9d5bf-01af-4707-b9da-3e840d0fb1bf&lt;/uuid&gt;&lt;authors&gt;&lt;author&gt;&lt;lastName&gt;Macleod&lt;/lastName&gt;&lt;firstName&gt;Kenneth&lt;/firstName&gt;&lt;middleNames&gt;G&lt;/middleNames&gt;&lt;/author&gt;&lt;author&gt;&lt;lastName&gt;Serrels&lt;/lastName&gt;&lt;firstName&gt;Bryan&lt;/firstName&gt;&lt;/author&gt;&lt;author&gt;&lt;lastName&gt;Carragher&lt;/lastName&gt;&lt;firstName&gt;Neil&lt;/firstName&gt;&lt;middleNames&gt;O&lt;/middleNames&gt;&lt;/author&gt;&lt;/authors&gt;&lt;editors /&gt;&lt;translators /&gt;&lt;photographers /&gt;&lt;livfe_id /&gt;&lt;citekey&gt;Macleod:2017en&lt;/citekey&gt;&lt;subtitle p4:nil="true" xmlns:p4="http://www.w3.org/2001/XMLSchema-instance" /&gt;&lt;submission_date /&gt;&lt;revision_date /&gt;&lt;accepted_date /&gt;&lt;is_bundle&gt;0&lt;/is_bundle&gt;&lt;bundle&gt;&lt;type&gt;-100&lt;/type&gt;&lt;subtype&gt;-100&lt;/subtype&gt;&lt;livfeID /&gt;&lt;citekey&gt;Anonymous:vu&lt;/citekey&gt;&lt;title&gt;Methods in Molecular Biology&lt;/title&gt;&lt;/bundle&gt;&lt;url&gt;10.1136/bmj.319.7201.10a&lt;/url&gt;&lt;/publication&gt;&lt;/publications&gt;&lt;cites /&gt;&lt;/citation&gt;</w:instrText>
      </w:r>
      <w:r w:rsidR="00CC537A" w:rsidRPr="002302E1">
        <w:rPr>
          <w:rFonts w:cs="Times New Roman"/>
          <w:noProof/>
          <w:szCs w:val="24"/>
        </w:rPr>
        <w:fldChar w:fldCharType="separate"/>
      </w:r>
      <w:r w:rsidR="00CC537A" w:rsidRPr="002302E1">
        <w:rPr>
          <w:rFonts w:cs="Times New Roman"/>
          <w:noProof/>
          <w:szCs w:val="24"/>
        </w:rPr>
        <w:t>1</w:t>
      </w:r>
      <w:r w:rsidR="00CC537A" w:rsidRPr="002302E1">
        <w:rPr>
          <w:rFonts w:cs="Times New Roman"/>
          <w:noProof/>
          <w:szCs w:val="24"/>
        </w:rPr>
        <w:fldChar w:fldCharType="end"/>
      </w:r>
      <w:r w:rsidR="008E0E2B" w:rsidRPr="002302E1">
        <w:rPr>
          <w:rFonts w:cs="Times New Roman"/>
          <w:noProof/>
          <w:szCs w:val="24"/>
        </w:rPr>
        <w:t>)</w:t>
      </w:r>
      <w:r w:rsidRPr="002302E1">
        <w:rPr>
          <w:rFonts w:cs="Times New Roman"/>
          <w:noProof/>
          <w:szCs w:val="24"/>
        </w:rPr>
        <w:t>.</w:t>
      </w:r>
      <w:r w:rsidRPr="007154DF">
        <w:rPr>
          <w:rFonts w:cs="Times New Roman"/>
          <w:noProof/>
          <w:szCs w:val="24"/>
        </w:rPr>
        <w:t xml:space="preserve"> </w:t>
      </w:r>
      <w:r w:rsidRPr="007154DF">
        <w:t xml:space="preserve">MDA-MB-231 </w:t>
      </w:r>
      <w:r w:rsidR="001C3DE7">
        <w:t xml:space="preserve">(PX459v2 or ILK gRNA 2) or </w:t>
      </w:r>
      <w:r>
        <w:rPr>
          <w:rFonts w:cs="Times New Roman"/>
          <w:noProof/>
          <w:szCs w:val="24"/>
        </w:rPr>
        <w:t xml:space="preserve">MCF-7 </w:t>
      </w:r>
      <w:r>
        <w:t xml:space="preserve">cells were seeded in 10 cm dishes and grown for 48 </w:t>
      </w:r>
      <w:r w:rsidR="00B9798B">
        <w:t>h</w:t>
      </w:r>
      <w:r>
        <w:t xml:space="preserve"> before </w:t>
      </w:r>
      <w:r w:rsidR="001C3DE7">
        <w:t xml:space="preserve">treating with drug </w:t>
      </w:r>
      <w:r>
        <w:t xml:space="preserve">for 24 </w:t>
      </w:r>
      <w:r w:rsidR="00B9798B">
        <w:t>h</w:t>
      </w:r>
      <w:r>
        <w:t>.</w:t>
      </w:r>
      <w:r w:rsidRPr="007154DF">
        <w:t xml:space="preserve"> </w:t>
      </w:r>
      <w:r>
        <w:t>S</w:t>
      </w:r>
      <w:r w:rsidRPr="00E967E8">
        <w:t xml:space="preserve">amples were lysed </w:t>
      </w:r>
      <w:r>
        <w:t>using</w:t>
      </w:r>
      <w:r w:rsidRPr="00E967E8">
        <w:t xml:space="preserve"> RIPA buffer </w:t>
      </w:r>
      <w:r>
        <w:t xml:space="preserve">with </w:t>
      </w:r>
      <w:r w:rsidR="001842A2">
        <w:t>cO</w:t>
      </w:r>
      <w:r>
        <w:t xml:space="preserve">mplete Mini and </w:t>
      </w:r>
      <w:r w:rsidR="001842A2">
        <w:t>P</w:t>
      </w:r>
      <w:r>
        <w:t>hosSTOP tablets (Roche)</w:t>
      </w:r>
      <w:r w:rsidRPr="00E967E8">
        <w:t xml:space="preserve">. RPPA was performed on the Zeptosens platform. Three </w:t>
      </w:r>
      <w:r>
        <w:t>technical replicates each with four</w:t>
      </w:r>
      <w:r w:rsidRPr="00E967E8">
        <w:t xml:space="preserve"> serial dilutions were analyse</w:t>
      </w:r>
      <w:r w:rsidRPr="00991B09">
        <w:t xml:space="preserve">d. </w:t>
      </w:r>
      <w:r>
        <w:t xml:space="preserve">Microarray images </w:t>
      </w:r>
      <w:r w:rsidR="001842A2">
        <w:t>we</w:t>
      </w:r>
      <w:r>
        <w:t xml:space="preserve">re analysed using Mapix software (Innopsys). </w:t>
      </w:r>
      <w:r w:rsidRPr="00991B09">
        <w:t xml:space="preserve">Antibodies were detected by fluorescence and </w:t>
      </w:r>
      <w:r>
        <w:t xml:space="preserve">normalised to on-chip total protein concentrations using </w:t>
      </w:r>
      <w:r w:rsidR="001842A2">
        <w:t>F</w:t>
      </w:r>
      <w:r>
        <w:t>ast</w:t>
      </w:r>
      <w:r w:rsidR="001842A2">
        <w:t xml:space="preserve"> G</w:t>
      </w:r>
      <w:r>
        <w:t>reen</w:t>
      </w:r>
      <w:r w:rsidR="001842A2">
        <w:t xml:space="preserve"> FCF</w:t>
      </w:r>
      <w:r>
        <w:t xml:space="preserve">. Antibodies were excluded if the </w:t>
      </w:r>
      <w:r w:rsidRPr="00991B09">
        <w:t xml:space="preserve">background </w:t>
      </w:r>
      <w:r>
        <w:t>raw fluorescence intensity was less than</w:t>
      </w:r>
      <w:r w:rsidRPr="00991B09">
        <w:t xml:space="preserve"> 0.0</w:t>
      </w:r>
      <w:r>
        <w:t>2</w:t>
      </w:r>
      <w:r w:rsidRPr="00991B09">
        <w:t xml:space="preserve">5, </w:t>
      </w:r>
      <w:r>
        <w:t xml:space="preserve">leaving </w:t>
      </w:r>
      <w:r w:rsidRPr="00991B09">
        <w:t xml:space="preserve">a total </w:t>
      </w:r>
      <w:r w:rsidRPr="00596764">
        <w:t>of 125 antibodies</w:t>
      </w:r>
      <w:r w:rsidR="001842A2">
        <w:t xml:space="preserve"> for further analysis</w:t>
      </w:r>
      <w:r w:rsidRPr="00596764">
        <w:t>. Data was then corrected for mouse seconda</w:t>
      </w:r>
      <w:r>
        <w:t>ry fluorescence signal and</w:t>
      </w:r>
      <w:r w:rsidRPr="00991B09">
        <w:t xml:space="preserve"> median-adjusted</w:t>
      </w:r>
      <w:r w:rsidRPr="00596764">
        <w:t xml:space="preserve">. Hierarchical </w:t>
      </w:r>
      <w:r w:rsidRPr="00991B09">
        <w:t>clustering analysis (Euclidian distance, complete linkage) was performed in R</w:t>
      </w:r>
      <w:r>
        <w:rPr>
          <w:color w:val="ED7D31" w:themeColor="accent2"/>
        </w:rPr>
        <w:t xml:space="preserve"> </w:t>
      </w:r>
      <w:r w:rsidRPr="00922759">
        <w:t>(</w:t>
      </w:r>
      <w:r w:rsidRPr="001E296D">
        <w:t>www.rstudio.com</w:t>
      </w:r>
      <w:r w:rsidRPr="00922759">
        <w:t>).</w:t>
      </w:r>
    </w:p>
    <w:p w14:paraId="53BE486F" w14:textId="7978328F" w:rsidR="00116A6F" w:rsidRPr="001B0B4A" w:rsidRDefault="00116A6F" w:rsidP="00116A6F">
      <w:pPr>
        <w:pStyle w:val="Heading3"/>
      </w:pPr>
      <w:r>
        <w:t>Immunofluorescen</w:t>
      </w:r>
      <w:r w:rsidR="00526FF5">
        <w:t>ce</w:t>
      </w:r>
      <w:r>
        <w:t xml:space="preserve"> microscopy</w:t>
      </w:r>
    </w:p>
    <w:p w14:paraId="45EDBFD0" w14:textId="058CC649" w:rsidR="00116A6F" w:rsidRDefault="00116A6F" w:rsidP="00116A6F">
      <w:r>
        <w:t xml:space="preserve">Cells were grown on glass coverslips for 24 </w:t>
      </w:r>
      <w:r w:rsidR="00B9798B">
        <w:t>h</w:t>
      </w:r>
      <w:r>
        <w:t>, treated with either DMSO or 0.9</w:t>
      </w:r>
      <w:r w:rsidRPr="00F87932">
        <w:t xml:space="preserve"> µM</w:t>
      </w:r>
      <w:r>
        <w:rPr>
          <w:i/>
        </w:rPr>
        <w:t xml:space="preserve"> </w:t>
      </w:r>
      <w:r>
        <w:t>bosutinib for 24 h, and fixed for 10 min (4% formaldehyde, 100 mM PIPES pH 6.8, 10 mM EGTA pH 8.0, 1 mM MgCl</w:t>
      </w:r>
      <w:r w:rsidRPr="00547BD6">
        <w:rPr>
          <w:vertAlign w:val="subscript"/>
        </w:rPr>
        <w:t>2</w:t>
      </w:r>
      <w:r>
        <w:t>, 0.2% Triton X-100). Cells were washed twice in TBS supplemented with 0.1% Triton X-100 (TBS-Tx), formaldehyde was quenc</w:t>
      </w:r>
      <w:r w:rsidR="00526FF5">
        <w:t>h</w:t>
      </w:r>
      <w:r>
        <w:t>ed for 10 min with 0.1 M glycine, and cells were washed a further two times in TBS-Tx before blocking in TBS-Tx with 2% BSA (TBS-Tx-Block) for 1 h at room temperature. Primary antibodies were diluted in TBS-Tx-Block and incubated with cells overnight at 4 ºC, followed by a further 3 washes in TBS-Tx for 5 min with gentle agitation. Alexa Fluor 488</w:t>
      </w:r>
      <w:r w:rsidR="00526FF5">
        <w:t>-</w:t>
      </w:r>
      <w:r>
        <w:t xml:space="preserve"> and Alexa Fluor 568-conjugated antibodies and Phalloidin-Atto647N were diluted 1:400 in TBS-Tx-Block and incubated with cells for 45 min </w:t>
      </w:r>
      <w:r w:rsidR="00CF3DF4">
        <w:t xml:space="preserve">in the dark </w:t>
      </w:r>
      <w:r>
        <w:t>at room temperature. Antibodies used were: ILK (Abcam #76468); Paxillin (BD #610051 and Abcam #</w:t>
      </w:r>
      <w:r w:rsidRPr="009D4ED9">
        <w:rPr>
          <w:rFonts w:cs="Times New Roman"/>
          <w:szCs w:val="24"/>
        </w:rPr>
        <w:t xml:space="preserve">ab32115); </w:t>
      </w:r>
      <w:r w:rsidR="009D4ED9" w:rsidRPr="00061515">
        <w:rPr>
          <w:rFonts w:eastAsia="Times New Roman" w:cs="Times New Roman"/>
          <w:color w:val="000000"/>
          <w:szCs w:val="24"/>
        </w:rPr>
        <w:t>pY118</w:t>
      </w:r>
      <w:r w:rsidR="009D4ED9" w:rsidRPr="009D4ED9">
        <w:rPr>
          <w:rFonts w:eastAsia="Times New Roman" w:cs="Times New Roman"/>
          <w:color w:val="000000"/>
          <w:szCs w:val="24"/>
        </w:rPr>
        <w:t>-paxillin (</w:t>
      </w:r>
      <w:r w:rsidR="009D4ED9" w:rsidRPr="00061515">
        <w:rPr>
          <w:rFonts w:eastAsia="Times New Roman" w:cs="Times New Roman"/>
          <w:color w:val="000000"/>
          <w:szCs w:val="24"/>
        </w:rPr>
        <w:t xml:space="preserve">Invitrogen </w:t>
      </w:r>
      <w:r w:rsidR="009D4ED9" w:rsidRPr="009D4ED9">
        <w:rPr>
          <w:rFonts w:eastAsia="Times New Roman" w:cs="Times New Roman"/>
          <w:color w:val="000000"/>
          <w:szCs w:val="24"/>
        </w:rPr>
        <w:t>#</w:t>
      </w:r>
      <w:r w:rsidR="009D4ED9" w:rsidRPr="00061515">
        <w:rPr>
          <w:rFonts w:eastAsia="Times New Roman" w:cs="Times New Roman"/>
          <w:color w:val="000000"/>
          <w:szCs w:val="24"/>
        </w:rPr>
        <w:t>44-722G</w:t>
      </w:r>
      <w:r w:rsidR="009D4ED9" w:rsidRPr="009D4ED9">
        <w:rPr>
          <w:rFonts w:eastAsia="Times New Roman" w:cs="Times New Roman"/>
          <w:color w:val="000000"/>
          <w:szCs w:val="24"/>
        </w:rPr>
        <w:t>);</w:t>
      </w:r>
      <w:r w:rsidR="009D4ED9" w:rsidRPr="00061515">
        <w:rPr>
          <w:rFonts w:eastAsia="Times New Roman" w:cs="Times New Roman"/>
          <w:color w:val="000000"/>
          <w:szCs w:val="24"/>
        </w:rPr>
        <w:t xml:space="preserve"> </w:t>
      </w:r>
      <w:r w:rsidR="009D4ED9">
        <w:rPr>
          <w:rFonts w:eastAsia="Times New Roman" w:cs="Times New Roman"/>
          <w:color w:val="000000"/>
          <w:szCs w:val="24"/>
        </w:rPr>
        <w:t>Phosphotyrosine (</w:t>
      </w:r>
      <w:r w:rsidR="009D4ED9" w:rsidRPr="00061515">
        <w:rPr>
          <w:rFonts w:eastAsia="Times New Roman" w:cs="Times New Roman"/>
          <w:color w:val="000000"/>
          <w:szCs w:val="24"/>
        </w:rPr>
        <w:t xml:space="preserve">BD </w:t>
      </w:r>
      <w:r w:rsidR="009D4ED9">
        <w:rPr>
          <w:rFonts w:eastAsia="Times New Roman" w:cs="Times New Roman"/>
          <w:color w:val="000000"/>
          <w:szCs w:val="24"/>
        </w:rPr>
        <w:t>#</w:t>
      </w:r>
      <w:r w:rsidR="009D4ED9" w:rsidRPr="00061515">
        <w:rPr>
          <w:rFonts w:eastAsia="Times New Roman" w:cs="Times New Roman"/>
          <w:color w:val="000000"/>
          <w:szCs w:val="24"/>
        </w:rPr>
        <w:t>610000</w:t>
      </w:r>
      <w:r w:rsidR="009D4ED9">
        <w:rPr>
          <w:rFonts w:eastAsia="Times New Roman" w:cs="Times New Roman"/>
          <w:color w:val="000000"/>
          <w:szCs w:val="24"/>
        </w:rPr>
        <w:t>);</w:t>
      </w:r>
      <w:r w:rsidR="009D4ED9" w:rsidRPr="00061515">
        <w:rPr>
          <w:rFonts w:eastAsia="Times New Roman" w:cs="Times New Roman"/>
          <w:color w:val="000000"/>
          <w:szCs w:val="24"/>
        </w:rPr>
        <w:t xml:space="preserve"> </w:t>
      </w:r>
      <w:r w:rsidRPr="009D4ED9">
        <w:rPr>
          <w:rFonts w:cs="Times New Roman"/>
          <w:szCs w:val="24"/>
        </w:rPr>
        <w:t>Chicken</w:t>
      </w:r>
      <w:r>
        <w:t xml:space="preserve"> anti-mouse Alexa Fluor 488 (Invitrogen #A21200); Goat anti-rabbit Alexa Fluor 488 (Invitrogen #A11008); Goat anti-mouse Alexa Fluor 568 (Invitrogen #A11004); Goat anti-rabbit Alexa Fluor 568 (Invitrogen #A11011); Phalloidin Atto647N (Sigma #65906). Finally, cells were washed a further three times in TBS-Tx for 5 min, rinsed with dH</w:t>
      </w:r>
      <w:r w:rsidRPr="00A26820">
        <w:rPr>
          <w:vertAlign w:val="subscript"/>
        </w:rPr>
        <w:t>2</w:t>
      </w:r>
      <w:r>
        <w:t>O, and mounted with ProLong Glass Antifade Mountant (Invitrogen #P36981). Cells were imaged on a Nikon A1R confocal microscope with a 100</w:t>
      </w:r>
      <w:r w:rsidR="00526FF5">
        <w:t>×</w:t>
      </w:r>
      <w:r>
        <w:t xml:space="preserve"> objective using NIS-Elements (v5.2). For adhesion length measurements, focal adhesions were defined as sites at the cell periphery enriched for paxillin staining with an area between 0.2 µm</w:t>
      </w:r>
      <w:r w:rsidRPr="001D6D7F">
        <w:rPr>
          <w:vertAlign w:val="superscript"/>
        </w:rPr>
        <w:t>2</w:t>
      </w:r>
      <w:r>
        <w:t xml:space="preserve"> and 5</w:t>
      </w:r>
      <w:r w:rsidR="00526FF5">
        <w:t xml:space="preserve"> </w:t>
      </w:r>
      <w:r>
        <w:t>µm</w:t>
      </w:r>
      <w:r w:rsidRPr="001D6D7F">
        <w:rPr>
          <w:vertAlign w:val="superscript"/>
        </w:rPr>
        <w:t>2</w:t>
      </w:r>
      <w:r>
        <w:t>. Focal adhesion length was assessed by Feret diameter. Images were processed and measurements made in ImageJ (v2.1.0). Data were plotted and statistical analyses performed in GraphPad Prism (v9.0.0).</w:t>
      </w:r>
    </w:p>
    <w:p w14:paraId="65CE69AC" w14:textId="77777777" w:rsidR="009D4ED9" w:rsidRPr="00061515" w:rsidRDefault="009D4ED9" w:rsidP="009D4ED9">
      <w:pPr>
        <w:spacing w:after="0" w:line="240" w:lineRule="auto"/>
        <w:rPr>
          <w:rFonts w:ascii="Calibri" w:eastAsia="Times New Roman" w:hAnsi="Calibri" w:cs="Calibri"/>
          <w:color w:val="000000"/>
          <w:sz w:val="20"/>
          <w:szCs w:val="20"/>
        </w:rPr>
      </w:pPr>
    </w:p>
    <w:p w14:paraId="2FBA9DCA" w14:textId="77777777" w:rsidR="004D2AC9" w:rsidRDefault="004D2AC9" w:rsidP="004D2AC9">
      <w:pPr>
        <w:pStyle w:val="Heading3"/>
      </w:pPr>
      <w:r w:rsidRPr="004D2AC9">
        <w:lastRenderedPageBreak/>
        <w:t>Immunoprecipitation</w:t>
      </w:r>
    </w:p>
    <w:p w14:paraId="197C1659" w14:textId="72708738" w:rsidR="004D2AC9" w:rsidRDefault="004D2AC9" w:rsidP="004D2AC9">
      <w:r>
        <w:t xml:space="preserve">PX459v2 and ILK gRNA 2 cells were seeded in 150 cm dishes (2x10^6 cells) and left to attach for 48 h. Cells were washed twice with PBS before lysis with RIPA buffer. Protein concentration was determined using Pierce BCA assay. Immunoprecipitations were set up with 1 mg/mL protein, 20 </w:t>
      </w:r>
      <w:r w:rsidRPr="00F87932">
        <w:t>µ</w:t>
      </w:r>
      <w:r w:rsidRPr="00CF3138">
        <w:t>L</w:t>
      </w:r>
      <w:r>
        <w:t xml:space="preserve"> of Dynabead protein A and 2 </w:t>
      </w:r>
      <w:r w:rsidRPr="00F87932">
        <w:t>µ</w:t>
      </w:r>
      <w:r>
        <w:t>g of Src antibody (Cell Signalling #2109) or an appropriate amount of rabbit IgG. The immunoprecipitations were incubated overnight at 4</w:t>
      </w:r>
      <w:r>
        <w:rPr>
          <w:vertAlign w:val="superscript"/>
        </w:rPr>
        <w:t>o</w:t>
      </w:r>
      <w:r>
        <w:t>C with rotation. The following day the dynabeads were washed twice with RIPA lysis buffer and three times with PBS before direct elution from the beads. The beads were then separated using the magnetic rack before lysates analysed for p-FAK Y397 (BD #611806), FAK (BD #610087) and SRC (CST #2109) by standard Western blot.</w:t>
      </w:r>
    </w:p>
    <w:p w14:paraId="4CE46135" w14:textId="77777777" w:rsidR="001D7C39" w:rsidRPr="00791AE5" w:rsidRDefault="001D7C39" w:rsidP="001D7C39">
      <w:pPr>
        <w:pStyle w:val="Heading3"/>
        <w:rPr>
          <w:color w:val="auto"/>
        </w:rPr>
      </w:pPr>
      <w:r w:rsidRPr="00791AE5">
        <w:rPr>
          <w:color w:val="auto"/>
        </w:rPr>
        <w:t>siRNA targeting ILK</w:t>
      </w:r>
    </w:p>
    <w:p w14:paraId="70721581" w14:textId="2049BD6B" w:rsidR="00791AE5" w:rsidRDefault="00791AE5" w:rsidP="00791AE5">
      <w:pPr>
        <w:rPr>
          <w:rFonts w:eastAsia="Times New Roman" w:cs="Times New Roman"/>
          <w:color w:val="000000"/>
        </w:rPr>
      </w:pPr>
      <w:r w:rsidRPr="006D1F2E">
        <w:rPr>
          <w:szCs w:val="24"/>
        </w:rPr>
        <w:t xml:space="preserve">A reverse transfection was carried out. </w:t>
      </w:r>
      <w:r w:rsidR="006D1F2E">
        <w:rPr>
          <w:szCs w:val="24"/>
        </w:rPr>
        <w:t>A mastermix of</w:t>
      </w:r>
      <w:r w:rsidRPr="006D1F2E">
        <w:rPr>
          <w:szCs w:val="24"/>
        </w:rPr>
        <w:t xml:space="preserve"> </w:t>
      </w:r>
      <w:r w:rsidRPr="00A33D4A">
        <w:t>20</w:t>
      </w:r>
      <w:r w:rsidR="00251B63">
        <w:t xml:space="preserve"> or 40</w:t>
      </w:r>
      <w:r w:rsidRPr="00A33D4A">
        <w:t xml:space="preserve"> nM siILK</w:t>
      </w:r>
      <w:r>
        <w:t xml:space="preserve"> (</w:t>
      </w:r>
      <w:r w:rsidRPr="00CF3138">
        <w:t xml:space="preserve">siGENOME, Human </w:t>
      </w:r>
      <w:r>
        <w:t>ILK</w:t>
      </w:r>
      <w:r w:rsidRPr="00CF3138">
        <w:t xml:space="preserve">, SMARTpool), </w:t>
      </w:r>
      <w:r>
        <w:t>or non-silencing control (</w:t>
      </w:r>
      <w:r w:rsidRPr="00CF3138">
        <w:t>All-stars non</w:t>
      </w:r>
      <w:r w:rsidR="003E1AF4">
        <w:t>-</w:t>
      </w:r>
      <w:r w:rsidRPr="00CF3138">
        <w:t>silencing</w:t>
      </w:r>
      <w:r>
        <w:t>)</w:t>
      </w:r>
      <w:r w:rsidRPr="00CF3138">
        <w:t xml:space="preserve"> </w:t>
      </w:r>
      <w:r w:rsidR="006D1F2E">
        <w:t>and</w:t>
      </w:r>
      <w:r>
        <w:t xml:space="preserve"> </w:t>
      </w:r>
      <w:r w:rsidRPr="00CF3138">
        <w:t>0</w:t>
      </w:r>
      <w:r>
        <w:t xml:space="preserve">.15 </w:t>
      </w:r>
      <w:r w:rsidRPr="00F87932">
        <w:t>µ</w:t>
      </w:r>
      <w:r w:rsidRPr="00CF3138">
        <w:t xml:space="preserve">L </w:t>
      </w:r>
      <w:r w:rsidR="003E1AF4" w:rsidRPr="006D1F2E">
        <w:t>Lipofectamine RNAiMAX Reagent</w:t>
      </w:r>
      <w:r w:rsidR="006D1F2E" w:rsidRPr="006D1F2E">
        <w:t xml:space="preserve"> in Opti-MEM I Reduced Serum Medium</w:t>
      </w:r>
      <w:r w:rsidR="006D1F2E">
        <w:t xml:space="preserve"> was </w:t>
      </w:r>
      <w:r w:rsidR="00BF4CE7">
        <w:t>added to</w:t>
      </w:r>
      <w:r w:rsidR="00BF4CE7">
        <w:rPr>
          <w:szCs w:val="24"/>
        </w:rPr>
        <w:t xml:space="preserve"> </w:t>
      </w:r>
      <w:r w:rsidR="00BF4CE7" w:rsidRPr="006D1F2E">
        <w:rPr>
          <w:szCs w:val="24"/>
        </w:rPr>
        <w:t>96-well plates</w:t>
      </w:r>
      <w:r w:rsidR="00BF4CE7">
        <w:rPr>
          <w:szCs w:val="24"/>
        </w:rPr>
        <w:t xml:space="preserve"> </w:t>
      </w:r>
      <w:r w:rsidR="006D1F2E">
        <w:t>and left for 20 min RT</w:t>
      </w:r>
      <w:r>
        <w:rPr>
          <w:lang w:val="en-US"/>
        </w:rPr>
        <w:t>.</w:t>
      </w:r>
      <w:r w:rsidR="006D1F2E">
        <w:rPr>
          <w:lang w:val="en-US"/>
        </w:rPr>
        <w:t xml:space="preserve"> </w:t>
      </w:r>
      <w:r w:rsidR="006D1F2E" w:rsidRPr="006D1F2E">
        <w:rPr>
          <w:szCs w:val="24"/>
        </w:rPr>
        <w:t xml:space="preserve">Cells </w:t>
      </w:r>
      <w:r w:rsidR="00BF4CE7">
        <w:rPr>
          <w:szCs w:val="24"/>
        </w:rPr>
        <w:t>in complete media</w:t>
      </w:r>
      <w:r w:rsidR="00BF4CE7" w:rsidRPr="006D1F2E">
        <w:rPr>
          <w:szCs w:val="24"/>
        </w:rPr>
        <w:t xml:space="preserve"> </w:t>
      </w:r>
      <w:r w:rsidR="006D1F2E" w:rsidRPr="006D1F2E">
        <w:rPr>
          <w:szCs w:val="24"/>
        </w:rPr>
        <w:t>we</w:t>
      </w:r>
      <w:r w:rsidR="00BF4CE7">
        <w:rPr>
          <w:szCs w:val="24"/>
        </w:rPr>
        <w:t>re</w:t>
      </w:r>
      <w:r w:rsidR="006D1F2E" w:rsidRPr="006D1F2E">
        <w:rPr>
          <w:szCs w:val="24"/>
        </w:rPr>
        <w:t xml:space="preserve"> </w:t>
      </w:r>
      <w:r w:rsidR="006D1F2E">
        <w:rPr>
          <w:szCs w:val="24"/>
        </w:rPr>
        <w:t xml:space="preserve">then </w:t>
      </w:r>
      <w:r w:rsidR="00BF4CE7">
        <w:rPr>
          <w:szCs w:val="24"/>
        </w:rPr>
        <w:t>added to the mastermix</w:t>
      </w:r>
      <w:r w:rsidR="006D1F2E">
        <w:rPr>
          <w:szCs w:val="24"/>
        </w:rPr>
        <w:t>.</w:t>
      </w:r>
      <w:r>
        <w:rPr>
          <w:lang w:val="en-US"/>
        </w:rPr>
        <w:t xml:space="preserve"> 24 </w:t>
      </w:r>
      <w:r w:rsidR="00B9798B">
        <w:rPr>
          <w:lang w:val="en-US"/>
        </w:rPr>
        <w:t>h</w:t>
      </w:r>
      <w:r>
        <w:rPr>
          <w:lang w:val="en-US"/>
        </w:rPr>
        <w:t xml:space="preserve"> later media was changed to remove RNAiMAX and increase viability. At 48 </w:t>
      </w:r>
      <w:r w:rsidR="00B9798B">
        <w:rPr>
          <w:lang w:val="en-US"/>
        </w:rPr>
        <w:t>h</w:t>
      </w:r>
      <w:r>
        <w:rPr>
          <w:lang w:val="en-US"/>
        </w:rPr>
        <w:t xml:space="preserve"> post seeding, bosutinib was added since we know from western blotting that by 48 </w:t>
      </w:r>
      <w:r w:rsidR="00B9798B">
        <w:rPr>
          <w:lang w:val="en-US"/>
        </w:rPr>
        <w:t>h</w:t>
      </w:r>
      <w:r>
        <w:rPr>
          <w:lang w:val="en-US"/>
        </w:rPr>
        <w:t xml:space="preserve"> there was ~90% knockdown in </w:t>
      </w:r>
      <w:r w:rsidRPr="00791AE5">
        <w:rPr>
          <w:lang w:val="en-US"/>
        </w:rPr>
        <w:t xml:space="preserve">ILK </w:t>
      </w:r>
      <w:r>
        <w:rPr>
          <w:lang w:val="en-US"/>
        </w:rPr>
        <w:t>protein expression.</w:t>
      </w:r>
      <w:r w:rsidRPr="00CF3138">
        <w:t xml:space="preserve"> </w:t>
      </w:r>
      <w:r w:rsidR="00411AE5">
        <w:t xml:space="preserve">Cell viability was determined </w:t>
      </w:r>
      <w:r w:rsidR="00411AE5">
        <w:rPr>
          <w:rFonts w:eastAsia="Times New Roman" w:cs="Times New Roman"/>
          <w:color w:val="000000"/>
        </w:rPr>
        <w:t>48 h post drug</w:t>
      </w:r>
      <w:r w:rsidR="00251B63">
        <w:rPr>
          <w:rFonts w:eastAsia="Times New Roman" w:cs="Times New Roman"/>
          <w:color w:val="000000"/>
        </w:rPr>
        <w:t xml:space="preserve"> treatment</w:t>
      </w:r>
      <w:r w:rsidR="00411AE5">
        <w:rPr>
          <w:rFonts w:eastAsia="Times New Roman" w:cs="Times New Roman"/>
          <w:color w:val="000000"/>
        </w:rPr>
        <w:t>.</w:t>
      </w:r>
    </w:p>
    <w:p w14:paraId="63AFDB3D" w14:textId="77777777" w:rsidR="00B869CB" w:rsidRDefault="00B869CB" w:rsidP="00B869CB">
      <w:pPr>
        <w:pStyle w:val="Heading3"/>
      </w:pPr>
      <w:r>
        <w:t>Quantification of western blots</w:t>
      </w:r>
    </w:p>
    <w:p w14:paraId="6C7AAA38" w14:textId="6B1681F3" w:rsidR="002051E6" w:rsidRPr="002051E6" w:rsidRDefault="006C43C5" w:rsidP="002051E6">
      <w:r>
        <w:rPr>
          <w:lang w:val="en-NZ" w:eastAsia="en-GB"/>
        </w:rPr>
        <w:t>Images were chosen immediately prior to having over</w:t>
      </w:r>
      <w:r w:rsidR="00526FF5">
        <w:rPr>
          <w:lang w:val="en-NZ" w:eastAsia="en-GB"/>
        </w:rPr>
        <w:t>-</w:t>
      </w:r>
      <w:r>
        <w:rPr>
          <w:lang w:val="en-NZ" w:eastAsia="en-GB"/>
        </w:rPr>
        <w:t xml:space="preserve">exposed bands. </w:t>
      </w:r>
      <w:r w:rsidR="002051E6">
        <w:rPr>
          <w:lang w:val="en-NZ" w:eastAsia="en-GB"/>
        </w:rPr>
        <w:t>Quantification was undertaken i</w:t>
      </w:r>
      <w:r w:rsidR="002051E6" w:rsidRPr="002051E6">
        <w:rPr>
          <w:lang w:val="en-NZ" w:eastAsia="en-GB"/>
        </w:rPr>
        <w:t xml:space="preserve">n Image Lab 5.0 using </w:t>
      </w:r>
      <w:r w:rsidR="002051E6">
        <w:rPr>
          <w:lang w:val="en-NZ" w:eastAsia="en-GB"/>
        </w:rPr>
        <w:t xml:space="preserve">the </w:t>
      </w:r>
      <w:r w:rsidR="002051E6" w:rsidRPr="002051E6">
        <w:rPr>
          <w:lang w:val="en-NZ" w:eastAsia="en-GB"/>
        </w:rPr>
        <w:t>built</w:t>
      </w:r>
      <w:r w:rsidR="00526FF5">
        <w:rPr>
          <w:lang w:val="en-NZ" w:eastAsia="en-GB"/>
        </w:rPr>
        <w:t>-</w:t>
      </w:r>
      <w:r w:rsidR="002051E6" w:rsidRPr="002051E6">
        <w:rPr>
          <w:lang w:val="en-NZ" w:eastAsia="en-GB"/>
        </w:rPr>
        <w:t>in volume tools</w:t>
      </w:r>
      <w:r w:rsidR="00124CCC">
        <w:rPr>
          <w:lang w:val="en-NZ" w:eastAsia="en-GB"/>
        </w:rPr>
        <w:t xml:space="preserve"> </w:t>
      </w:r>
      <w:r w:rsidR="00124CCC" w:rsidRPr="002051E6">
        <w:rPr>
          <w:rFonts w:eastAsia="PalatinoLinotype-Roman"/>
        </w:rPr>
        <w:t>to quantify the ‘Volume (Int)’</w:t>
      </w:r>
      <w:r w:rsidR="002051E6" w:rsidRPr="002051E6">
        <w:rPr>
          <w:lang w:val="en-NZ" w:eastAsia="en-GB"/>
        </w:rPr>
        <w:t xml:space="preserve">. </w:t>
      </w:r>
      <w:r w:rsidR="002051E6" w:rsidRPr="002051E6">
        <w:rPr>
          <w:rFonts w:eastAsia="PalatinoLinotype-Roman"/>
        </w:rPr>
        <w:t xml:space="preserve">The same standard rectangle was used for each sample, as well as background measurements for each lane. Each sample was background corrected. This was repeated for the loading control and the samples were then normalised to the loading control samples. </w:t>
      </w:r>
      <w:r w:rsidR="00ED26B2">
        <w:rPr>
          <w:rFonts w:eastAsia="PalatinoLinotype-Roman"/>
        </w:rPr>
        <w:t>For phosphorylated/total protein levels, samples were normalised to the DMSO control.</w:t>
      </w:r>
    </w:p>
    <w:p w14:paraId="38E1183C" w14:textId="77777777" w:rsidR="006D4BF8" w:rsidRDefault="006D4BF8" w:rsidP="006D4BF8">
      <w:pPr>
        <w:pStyle w:val="Heading3"/>
      </w:pPr>
      <w:bookmarkStart w:id="3" w:name="_Toc35856319"/>
      <w:bookmarkStart w:id="4" w:name="_Toc35419914"/>
      <w:r>
        <w:t>2D cell viability assays</w:t>
      </w:r>
      <w:bookmarkEnd w:id="3"/>
    </w:p>
    <w:p w14:paraId="2E6B933C" w14:textId="639BC3E4" w:rsidR="001E296D" w:rsidRDefault="00EF65C5" w:rsidP="00A1390C">
      <w:pPr>
        <w:rPr>
          <w:rFonts w:eastAsia="MinionPro-Regular"/>
        </w:rPr>
      </w:pPr>
      <w:r>
        <w:rPr>
          <w:rFonts w:eastAsia="MinionPro-Regular"/>
        </w:rPr>
        <w:t>Where appropriate</w:t>
      </w:r>
      <w:r w:rsidR="00526FF5">
        <w:rPr>
          <w:rFonts w:eastAsia="MinionPro-Regular"/>
        </w:rPr>
        <w:t>,</w:t>
      </w:r>
      <w:r>
        <w:rPr>
          <w:rFonts w:eastAsia="MinionPro-Regular"/>
        </w:rPr>
        <w:t xml:space="preserve"> b</w:t>
      </w:r>
      <w:r w:rsidRPr="00B23B86">
        <w:rPr>
          <w:rFonts w:eastAsia="MinionPro-Regular"/>
        </w:rPr>
        <w:t>oth isogenic cell lines were seeded into the same plate to mitigate plate-to-plate variation.</w:t>
      </w:r>
      <w:r>
        <w:rPr>
          <w:rFonts w:eastAsia="MinionPro-Regular"/>
        </w:rPr>
        <w:t xml:space="preserve"> </w:t>
      </w:r>
      <w:r w:rsidR="006D4BF8" w:rsidRPr="00A1390C">
        <w:rPr>
          <w:rFonts w:eastAsia="MinionPro-Regular"/>
        </w:rPr>
        <w:t xml:space="preserve">Unless otherwise stated in figure legends, </w:t>
      </w:r>
      <w:r w:rsidR="00526FF5">
        <w:rPr>
          <w:rFonts w:eastAsia="MinionPro-Regular"/>
        </w:rPr>
        <w:t>72</w:t>
      </w:r>
      <w:r w:rsidR="006D4BF8" w:rsidRPr="00A1390C">
        <w:rPr>
          <w:rFonts w:eastAsia="MinionPro-Regular"/>
        </w:rPr>
        <w:t xml:space="preserve"> </w:t>
      </w:r>
      <w:r w:rsidR="00B9798B">
        <w:rPr>
          <w:rFonts w:eastAsia="MinionPro-Regular"/>
        </w:rPr>
        <w:t>h</w:t>
      </w:r>
      <w:r w:rsidR="006D4BF8" w:rsidRPr="00A1390C">
        <w:rPr>
          <w:rFonts w:eastAsia="MinionPro-Regular"/>
        </w:rPr>
        <w:t xml:space="preserve"> post seeding (or 48 </w:t>
      </w:r>
      <w:r w:rsidR="00B9798B">
        <w:rPr>
          <w:rFonts w:eastAsia="MinionPro-Regular"/>
        </w:rPr>
        <w:t>h</w:t>
      </w:r>
      <w:r w:rsidR="006D4BF8" w:rsidRPr="00A1390C">
        <w:rPr>
          <w:rFonts w:eastAsia="MinionPro-Regular"/>
        </w:rPr>
        <w:t xml:space="preserve"> post compound addition), plates were assayed for cell viability using the resazurin reduction assay and/or cell counts as described </w:t>
      </w:r>
      <w:r w:rsidR="006D4BF8" w:rsidRPr="002302E1">
        <w:rPr>
          <w:rFonts w:eastAsia="MinionPro-Regular"/>
        </w:rPr>
        <w:t>previously</w:t>
      </w:r>
      <w:r w:rsidR="002302E1" w:rsidRPr="002302E1">
        <w:rPr>
          <w:rFonts w:eastAsia="MinionPro-Regular"/>
        </w:rPr>
        <w:t xml:space="preserve"> </w:t>
      </w:r>
      <w:r w:rsidR="008E0E2B" w:rsidRPr="002302E1">
        <w:rPr>
          <w:rFonts w:eastAsia="MinionPro-Regular"/>
        </w:rPr>
        <w:t>(</w:t>
      </w:r>
      <w:r w:rsidR="00CC537A" w:rsidRPr="002302E1">
        <w:rPr>
          <w:rFonts w:eastAsia="MinionPro-Regular"/>
        </w:rPr>
        <w:fldChar w:fldCharType="begin" w:fldLock="1"/>
      </w:r>
      <w:r w:rsidR="00CC537A" w:rsidRPr="002302E1">
        <w:rPr>
          <w:rFonts w:eastAsia="MinionPro-Regular"/>
        </w:rPr>
        <w:instrText xml:space="preserve"> ADDIN PAPERS2_CITATIONS &lt;citation&gt;&lt;uuid&gt;1E52B312-4F9F-4B07-8E80-7D4390815204&lt;/uuid&gt;&lt;priority&gt;0&lt;/priority&gt;&lt;publications&gt;&lt;publication&gt;&lt;doi&gt;10.1177/1087057115605765&lt;/doi&gt;&lt;number&gt;10&lt;/number&gt;&lt;publication_date&gt;99201500000000000000200000&lt;/publication_date&gt;&lt;startpage&gt;1286&lt;/startpage&gt;&lt;subtype&gt;400&lt;/subtype&gt;&lt;title&gt;A Comparison of Real-Time and Endpoint Cell Viability Assays for Improved Synthetic Lethal Drug Validation&lt;/title&gt;&lt;type&gt;400&lt;/type&gt;&lt;volume&gt;20&lt;/volume&gt;&lt;uuid&gt;6000c97d-42d7-4108-84dc-c147757bce61&lt;/uuid&gt;&lt;authors&gt;&lt;author&gt;&lt;lastName&gt;Single&lt;/lastName&gt;&lt;firstName&gt;Andrew&lt;/firstName&gt;&lt;/author&gt;&lt;author&gt;&lt;lastName&gt;Beetham&lt;/lastName&gt;&lt;firstName&gt;Henry&lt;/firstName&gt;&lt;/author&gt;&lt;author&gt;&lt;lastName&gt;Telford&lt;/lastName&gt;&lt;firstName&gt;Bryony&lt;/firstName&gt;&lt;middleNames&gt;J&lt;/middleNames&gt;&lt;/author&gt;&lt;author&gt;&lt;lastName&gt;Guilford&lt;/lastName&gt;&lt;firstName&gt;Parry&lt;/firstName&gt;&lt;/author&gt;&lt;author&gt;&lt;lastName&gt;Chen&lt;/lastName&gt;&lt;firstName&gt;Augustine&lt;/firstName&gt;&lt;/author&gt;&lt;/authors&gt;&lt;editors /&gt;&lt;translators /&gt;&lt;photographers /&gt;&lt;livfe_id /&gt;&lt;citekey&gt;Single:2015ef&lt;/citekey&gt;&lt;subtitle p4:nil="true" xmlns:p4="http://www.w3.org/2001/XMLSchema-instance" /&gt;&lt;submission_date /&gt;&lt;revision_date /&gt;&lt;accepted_date /&gt;&lt;is_bundle&gt;0&lt;/is_bundle&gt;&lt;bundle&gt;&lt;type&gt;-100&lt;/type&gt;&lt;subtype&gt;-100&lt;/subtype&gt;&lt;livfeID /&gt;&lt;citekey&gt;:0uo&lt;/citekey&gt;&lt;title&gt;Journal of Biomolecular Screening&lt;/title&gt;&lt;/bundle&gt;&lt;url&gt;http://dx.doi.org/10.1177/1087057115605765&lt;/url&gt;&lt;/publication&gt;&lt;/publications&gt;&lt;cites /&gt;&lt;/citation&gt;</w:instrText>
      </w:r>
      <w:r w:rsidR="00CC537A" w:rsidRPr="002302E1">
        <w:rPr>
          <w:rFonts w:eastAsia="MinionPro-Regular"/>
        </w:rPr>
        <w:fldChar w:fldCharType="separate"/>
      </w:r>
      <w:r w:rsidR="00CC537A" w:rsidRPr="002302E1">
        <w:rPr>
          <w:rFonts w:eastAsia="MinionPro-Regular"/>
        </w:rPr>
        <w:t>2</w:t>
      </w:r>
      <w:r w:rsidR="00CC537A" w:rsidRPr="002302E1">
        <w:rPr>
          <w:rFonts w:eastAsia="MinionPro-Regular"/>
        </w:rPr>
        <w:fldChar w:fldCharType="end"/>
      </w:r>
      <w:r w:rsidR="008E0E2B" w:rsidRPr="002302E1">
        <w:rPr>
          <w:rFonts w:eastAsia="MinionPro-Regular"/>
        </w:rPr>
        <w:t>)</w:t>
      </w:r>
      <w:r w:rsidR="006D4BF8" w:rsidRPr="002302E1">
        <w:rPr>
          <w:rFonts w:eastAsia="MinionPro-Regular"/>
        </w:rPr>
        <w:t>.</w:t>
      </w:r>
      <w:r w:rsidR="006D4BF8" w:rsidRPr="00A1390C">
        <w:rPr>
          <w:rFonts w:eastAsia="MinionPro-Regular"/>
        </w:rPr>
        <w:t xml:space="preserve"> </w:t>
      </w:r>
      <w:r w:rsidR="0009096C">
        <w:rPr>
          <w:rFonts w:eastAsia="MinionPro-Regular"/>
        </w:rPr>
        <w:t xml:space="preserve">Cells were seeded in 100 </w:t>
      </w:r>
      <w:r w:rsidR="0009096C" w:rsidRPr="006D4BF8">
        <w:rPr>
          <w:rFonts w:eastAsia="EuclidSymbol"/>
        </w:rPr>
        <w:t>μ</w:t>
      </w:r>
      <w:r w:rsidR="0009096C">
        <w:rPr>
          <w:rFonts w:eastAsia="MinionPro-Regular"/>
        </w:rPr>
        <w:t xml:space="preserve">L media. </w:t>
      </w:r>
      <w:r w:rsidR="006D4BF8" w:rsidRPr="00A1390C">
        <w:rPr>
          <w:rFonts w:eastAsia="MinionPro-Regular"/>
        </w:rPr>
        <w:t>Briefly, resazurin (</w:t>
      </w:r>
      <w:r w:rsidR="006D4BF8" w:rsidRPr="00A1390C">
        <w:t>440 µM stock)</w:t>
      </w:r>
      <w:r w:rsidR="006D4BF8" w:rsidRPr="00A1390C">
        <w:rPr>
          <w:rFonts w:eastAsia="MinionPro-Regular"/>
        </w:rPr>
        <w:t xml:space="preserve"> was added to wells at 20% final concentration and incubated for 4 </w:t>
      </w:r>
      <w:r w:rsidR="00B9798B">
        <w:rPr>
          <w:rFonts w:eastAsia="MinionPro-Regular"/>
        </w:rPr>
        <w:t>h</w:t>
      </w:r>
      <w:r w:rsidR="00A1390C">
        <w:rPr>
          <w:rFonts w:eastAsia="MinionPro-Regular"/>
        </w:rPr>
        <w:t xml:space="preserve"> at 37</w:t>
      </w:r>
      <w:r w:rsidR="00A1390C" w:rsidRPr="002B19B9">
        <w:rPr>
          <w:vertAlign w:val="superscript"/>
        </w:rPr>
        <w:t>o</w:t>
      </w:r>
      <w:r w:rsidR="00A1390C" w:rsidRPr="002B19B9">
        <w:t>C</w:t>
      </w:r>
      <w:r w:rsidR="00A1390C">
        <w:rPr>
          <w:rFonts w:eastAsia="MinionPro-Regular"/>
        </w:rPr>
        <w:t>.</w:t>
      </w:r>
      <w:r w:rsidR="00A1390C" w:rsidRPr="00A1390C">
        <w:rPr>
          <w:rFonts w:eastAsia="MinionPro-Regular"/>
        </w:rPr>
        <w:t xml:space="preserve"> </w:t>
      </w:r>
      <w:r w:rsidR="00A1390C">
        <w:rPr>
          <w:rFonts w:eastAsia="MinionPro-Regular"/>
        </w:rPr>
        <w:t>P</w:t>
      </w:r>
      <w:r w:rsidR="00A1390C" w:rsidRPr="00A1390C">
        <w:rPr>
          <w:rFonts w:eastAsia="MinionPro-Regular"/>
        </w:rPr>
        <w:t xml:space="preserve">lates were removed from the incubator and left for 30 </w:t>
      </w:r>
      <w:r w:rsidR="00844B15">
        <w:rPr>
          <w:rFonts w:eastAsia="MinionPro-Regular"/>
        </w:rPr>
        <w:t>min</w:t>
      </w:r>
      <w:r w:rsidR="00A1390C">
        <w:rPr>
          <w:rFonts w:eastAsia="MinionPro-Regular"/>
        </w:rPr>
        <w:t xml:space="preserve"> </w:t>
      </w:r>
      <w:r w:rsidR="00A1390C" w:rsidRPr="00A1390C">
        <w:rPr>
          <w:rFonts w:eastAsia="MinionPro-Regular"/>
        </w:rPr>
        <w:t>at RT to equalise the temperature across all wells of the plates and reduce fluorescence-based edge</w:t>
      </w:r>
      <w:r w:rsidR="00A1390C">
        <w:rPr>
          <w:rFonts w:eastAsia="MinionPro-Regular"/>
        </w:rPr>
        <w:t xml:space="preserve"> effects</w:t>
      </w:r>
      <w:r w:rsidR="002302E1">
        <w:rPr>
          <w:rFonts w:eastAsia="MinionPro-Regular"/>
        </w:rPr>
        <w:t xml:space="preserve"> </w:t>
      </w:r>
      <w:r w:rsidR="008E0E2B" w:rsidRPr="002302E1">
        <w:rPr>
          <w:rFonts w:eastAsia="MinionPro-Regular"/>
        </w:rPr>
        <w:t>(</w:t>
      </w:r>
      <w:r w:rsidR="00CC537A" w:rsidRPr="002302E1">
        <w:rPr>
          <w:rFonts w:eastAsia="MinionPro-Regular"/>
        </w:rPr>
        <w:fldChar w:fldCharType="begin" w:fldLock="1"/>
      </w:r>
      <w:r w:rsidR="00CC537A" w:rsidRPr="002302E1">
        <w:rPr>
          <w:rFonts w:eastAsia="MinionPro-Regular"/>
        </w:rPr>
        <w:instrText xml:space="preserve"> ADDIN PAPERS2_CITATIONS &lt;citation&gt;&lt;uuid&gt;8A9C8832-54C5-446D-BDD7-DA3A90EA2857&lt;/uuid&gt;&lt;priority&gt;0&lt;/priority&gt;&lt;publications&gt;&lt;publication&gt;&lt;doi&gt;10.1038/s41598-019-48929-0&lt;/doi&gt;&lt;number&gt;1&lt;/number&gt;&lt;publication_date&gt;99201900000000000000200000&lt;/publication_date&gt;&lt;subtype&gt;400&lt;/subtype&gt;&lt;title&gt;A high-throughput screen to identify novel synthetic lethal compounds for the treatment of E-cadherin-deficient cells&lt;/title&gt;&lt;type&gt;400&lt;/type&gt;&lt;volume&gt;9&lt;/volume&gt;&lt;uuid&gt;e761795f-ad56-419a-b7db-b93604d2a3e4&lt;/uuid&gt;&lt;authors&gt;&lt;author&gt;&lt;lastName&gt;Beetham&lt;/lastName&gt;&lt;firstName&gt;Henry&lt;/firstName&gt;&lt;/author&gt;&lt;author&gt;&lt;lastName&gt;Chen&lt;/lastName&gt;&lt;firstName&gt;Augustine&lt;/firstName&gt;&lt;/author&gt;&lt;author&gt;&lt;lastName&gt;Telford&lt;/lastName&gt;&lt;firstName&gt;Bryony&lt;/firstName&gt;&lt;middleNames&gt;J&lt;/middleNames&gt;&lt;/author&gt;&lt;author&gt;&lt;lastName&gt;Single&lt;/lastName&gt;&lt;firstName&gt;Andrew&lt;/firstName&gt;&lt;/author&gt;&lt;author&gt;&lt;lastName&gt;Jarman&lt;/lastName&gt;&lt;firstName&gt;Kate&lt;/firstName&gt;&lt;middleNames&gt;E&lt;/middleNames&gt;&lt;/author&gt;&lt;author&gt;&lt;lastName&gt;Lackovic&lt;/lastName&gt;&lt;firstName&gt;Kurt&lt;/firstName&gt;&lt;/author&gt;&lt;author&gt;&lt;lastName&gt;Luxenburger&lt;/lastName&gt;&lt;firstName&gt;Andreas&lt;/firstName&gt;&lt;/author&gt;&lt;author&gt;&lt;lastName&gt;Guilford&lt;/lastName&gt;&lt;firstName&gt;Parry&lt;/firstName&gt;&lt;/author&gt;&lt;/authors&gt;&lt;editors /&gt;&lt;translators /&gt;&lt;photographers /&gt;&lt;livfe_id /&gt;&lt;citekey&gt;Beetham:2019dx&lt;/citekey&gt;&lt;subtitle p4:nil="true" xmlns:p4="http://www.w3.org/2001/XMLSchema-instance" /&gt;&lt;submission_date /&gt;&lt;revision_date /&gt;&lt;accepted_date /&gt;&lt;is_bundle&gt;0&lt;/is_bundle&gt;&lt;bundle&gt;&lt;type&gt;-100&lt;/type&gt;&lt;subtype&gt;-100&lt;/subtype&gt;&lt;livfeID /&gt;&lt;citekey&gt;:0wn&lt;/citekey&gt;&lt;title&gt;Scientific Reports&lt;/title&gt;&lt;/bundle&gt;&lt;url&gt;10.1163/2210-7886_asc-48929&lt;/url&gt;&lt;/publication&gt;&lt;/publications&gt;&lt;cites /&gt;&lt;/citation&gt;</w:instrText>
      </w:r>
      <w:r w:rsidR="00CC537A" w:rsidRPr="002302E1">
        <w:rPr>
          <w:rFonts w:eastAsia="MinionPro-Regular"/>
        </w:rPr>
        <w:fldChar w:fldCharType="separate"/>
      </w:r>
      <w:r w:rsidR="00CC537A" w:rsidRPr="002302E1">
        <w:rPr>
          <w:rFonts w:eastAsia="MinionPro-Regular"/>
        </w:rPr>
        <w:t>3</w:t>
      </w:r>
      <w:r w:rsidR="00CC537A" w:rsidRPr="002302E1">
        <w:rPr>
          <w:rFonts w:eastAsia="MinionPro-Regular"/>
        </w:rPr>
        <w:fldChar w:fldCharType="end"/>
      </w:r>
      <w:r w:rsidR="008E0E2B" w:rsidRPr="002302E1">
        <w:rPr>
          <w:rFonts w:eastAsia="MinionPro-Regular"/>
        </w:rPr>
        <w:t>)</w:t>
      </w:r>
      <w:r w:rsidR="00A1390C">
        <w:rPr>
          <w:rFonts w:eastAsia="MinionPro-Regular"/>
        </w:rPr>
        <w:t xml:space="preserve"> before </w:t>
      </w:r>
      <w:r w:rsidR="006D4BF8" w:rsidRPr="00A1390C">
        <w:rPr>
          <w:rFonts w:eastAsia="MinionPro-Regular"/>
        </w:rPr>
        <w:t>reading fluorescence at 540</w:t>
      </w:r>
      <w:r w:rsidR="006D4BF8" w:rsidRPr="00A1390C">
        <w:t xml:space="preserve"> nm excitation and 590 nm emission</w:t>
      </w:r>
      <w:r w:rsidR="006D4BF8" w:rsidRPr="006D4BF8">
        <w:rPr>
          <w:rFonts w:eastAsia="MinionPro-Regular"/>
        </w:rPr>
        <w:t xml:space="preserve"> on a </w:t>
      </w:r>
      <w:r w:rsidR="00B506BE">
        <w:rPr>
          <w:rFonts w:eastAsia="MinionPro-Regular"/>
        </w:rPr>
        <w:t>Spark 20M (TECAN)</w:t>
      </w:r>
      <w:r w:rsidR="00B506BE" w:rsidRPr="00C812C4">
        <w:rPr>
          <w:rFonts w:eastAsia="MinionPro-Regular"/>
          <w:color w:val="ED7D31" w:themeColor="accent2"/>
        </w:rPr>
        <w:t xml:space="preserve"> </w:t>
      </w:r>
      <w:r w:rsidR="00607D79">
        <w:rPr>
          <w:rFonts w:eastAsia="MinionPro-Regular"/>
          <w:color w:val="ED7D31" w:themeColor="accent2"/>
        </w:rPr>
        <w:t xml:space="preserve"> </w:t>
      </w:r>
      <w:r w:rsidR="00607D79" w:rsidRPr="00607D79">
        <w:rPr>
          <w:rFonts w:eastAsia="MinionPro-Regular"/>
        </w:rPr>
        <w:t>to quantify cell viability</w:t>
      </w:r>
      <w:r w:rsidR="006D4BF8" w:rsidRPr="00607D79">
        <w:rPr>
          <w:rFonts w:eastAsia="MinionPro-Regular"/>
        </w:rPr>
        <w:t xml:space="preserve">. </w:t>
      </w:r>
    </w:p>
    <w:p w14:paraId="3824859B" w14:textId="568CE23C" w:rsidR="00AC4A14" w:rsidRPr="00A1390C" w:rsidRDefault="00732D03" w:rsidP="00A1390C">
      <w:pPr>
        <w:rPr>
          <w:rFonts w:eastAsia="MinionPro-Regular"/>
        </w:rPr>
      </w:pPr>
      <w:r w:rsidRPr="002F4E11">
        <w:t>One limitation to metabolism-based cellular assays such as resazurin reduction is that a change in read out (e.g</w:t>
      </w:r>
      <w:r w:rsidR="00526FF5">
        <w:t>.</w:t>
      </w:r>
      <w:r w:rsidRPr="002F4E11">
        <w:t xml:space="preserve"> fluorescence) may not necessarily be caused by cell death and could instead result from a </w:t>
      </w:r>
      <w:r w:rsidRPr="002F4E11">
        <w:rPr>
          <w:bCs/>
        </w:rPr>
        <w:t xml:space="preserve">cessation of </w:t>
      </w:r>
      <w:r w:rsidRPr="002F4E11">
        <w:rPr>
          <w:bCs/>
        </w:rPr>
        <w:lastRenderedPageBreak/>
        <w:t xml:space="preserve">proliferation due to senescence or inhibited mitochondrial respiration. </w:t>
      </w:r>
      <w:r w:rsidRPr="002F4E11">
        <w:t>For this reason</w:t>
      </w:r>
      <w:r w:rsidR="00526FF5">
        <w:t>,</w:t>
      </w:r>
      <w:r w:rsidRPr="002F4E11">
        <w:t xml:space="preserve"> a direct measurement of cell counts using cellular imaging of nuclei stained with </w:t>
      </w:r>
      <w:r>
        <w:t>Hoechst 33342 was also included.</w:t>
      </w:r>
      <w:r w:rsidR="001336C1">
        <w:rPr>
          <w:rFonts w:eastAsia="MinionPro-Regular"/>
        </w:rPr>
        <w:t xml:space="preserve"> </w:t>
      </w:r>
      <w:r w:rsidR="006D4BF8" w:rsidRPr="00607D79">
        <w:rPr>
          <w:rFonts w:eastAsia="MinionPro-Regular"/>
        </w:rPr>
        <w:t>For cell</w:t>
      </w:r>
      <w:r w:rsidR="006D4BF8" w:rsidRPr="006D4BF8">
        <w:rPr>
          <w:rFonts w:eastAsia="MinionPro-Regular"/>
        </w:rPr>
        <w:t xml:space="preserve"> counts</w:t>
      </w:r>
      <w:r w:rsidR="00526FF5">
        <w:rPr>
          <w:rFonts w:eastAsia="MinionPro-Regular"/>
        </w:rPr>
        <w:t>,</w:t>
      </w:r>
      <w:r w:rsidR="006D4BF8" w:rsidRPr="006D4BF8">
        <w:rPr>
          <w:rFonts w:eastAsia="MinionPro-Regular"/>
        </w:rPr>
        <w:t xml:space="preserve"> a one-step 2X cocktail of PFA (0.25% v/v), Tris (0.025% w/v) and Hoechst 33342 (1.5 </w:t>
      </w:r>
      <w:r w:rsidR="006D4BF8" w:rsidRPr="006D4BF8">
        <w:rPr>
          <w:rFonts w:eastAsia="EuclidSymbol"/>
        </w:rPr>
        <w:t>μ</w:t>
      </w:r>
      <w:r w:rsidR="006D4BF8" w:rsidRPr="006D4BF8">
        <w:rPr>
          <w:rFonts w:eastAsia="MinionPro-Regular"/>
        </w:rPr>
        <w:t xml:space="preserve">g/ml final) was added to plates at least 1 </w:t>
      </w:r>
      <w:r w:rsidR="00B9798B">
        <w:rPr>
          <w:rFonts w:eastAsia="MinionPro-Regular"/>
        </w:rPr>
        <w:t>h</w:t>
      </w:r>
      <w:r w:rsidR="006D4BF8" w:rsidRPr="006D4BF8">
        <w:rPr>
          <w:rFonts w:eastAsia="MinionPro-Regular"/>
        </w:rPr>
        <w:t xml:space="preserve"> prior to imaging.</w:t>
      </w:r>
      <w:r w:rsidR="00AC4A14">
        <w:rPr>
          <w:rFonts w:eastAsia="MinionPro-Regular"/>
        </w:rPr>
        <w:t xml:space="preserve"> </w:t>
      </w:r>
      <w:r w:rsidR="00AC4A14" w:rsidRPr="00AC4A14">
        <w:rPr>
          <w:rFonts w:eastAsia="MinionPro-Regular"/>
        </w:rPr>
        <w:t>S</w:t>
      </w:r>
      <w:r w:rsidR="00AC4A14" w:rsidRPr="00AC4A14">
        <w:rPr>
          <w:rFonts w:eastAsia="PalatinoLinotype-Roman"/>
          <w:lang w:eastAsia="en-GB"/>
        </w:rPr>
        <w:t xml:space="preserve">taurosporine (1 </w:t>
      </w:r>
      <w:r w:rsidR="00AC4A14" w:rsidRPr="00AC4A14">
        <w:t>µ</w:t>
      </w:r>
      <w:r w:rsidR="00AC4A14" w:rsidRPr="00AC4A14">
        <w:rPr>
          <w:rFonts w:eastAsia="PalatinoLinotype-Roman"/>
          <w:lang w:eastAsia="en-GB"/>
        </w:rPr>
        <w:t xml:space="preserve">M) </w:t>
      </w:r>
      <w:r w:rsidR="00AC4A14" w:rsidRPr="00AC4A14">
        <w:t>was used as a positive killing control</w:t>
      </w:r>
      <w:r w:rsidR="00AC4A14" w:rsidRPr="00AC4A14">
        <w:rPr>
          <w:rFonts w:eastAsia="PalatinoLinotype-Roman"/>
          <w:lang w:eastAsia="en-GB"/>
        </w:rPr>
        <w:t>.</w:t>
      </w:r>
    </w:p>
    <w:p w14:paraId="6C266B97" w14:textId="77777777" w:rsidR="006D4BF8" w:rsidRDefault="006D4BF8" w:rsidP="006D4BF8">
      <w:pPr>
        <w:pStyle w:val="Heading3"/>
        <w:rPr>
          <w:color w:val="ED7D31" w:themeColor="accent2"/>
        </w:rPr>
      </w:pPr>
      <w:bookmarkStart w:id="5" w:name="_Toc9599470"/>
      <w:bookmarkStart w:id="6" w:name="_Toc35856320"/>
      <w:r>
        <w:t>3D spheroid cell viability assays</w:t>
      </w:r>
      <w:bookmarkEnd w:id="5"/>
      <w:bookmarkEnd w:id="6"/>
    </w:p>
    <w:p w14:paraId="18FA695B" w14:textId="69B6DFB6" w:rsidR="006D4BF8" w:rsidRDefault="006D4BF8" w:rsidP="006D4BF8">
      <w:r>
        <w:t>Spheroids were generated as previously described</w:t>
      </w:r>
      <w:r w:rsidR="002302E1">
        <w:t xml:space="preserve"> </w:t>
      </w:r>
      <w:r w:rsidR="008E0E2B" w:rsidRPr="002302E1">
        <w:t>(</w:t>
      </w:r>
      <w:r w:rsidR="00CC537A" w:rsidRPr="002302E1">
        <w:fldChar w:fldCharType="begin" w:fldLock="1"/>
      </w:r>
      <w:r w:rsidR="00CC537A" w:rsidRPr="002302E1">
        <w:instrText xml:space="preserve"> ADDIN PAPERS2_CITATIONS &lt;citation&gt;&lt;uuid&gt;1DE32869-7E4C-4344-BDFD-15A20A1A40CB&lt;/uuid&gt;&lt;priority&gt;0&lt;/priority&gt;&lt;publications&gt;&lt;publication&gt;&lt;doi&gt;10.1177/1087057106292763&lt;/doi&gt;&lt;number&gt;8&lt;/number&gt;&lt;publication_date&gt;99200600000000000000200000&lt;/publication_date&gt;&lt;startpage&gt;922&lt;/startpage&gt;&lt;subtype&gt;400&lt;/subtype&gt;&lt;title&gt;Rapid Generation of Single-Tumor Spheroids for High-Throughput Cell Function and Toxicity Analysis&lt;/title&gt;&lt;type&gt;400&lt;/type&gt;&lt;volume&gt;11&lt;/volume&gt;&lt;uuid&gt;d3ffbfcf-29d1-4dc0-81fb-a8f2eac0242a&lt;/uuid&gt;&lt;authors&gt;&lt;author&gt;&lt;lastName&gt;Ivascu&lt;/lastName&gt;&lt;firstName&gt;Andrea&lt;/firstName&gt;&lt;/author&gt;&lt;author&gt;&lt;lastName&gt;Kubbies&lt;/lastName&gt;&lt;firstName&gt;Manfred&lt;/firstName&gt;&lt;/author&gt;&lt;/authors&gt;&lt;editors /&gt;&lt;translators /&gt;&lt;photographers /&gt;&lt;livfe_id /&gt;&lt;citekey&gt;Ivascu:2006dp&lt;/citekey&gt;&lt;subtitle p4:nil="true" xmlns:p4="http://www.w3.org/2001/XMLSchema-instance" /&gt;&lt;submission_date /&gt;&lt;revision_date /&gt;&lt;accepted_date /&gt;&lt;is_bundle&gt;0&lt;/is_bundle&gt;&lt;bundle&gt;&lt;type&gt;-100&lt;/type&gt;&lt;subtype&gt;-100&lt;/subtype&gt;&lt;livfeID /&gt;&lt;citekey&gt;:0uo&lt;/citekey&gt;&lt;title&gt;Journal of Biomolecular Screening&lt;/title&gt;&lt;/bundle&gt;&lt;url&gt;http://dx.doi.org/10.1177/1087057106292763&lt;/url&gt;&lt;/publication&gt;&lt;/publications&gt;&lt;cites /&gt;&lt;/citation&gt;</w:instrText>
      </w:r>
      <w:r w:rsidR="00CC537A" w:rsidRPr="002302E1">
        <w:fldChar w:fldCharType="separate"/>
      </w:r>
      <w:r w:rsidR="00CC537A" w:rsidRPr="002302E1">
        <w:t>4</w:t>
      </w:r>
      <w:r w:rsidR="00CC537A" w:rsidRPr="002302E1">
        <w:fldChar w:fldCharType="end"/>
      </w:r>
      <w:r w:rsidR="008E0E2B" w:rsidRPr="002302E1">
        <w:t>)</w:t>
      </w:r>
      <w:r w:rsidRPr="002302E1">
        <w:t>.</w:t>
      </w:r>
      <w:r w:rsidRPr="007D52E2">
        <w:t xml:space="preserve"> </w:t>
      </w:r>
      <w:r w:rsidRPr="00AA0967">
        <w:t xml:space="preserve">Briefly, cells were grown as a monolayer and seeded </w:t>
      </w:r>
      <w:r w:rsidR="0009096C">
        <w:rPr>
          <w:rFonts w:eastAsia="MinionPro-Regular"/>
        </w:rPr>
        <w:t xml:space="preserve">in 200 </w:t>
      </w:r>
      <w:r w:rsidR="0009096C" w:rsidRPr="006D4BF8">
        <w:rPr>
          <w:rFonts w:eastAsia="EuclidSymbol"/>
        </w:rPr>
        <w:t>μ</w:t>
      </w:r>
      <w:r w:rsidR="0009096C">
        <w:rPr>
          <w:rFonts w:eastAsia="MinionPro-Regular"/>
        </w:rPr>
        <w:t xml:space="preserve">L media  at </w:t>
      </w:r>
      <w:r w:rsidRPr="00AA0967">
        <w:t xml:space="preserve">2,000 cells per well into a </w:t>
      </w:r>
      <w:r w:rsidRPr="00AA0967">
        <w:rPr>
          <w:lang w:val="en-AU"/>
        </w:rPr>
        <w:t xml:space="preserve">U-bottom 96-well plate and </w:t>
      </w:r>
      <w:r w:rsidRPr="00AA0967">
        <w:t xml:space="preserve">centrifuged at 1000 </w:t>
      </w:r>
      <w:r w:rsidR="005643E7">
        <w:t>×</w:t>
      </w:r>
      <w:r w:rsidR="005643E7" w:rsidRPr="00AA0967">
        <w:t xml:space="preserve"> </w:t>
      </w:r>
      <w:r w:rsidRPr="00AA0967">
        <w:t>g for 10 min.</w:t>
      </w:r>
      <w:r w:rsidR="00AC4A14" w:rsidRPr="00AC4A14">
        <w:rPr>
          <w:rFonts w:eastAsia="MinionPro-Regular"/>
        </w:rPr>
        <w:t xml:space="preserve"> S</w:t>
      </w:r>
      <w:r w:rsidR="00AC4A14" w:rsidRPr="00AC4A14">
        <w:rPr>
          <w:rFonts w:eastAsia="PalatinoLinotype-Roman"/>
          <w:lang w:eastAsia="en-GB"/>
        </w:rPr>
        <w:t>taurosporine (</w:t>
      </w:r>
      <w:r w:rsidR="00AC4A14">
        <w:rPr>
          <w:rFonts w:eastAsia="PalatinoLinotype-Roman"/>
          <w:lang w:eastAsia="en-GB"/>
        </w:rPr>
        <w:t>2</w:t>
      </w:r>
      <w:r w:rsidR="00AC4A14" w:rsidRPr="00AC4A14">
        <w:rPr>
          <w:rFonts w:eastAsia="PalatinoLinotype-Roman"/>
          <w:lang w:eastAsia="en-GB"/>
        </w:rPr>
        <w:t xml:space="preserve"> </w:t>
      </w:r>
      <w:r w:rsidR="00AC4A14" w:rsidRPr="00AC4A14">
        <w:t>µ</w:t>
      </w:r>
      <w:r w:rsidR="00AC4A14" w:rsidRPr="00AC4A14">
        <w:rPr>
          <w:rFonts w:eastAsia="PalatinoLinotype-Roman"/>
          <w:lang w:eastAsia="en-GB"/>
        </w:rPr>
        <w:t xml:space="preserve">M) </w:t>
      </w:r>
      <w:r w:rsidR="00AC4A14" w:rsidRPr="00AC4A14">
        <w:t>was used as a positive killing control</w:t>
      </w:r>
      <w:r w:rsidR="00AC4A14" w:rsidRPr="00AC4A14">
        <w:rPr>
          <w:rFonts w:eastAsia="PalatinoLinotype-Roman"/>
          <w:lang w:eastAsia="en-GB"/>
        </w:rPr>
        <w:t>.</w:t>
      </w:r>
      <w:r w:rsidR="00EF65C5">
        <w:rPr>
          <w:rFonts w:eastAsia="PalatinoLinotype-Roman"/>
          <w:lang w:eastAsia="en-GB"/>
        </w:rPr>
        <w:t xml:space="preserve"> </w:t>
      </w:r>
      <w:r w:rsidR="00EF65C5">
        <w:t xml:space="preserve">Spheroids were stained for </w:t>
      </w:r>
      <w:r w:rsidR="005643E7">
        <w:t xml:space="preserve">1 </w:t>
      </w:r>
      <w:r w:rsidR="00B9798B">
        <w:t>h</w:t>
      </w:r>
      <w:r w:rsidR="00EF65C5">
        <w:t xml:space="preserve"> in an incubator before imaging in the appropriate fluorescent and trans channels.</w:t>
      </w:r>
      <w:r w:rsidR="0009096C">
        <w:t xml:space="preserve"> A 2D maximum intensity projection was used for fluorescence images and a 2D minimu</w:t>
      </w:r>
      <w:r w:rsidR="0009096C" w:rsidRPr="00D41FF4">
        <w:t xml:space="preserve">m intensity projection for </w:t>
      </w:r>
      <w:r w:rsidR="0009096C">
        <w:t>t</w:t>
      </w:r>
      <w:r w:rsidR="0009096C" w:rsidRPr="00D41FF4">
        <w:t>rans images.</w:t>
      </w:r>
    </w:p>
    <w:p w14:paraId="17EB26FD" w14:textId="77777777" w:rsidR="00AB0B9C" w:rsidRPr="00416607" w:rsidRDefault="00AB0B9C" w:rsidP="00AB0B9C">
      <w:pPr>
        <w:pStyle w:val="Heading3"/>
      </w:pPr>
      <w:bookmarkStart w:id="7" w:name="_Toc35419915"/>
      <w:bookmarkEnd w:id="4"/>
      <w:r w:rsidRPr="00416607">
        <w:t>Genomic DNA extraction</w:t>
      </w:r>
      <w:bookmarkEnd w:id="7"/>
    </w:p>
    <w:p w14:paraId="334370EF" w14:textId="2234370F" w:rsidR="00AB0B9C" w:rsidRDefault="00AB0B9C" w:rsidP="00AB0B9C">
      <w:pPr>
        <w:rPr>
          <w:rFonts w:cs="Times New Roman"/>
          <w:szCs w:val="24"/>
        </w:rPr>
      </w:pPr>
      <w:r w:rsidRPr="00E72E98">
        <w:rPr>
          <w:rFonts w:cs="Times New Roman"/>
          <w:szCs w:val="24"/>
        </w:rPr>
        <w:t xml:space="preserve">Genomic </w:t>
      </w:r>
      <w:r w:rsidRPr="001E296D">
        <w:rPr>
          <w:rFonts w:cs="Times New Roman"/>
          <w:szCs w:val="24"/>
        </w:rPr>
        <w:t xml:space="preserve">DNA (gDNA) was </w:t>
      </w:r>
      <w:r w:rsidRPr="00E72E98">
        <w:rPr>
          <w:rFonts w:cs="Times New Roman"/>
          <w:szCs w:val="24"/>
        </w:rPr>
        <w:t xml:space="preserve">extracted from cell pellets </w:t>
      </w:r>
      <w:r>
        <w:rPr>
          <w:rFonts w:cs="Times New Roman"/>
          <w:szCs w:val="24"/>
        </w:rPr>
        <w:t>(25</w:t>
      </w:r>
      <w:r w:rsidR="005643E7">
        <w:rPr>
          <w:rFonts w:cs="Times New Roman"/>
          <w:szCs w:val="24"/>
        </w:rPr>
        <w:t xml:space="preserve"> × </w:t>
      </w:r>
      <w:r>
        <w:rPr>
          <w:rFonts w:cs="Times New Roman"/>
          <w:szCs w:val="24"/>
        </w:rPr>
        <w:t xml:space="preserve">10^6 cells/sample) </w:t>
      </w:r>
      <w:r w:rsidRPr="00E72E98">
        <w:rPr>
          <w:rFonts w:cs="Times New Roman"/>
          <w:szCs w:val="24"/>
        </w:rPr>
        <w:t xml:space="preserve">using the </w:t>
      </w:r>
      <w:r>
        <w:rPr>
          <w:rFonts w:cs="Times New Roman"/>
          <w:szCs w:val="24"/>
        </w:rPr>
        <w:t>QIAamp Blood Maxi K</w:t>
      </w:r>
      <w:r w:rsidRPr="00E72E98">
        <w:rPr>
          <w:rFonts w:cs="Times New Roman"/>
          <w:szCs w:val="24"/>
        </w:rPr>
        <w:t>it (cat no. 5119</w:t>
      </w:r>
      <w:r>
        <w:rPr>
          <w:rFonts w:cs="Times New Roman"/>
          <w:szCs w:val="24"/>
        </w:rPr>
        <w:t>2</w:t>
      </w:r>
      <w:r w:rsidRPr="00E72E98">
        <w:rPr>
          <w:rFonts w:cs="Times New Roman"/>
          <w:szCs w:val="24"/>
        </w:rPr>
        <w:t>), with the following modifications to the manufacturer</w:t>
      </w:r>
      <w:r w:rsidR="005643E7">
        <w:rPr>
          <w:rFonts w:cs="Times New Roman"/>
          <w:szCs w:val="24"/>
        </w:rPr>
        <w:t>’</w:t>
      </w:r>
      <w:r w:rsidRPr="00E72E98">
        <w:rPr>
          <w:rFonts w:cs="Times New Roman"/>
          <w:szCs w:val="24"/>
        </w:rPr>
        <w:t xml:space="preserve">s </w:t>
      </w:r>
      <w:r w:rsidRPr="00416607">
        <w:rPr>
          <w:rFonts w:cs="Times New Roman"/>
          <w:szCs w:val="24"/>
        </w:rPr>
        <w:t>protocol</w:t>
      </w:r>
      <w:r>
        <w:rPr>
          <w:rFonts w:cs="Times New Roman"/>
          <w:szCs w:val="24"/>
        </w:rPr>
        <w:t>:</w:t>
      </w:r>
    </w:p>
    <w:p w14:paraId="3D503D11" w14:textId="77777777" w:rsidR="00AB0B9C" w:rsidRDefault="00AB0B9C" w:rsidP="00AB0B9C">
      <w:pPr>
        <w:pStyle w:val="ListParagraph"/>
        <w:numPr>
          <w:ilvl w:val="0"/>
          <w:numId w:val="1"/>
        </w:numPr>
        <w:rPr>
          <w:rFonts w:cs="Times New Roman"/>
          <w:szCs w:val="24"/>
        </w:rPr>
      </w:pPr>
      <w:r w:rsidRPr="00416607">
        <w:rPr>
          <w:rFonts w:cs="Times New Roman"/>
          <w:szCs w:val="24"/>
        </w:rPr>
        <w:t>RNase A (2.33 mg/mL final) was added to the resuspend</w:t>
      </w:r>
      <w:r>
        <w:rPr>
          <w:rFonts w:cs="Times New Roman"/>
          <w:szCs w:val="24"/>
        </w:rPr>
        <w:t>ed</w:t>
      </w:r>
      <w:r w:rsidRPr="00416607">
        <w:rPr>
          <w:rFonts w:cs="Times New Roman"/>
          <w:szCs w:val="24"/>
        </w:rPr>
        <w:t xml:space="preserve"> cell pellet. </w:t>
      </w:r>
    </w:p>
    <w:p w14:paraId="4A439083" w14:textId="0FFF95A5" w:rsidR="00AB0B9C" w:rsidRPr="00B506BE" w:rsidRDefault="00AB0B9C" w:rsidP="00AB0B9C">
      <w:pPr>
        <w:pStyle w:val="ListParagraph"/>
        <w:numPr>
          <w:ilvl w:val="0"/>
          <w:numId w:val="1"/>
        </w:numPr>
        <w:rPr>
          <w:rFonts w:cs="Times New Roman"/>
          <w:szCs w:val="24"/>
        </w:rPr>
      </w:pPr>
      <w:r w:rsidRPr="00416607">
        <w:rPr>
          <w:rFonts w:cs="Times New Roman"/>
          <w:szCs w:val="24"/>
        </w:rPr>
        <w:t xml:space="preserve">1,500 μL of Qiagen protease solution was added to each </w:t>
      </w:r>
      <w:r w:rsidRPr="00B506BE">
        <w:rPr>
          <w:rFonts w:cs="Times New Roman"/>
          <w:szCs w:val="24"/>
        </w:rPr>
        <w:t>sample (</w:t>
      </w:r>
      <w:r w:rsidR="005643E7">
        <w:rPr>
          <w:rFonts w:cs="Times New Roman"/>
          <w:szCs w:val="24"/>
        </w:rPr>
        <w:t>m</w:t>
      </w:r>
      <w:r w:rsidRPr="00B506BE">
        <w:rPr>
          <w:rFonts w:cs="Times New Roman"/>
          <w:szCs w:val="24"/>
        </w:rPr>
        <w:t>anufacturer</w:t>
      </w:r>
      <w:r w:rsidR="005643E7">
        <w:rPr>
          <w:rFonts w:cs="Times New Roman"/>
          <w:szCs w:val="24"/>
        </w:rPr>
        <w:t>’</w:t>
      </w:r>
      <w:r w:rsidRPr="00B506BE">
        <w:rPr>
          <w:rFonts w:cs="Times New Roman"/>
          <w:szCs w:val="24"/>
        </w:rPr>
        <w:t xml:space="preserve">s protocol suggests 500 μL). </w:t>
      </w:r>
    </w:p>
    <w:p w14:paraId="1D0BDB8A" w14:textId="25898122" w:rsidR="00AB0B9C" w:rsidRDefault="00AB0B9C" w:rsidP="00AB0B9C">
      <w:pPr>
        <w:pStyle w:val="ListParagraph"/>
        <w:numPr>
          <w:ilvl w:val="0"/>
          <w:numId w:val="1"/>
        </w:numPr>
        <w:rPr>
          <w:rFonts w:cs="Times New Roman"/>
          <w:szCs w:val="24"/>
        </w:rPr>
      </w:pPr>
      <w:r w:rsidRPr="00B506BE">
        <w:rPr>
          <w:rFonts w:cs="Times New Roman"/>
          <w:szCs w:val="24"/>
        </w:rPr>
        <w:t>18 mL of Buffer AL was added to each sample (</w:t>
      </w:r>
      <w:r w:rsidR="005643E7">
        <w:rPr>
          <w:rFonts w:cs="Times New Roman"/>
          <w:szCs w:val="24"/>
        </w:rPr>
        <w:t>m</w:t>
      </w:r>
      <w:r w:rsidRPr="00B506BE">
        <w:rPr>
          <w:rFonts w:cs="Times New Roman"/>
          <w:szCs w:val="24"/>
        </w:rPr>
        <w:t>anufacturer</w:t>
      </w:r>
      <w:r w:rsidR="005643E7">
        <w:rPr>
          <w:rFonts w:cs="Times New Roman"/>
          <w:szCs w:val="24"/>
        </w:rPr>
        <w:t>’</w:t>
      </w:r>
      <w:r w:rsidRPr="00B506BE">
        <w:rPr>
          <w:rFonts w:cs="Times New Roman"/>
          <w:szCs w:val="24"/>
        </w:rPr>
        <w:t xml:space="preserve">s protocol suggests 12 mL) followed </w:t>
      </w:r>
      <w:r w:rsidRPr="00416607">
        <w:rPr>
          <w:rFonts w:cs="Times New Roman"/>
          <w:szCs w:val="24"/>
        </w:rPr>
        <w:t xml:space="preserve">by </w:t>
      </w:r>
      <w:r w:rsidRPr="00B9798B">
        <w:rPr>
          <w:rFonts w:cs="Times New Roman"/>
          <w:i/>
          <w:iCs/>
          <w:szCs w:val="24"/>
        </w:rPr>
        <w:t>vigorous</w:t>
      </w:r>
      <w:r w:rsidRPr="00B9798B">
        <w:rPr>
          <w:rFonts w:cs="Times New Roman"/>
          <w:szCs w:val="24"/>
        </w:rPr>
        <w:t xml:space="preserve"> </w:t>
      </w:r>
      <w:r w:rsidRPr="00416607">
        <w:rPr>
          <w:rFonts w:cs="Times New Roman"/>
          <w:szCs w:val="24"/>
        </w:rPr>
        <w:t>shaking</w:t>
      </w:r>
      <w:r>
        <w:rPr>
          <w:rFonts w:cs="Times New Roman"/>
          <w:szCs w:val="24"/>
        </w:rPr>
        <w:t xml:space="preserve"> for two </w:t>
      </w:r>
      <w:r w:rsidR="00844B15">
        <w:rPr>
          <w:rFonts w:cs="Times New Roman"/>
          <w:szCs w:val="24"/>
        </w:rPr>
        <w:t>min</w:t>
      </w:r>
      <w:r w:rsidRPr="00416607">
        <w:rPr>
          <w:rFonts w:cs="Times New Roman"/>
          <w:szCs w:val="24"/>
        </w:rPr>
        <w:t xml:space="preserve">. </w:t>
      </w:r>
    </w:p>
    <w:p w14:paraId="6AF210D3" w14:textId="77777777" w:rsidR="00AB0B9C" w:rsidRDefault="00AB0B9C" w:rsidP="00AB0B9C">
      <w:pPr>
        <w:pStyle w:val="ListParagraph"/>
        <w:numPr>
          <w:ilvl w:val="0"/>
          <w:numId w:val="1"/>
        </w:numPr>
        <w:rPr>
          <w:rFonts w:cs="Times New Roman"/>
          <w:szCs w:val="24"/>
        </w:rPr>
      </w:pPr>
      <w:r w:rsidRPr="00416607">
        <w:rPr>
          <w:rFonts w:cs="Times New Roman"/>
          <w:szCs w:val="24"/>
        </w:rPr>
        <w:t xml:space="preserve">The same lysate was transferred twice onto the column for increased DNA-column binding. </w:t>
      </w:r>
    </w:p>
    <w:p w14:paraId="637C6ABB" w14:textId="24A00B36" w:rsidR="00A610D1" w:rsidRDefault="00AB0B9C" w:rsidP="00AB0B9C">
      <w:pPr>
        <w:pStyle w:val="ListParagraph"/>
        <w:numPr>
          <w:ilvl w:val="0"/>
          <w:numId w:val="1"/>
        </w:numPr>
        <w:rPr>
          <w:rFonts w:cs="Times New Roman"/>
          <w:szCs w:val="24"/>
        </w:rPr>
      </w:pPr>
      <w:r w:rsidRPr="00B506BE">
        <w:rPr>
          <w:rFonts w:cs="Times New Roman"/>
          <w:szCs w:val="24"/>
        </w:rPr>
        <w:t>Resulting g</w:t>
      </w:r>
      <w:r w:rsidR="00B506BE" w:rsidRPr="00B506BE">
        <w:rPr>
          <w:rFonts w:cs="Times New Roman"/>
          <w:szCs w:val="24"/>
        </w:rPr>
        <w:t xml:space="preserve">enomic </w:t>
      </w:r>
      <w:r w:rsidRPr="00B506BE">
        <w:rPr>
          <w:rFonts w:cs="Times New Roman"/>
          <w:szCs w:val="24"/>
        </w:rPr>
        <w:t xml:space="preserve">DNA </w:t>
      </w:r>
      <w:r w:rsidRPr="00416607">
        <w:rPr>
          <w:rFonts w:cs="Times New Roman"/>
          <w:szCs w:val="24"/>
        </w:rPr>
        <w:t xml:space="preserve">was purified using an </w:t>
      </w:r>
      <w:r w:rsidRPr="00416607">
        <w:rPr>
          <w:rFonts w:cs="Times New Roman"/>
          <w:bCs/>
          <w:szCs w:val="24"/>
        </w:rPr>
        <w:t xml:space="preserve">ethanol </w:t>
      </w:r>
      <w:r>
        <w:rPr>
          <w:rFonts w:cs="Times New Roman"/>
          <w:bCs/>
          <w:szCs w:val="24"/>
        </w:rPr>
        <w:t xml:space="preserve">and sodium chloride </w:t>
      </w:r>
      <w:r w:rsidRPr="00416607">
        <w:rPr>
          <w:rFonts w:cs="Times New Roman"/>
          <w:bCs/>
          <w:szCs w:val="24"/>
        </w:rPr>
        <w:t>precipitation</w:t>
      </w:r>
      <w:r>
        <w:rPr>
          <w:rFonts w:cs="Times New Roman"/>
          <w:bCs/>
          <w:szCs w:val="24"/>
        </w:rPr>
        <w:t>.</w:t>
      </w:r>
      <w:r w:rsidRPr="00416607">
        <w:rPr>
          <w:rFonts w:cs="Times New Roman"/>
          <w:bCs/>
          <w:szCs w:val="24"/>
        </w:rPr>
        <w:t xml:space="preserve"> </w:t>
      </w:r>
      <w:r>
        <w:rPr>
          <w:rFonts w:cs="Times New Roman"/>
          <w:bCs/>
          <w:szCs w:val="24"/>
        </w:rPr>
        <w:t>B</w:t>
      </w:r>
      <w:r w:rsidRPr="00416607">
        <w:rPr>
          <w:rFonts w:cs="Times New Roman"/>
          <w:bCs/>
          <w:szCs w:val="24"/>
        </w:rPr>
        <w:t xml:space="preserve">riefly, </w:t>
      </w:r>
      <w:r w:rsidRPr="00416607">
        <w:rPr>
          <w:rFonts w:cs="Times New Roman"/>
          <w:szCs w:val="24"/>
        </w:rPr>
        <w:t>a final concentration of 0.2 M NaCl</w:t>
      </w:r>
      <w:r>
        <w:rPr>
          <w:rFonts w:cs="Times New Roman"/>
          <w:szCs w:val="24"/>
        </w:rPr>
        <w:t xml:space="preserve"> and</w:t>
      </w:r>
      <w:r w:rsidRPr="00416607">
        <w:rPr>
          <w:rFonts w:cs="Times New Roman"/>
          <w:szCs w:val="24"/>
        </w:rPr>
        <w:t xml:space="preserve"> 96–100% ethanol</w:t>
      </w:r>
      <w:r>
        <w:rPr>
          <w:rFonts w:cs="Times New Roman"/>
          <w:szCs w:val="24"/>
        </w:rPr>
        <w:t xml:space="preserve"> at </w:t>
      </w:r>
      <w:r w:rsidRPr="00416607">
        <w:rPr>
          <w:rFonts w:cs="Times New Roman"/>
          <w:szCs w:val="24"/>
        </w:rPr>
        <w:t>−20°C</w:t>
      </w:r>
      <w:r>
        <w:rPr>
          <w:rFonts w:cs="Times New Roman"/>
          <w:szCs w:val="24"/>
        </w:rPr>
        <w:t xml:space="preserve"> was added to each sample. Samples were kept</w:t>
      </w:r>
      <w:r w:rsidRPr="00416607">
        <w:rPr>
          <w:rFonts w:cs="Times New Roman"/>
          <w:szCs w:val="24"/>
        </w:rPr>
        <w:t xml:space="preserve"> </w:t>
      </w:r>
      <w:r>
        <w:rPr>
          <w:rFonts w:cs="Times New Roman"/>
          <w:szCs w:val="24"/>
        </w:rPr>
        <w:t xml:space="preserve">at </w:t>
      </w:r>
      <w:r w:rsidRPr="00416607">
        <w:rPr>
          <w:rFonts w:cs="Times New Roman"/>
          <w:szCs w:val="24"/>
        </w:rPr>
        <w:t xml:space="preserve">-80°C for 30 </w:t>
      </w:r>
      <w:r w:rsidR="00844B15">
        <w:rPr>
          <w:rFonts w:cs="Times New Roman"/>
          <w:szCs w:val="24"/>
        </w:rPr>
        <w:t>min</w:t>
      </w:r>
      <w:r w:rsidRPr="00416607">
        <w:rPr>
          <w:rFonts w:cs="Times New Roman"/>
          <w:szCs w:val="24"/>
        </w:rPr>
        <w:t xml:space="preserve"> to </w:t>
      </w:r>
      <w:r>
        <w:rPr>
          <w:rFonts w:eastAsia="Times New Roman" w:cs="Times New Roman"/>
          <w:iCs/>
          <w:szCs w:val="24"/>
          <w:lang w:val="en-NZ"/>
        </w:rPr>
        <w:t>help the DNA to precipitate.</w:t>
      </w:r>
      <w:r w:rsidRPr="00416607">
        <w:rPr>
          <w:rFonts w:eastAsia="Times New Roman" w:cs="Times New Roman"/>
          <w:iCs/>
          <w:szCs w:val="24"/>
          <w:lang w:val="en-NZ"/>
        </w:rPr>
        <w:t xml:space="preserve"> </w:t>
      </w:r>
      <w:r>
        <w:rPr>
          <w:rFonts w:eastAsia="Times New Roman" w:cs="Times New Roman"/>
          <w:iCs/>
          <w:szCs w:val="24"/>
          <w:lang w:val="en-NZ"/>
        </w:rPr>
        <w:t xml:space="preserve">The </w:t>
      </w:r>
      <w:r w:rsidRPr="00416607">
        <w:rPr>
          <w:rFonts w:eastAsia="Times New Roman" w:cs="Times New Roman"/>
          <w:iCs/>
          <w:szCs w:val="24"/>
          <w:lang w:val="en-NZ"/>
        </w:rPr>
        <w:t>DNA</w:t>
      </w:r>
      <w:r>
        <w:rPr>
          <w:rFonts w:eastAsia="Times New Roman" w:cs="Times New Roman"/>
          <w:iCs/>
          <w:szCs w:val="24"/>
          <w:lang w:val="en-NZ"/>
        </w:rPr>
        <w:t xml:space="preserve"> was</w:t>
      </w:r>
      <w:r w:rsidRPr="00416607">
        <w:rPr>
          <w:rFonts w:eastAsia="Times New Roman" w:cs="Times New Roman"/>
          <w:iCs/>
          <w:szCs w:val="24"/>
          <w:lang w:val="en-NZ"/>
        </w:rPr>
        <w:t xml:space="preserve"> pelleted by centrifugation and cleaned with a 70% EtOH wash. DNA </w:t>
      </w:r>
      <w:r>
        <w:rPr>
          <w:rFonts w:eastAsia="Times New Roman" w:cs="Times New Roman"/>
          <w:iCs/>
          <w:szCs w:val="24"/>
          <w:lang w:val="en-NZ"/>
        </w:rPr>
        <w:t xml:space="preserve">was then </w:t>
      </w:r>
      <w:r w:rsidRPr="00416607">
        <w:rPr>
          <w:rFonts w:eastAsia="Times New Roman" w:cs="Times New Roman"/>
          <w:iCs/>
          <w:szCs w:val="24"/>
          <w:lang w:val="en-NZ"/>
        </w:rPr>
        <w:t>resuspended in buffer EB at 50</w:t>
      </w:r>
      <w:r w:rsidRPr="00416607">
        <w:rPr>
          <w:rFonts w:cs="Times New Roman"/>
          <w:szCs w:val="24"/>
        </w:rPr>
        <w:t>°C for an hour and gDNA run on an agarose gel (</w:t>
      </w:r>
      <w:r w:rsidRPr="00416607">
        <w:rPr>
          <w:rStyle w:val="linkify"/>
          <w:rFonts w:cs="Times New Roman"/>
          <w:szCs w:val="24"/>
        </w:rPr>
        <w:t>0.7% at 70-75 V for 1.5 - 2h)</w:t>
      </w:r>
      <w:r w:rsidRPr="00416607">
        <w:rPr>
          <w:rFonts w:cs="Times New Roman"/>
          <w:szCs w:val="24"/>
        </w:rPr>
        <w:t xml:space="preserve"> to check quality/integrity.</w:t>
      </w:r>
    </w:p>
    <w:p w14:paraId="2ADACEBD" w14:textId="77777777" w:rsidR="00A610D1" w:rsidRDefault="00A610D1">
      <w:pPr>
        <w:spacing w:line="259" w:lineRule="auto"/>
        <w:rPr>
          <w:rFonts w:cs="Times New Roman"/>
          <w:szCs w:val="24"/>
        </w:rPr>
      </w:pPr>
      <w:r>
        <w:rPr>
          <w:rFonts w:cs="Times New Roman"/>
          <w:szCs w:val="24"/>
        </w:rPr>
        <w:br w:type="page"/>
      </w:r>
    </w:p>
    <w:p w14:paraId="527179C1" w14:textId="30A7508D" w:rsidR="008F7F99" w:rsidRDefault="008F7F99" w:rsidP="008F7F99">
      <w:pPr>
        <w:pStyle w:val="Heading3"/>
      </w:pPr>
      <w:r>
        <w:lastRenderedPageBreak/>
        <w:t>NGS library preparation and Illumina sequencing</w:t>
      </w:r>
    </w:p>
    <w:p w14:paraId="7538C71E" w14:textId="77777777" w:rsidR="00AB0B9C" w:rsidRPr="00272904" w:rsidRDefault="00AB0B9C" w:rsidP="00AB0B9C">
      <w:pPr>
        <w:rPr>
          <w:rFonts w:cs="Times New Roman"/>
          <w:szCs w:val="24"/>
        </w:rPr>
      </w:pPr>
      <w:r w:rsidRPr="00F31C54">
        <w:rPr>
          <w:rFonts w:cs="Times New Roman"/>
          <w:szCs w:val="24"/>
        </w:rPr>
        <w:t xml:space="preserve">Each lentiviral particle will integrate part of the </w:t>
      </w:r>
      <w:r w:rsidRPr="00F31C54">
        <w:t>‘lentiCRISPR v2’ plasmid DNA</w:t>
      </w:r>
      <w:r w:rsidRPr="00F31C54">
        <w:rPr>
          <w:rFonts w:cs="Times New Roman"/>
          <w:szCs w:val="24"/>
        </w:rPr>
        <w:t xml:space="preserve"> sequence within the host genomic DNA of each cell. </w:t>
      </w:r>
      <w:r w:rsidRPr="00272904">
        <w:t>PCR1 amplifies this region within the host cells that contains the 20 bp sgRNA cassette</w:t>
      </w:r>
      <w:r w:rsidRPr="00272904">
        <w:rPr>
          <w:rFonts w:cs="Times New Roman"/>
          <w:szCs w:val="24"/>
        </w:rPr>
        <w:t xml:space="preserve"> in order to quantify how many cells have each gene knocked-out for the whole genome screen</w:t>
      </w:r>
      <w:r w:rsidRPr="00272904">
        <w:t>.</w:t>
      </w:r>
    </w:p>
    <w:p w14:paraId="1E3BD02C" w14:textId="6DDC14FA" w:rsidR="00AB0B9C" w:rsidRPr="007F7743" w:rsidRDefault="00AB0B9C" w:rsidP="00AB0B9C">
      <w:r w:rsidRPr="00F31C54">
        <w:t xml:space="preserve">Sufficient PCR1 reactions were performed to maintain high library coverage. For example, since MDA-MB-231 cells have an average copy number of 2.78 (COSMIC Cell Line Synopsis), </w:t>
      </w:r>
      <w:r w:rsidRPr="00F31C54">
        <w:rPr>
          <w:rFonts w:cs="Times New Roman"/>
        </w:rPr>
        <w:t xml:space="preserve">96.34 μg of gDNA was used per sample to give a 150x representation (150 (fold coverage) x 71,090 (sgRNAs) x </w:t>
      </w:r>
      <w:r w:rsidRPr="00F31C54">
        <w:t>2.78 (copy number) x 3.25</w:t>
      </w:r>
      <w:r w:rsidRPr="00F31C54">
        <w:rPr>
          <w:rFonts w:cs="Times New Roman"/>
        </w:rPr>
        <w:t xml:space="preserve"> pg (weight of </w:t>
      </w:r>
      <w:r w:rsidRPr="007F7743">
        <w:rPr>
          <w:rFonts w:cs="Times New Roman"/>
        </w:rPr>
        <w:t xml:space="preserve">haploid genomic DNA)). </w:t>
      </w:r>
      <w:r w:rsidRPr="007F7743">
        <w:t>Since 2.5 μg of gDNA was used per 50 μL PCR1 reaction, each biological sample required at least 39 PCR1 reactions (Suppleme</w:t>
      </w:r>
      <w:r w:rsidR="00EA67E7" w:rsidRPr="007F7743">
        <w:t xml:space="preserve">ntary Table </w:t>
      </w:r>
      <w:r w:rsidR="0011421A">
        <w:t>5</w:t>
      </w:r>
      <w:r w:rsidRPr="007F7743">
        <w:t>).</w:t>
      </w:r>
    </w:p>
    <w:p w14:paraId="77ADEEA4" w14:textId="21F30E7C" w:rsidR="00AB0B9C" w:rsidRPr="007F7743" w:rsidRDefault="00AB0B9C" w:rsidP="00AB0B9C">
      <w:r w:rsidRPr="007F7743">
        <w:t xml:space="preserve">PCR1 products for each sample were pooled and 100 μL per sample used for DNA purification with </w:t>
      </w:r>
      <w:r w:rsidRPr="007F7743">
        <w:rPr>
          <w:rStyle w:val="Strong"/>
          <w:b w:val="0"/>
        </w:rPr>
        <w:t xml:space="preserve">AMPure XP </w:t>
      </w:r>
      <w:r w:rsidRPr="007F7743">
        <w:t>beads (Beckman Coulter</w:t>
      </w:r>
      <w:r w:rsidRPr="007F7743">
        <w:rPr>
          <w:rFonts w:cs="Times New Roman"/>
          <w:szCs w:val="24"/>
        </w:rPr>
        <w:t xml:space="preserve">, </w:t>
      </w:r>
      <w:r w:rsidRPr="007F7743">
        <w:t>A63880</w:t>
      </w:r>
      <w:r w:rsidRPr="007F7743">
        <w:rPr>
          <w:rFonts w:cs="Times New Roman"/>
          <w:szCs w:val="24"/>
        </w:rPr>
        <w:t>)</w:t>
      </w:r>
      <w:r w:rsidRPr="007F7743">
        <w:t xml:space="preserve"> according to the manufacturers protocol. Briefly, a 0.4X bead volume was added to each sample to bind larger unwanted fragments (&gt;2,000 bp -such as genomic DNA and non-specific PCR1 products) and the supernatant removed for amplification in PCR2 (Supplementary Table </w:t>
      </w:r>
      <w:r w:rsidR="0011421A">
        <w:t>6</w:t>
      </w:r>
      <w:r w:rsidRPr="007F7743">
        <w:t>).</w:t>
      </w:r>
    </w:p>
    <w:p w14:paraId="66A8EE6E" w14:textId="273A16C2" w:rsidR="00AB0B9C" w:rsidRDefault="00AB0B9C" w:rsidP="00AB0B9C">
      <w:pPr>
        <w:rPr>
          <w:color w:val="ED7D31" w:themeColor="accent2"/>
        </w:rPr>
      </w:pPr>
      <w:r w:rsidRPr="007F7743">
        <w:t xml:space="preserve">The second stage of the two-step PCR approach </w:t>
      </w:r>
      <w:r w:rsidRPr="007F7743">
        <w:rPr>
          <w:lang w:val="en-AU"/>
        </w:rPr>
        <w:t>attached</w:t>
      </w:r>
      <w:r w:rsidRPr="007F7743">
        <w:t xml:space="preserve"> the adapters required for binding to the flow cell during cluster generation via bridge amplification as well as the indices necessary for demultiplexing samples </w:t>
      </w:r>
      <w:r w:rsidR="00EA67E7" w:rsidRPr="007F7743">
        <w:t xml:space="preserve">(Supplementary Table </w:t>
      </w:r>
      <w:r w:rsidR="0011421A">
        <w:t>7</w:t>
      </w:r>
      <w:r w:rsidRPr="007F7743">
        <w:t>). For each sample, we performed five PCR2 reactions with unique indices for each biological sample (One 50 μl reaction per per 1.</w:t>
      </w:r>
      <w:r w:rsidRPr="00F31C54">
        <w:t>5x10</w:t>
      </w:r>
      <w:r w:rsidRPr="00F31C54">
        <w:rPr>
          <w:vertAlign w:val="superscript"/>
        </w:rPr>
        <w:t>5</w:t>
      </w:r>
      <w:r w:rsidRPr="00F31C54">
        <w:t xml:space="preserve"> constructs in the library). The five PCR2 reactions per sample were pooled </w:t>
      </w:r>
      <w:r w:rsidRPr="00F31C54">
        <w:rPr>
          <w:rFonts w:eastAsia="TimesNewRomanPSMT" w:cs="Times New Roman"/>
        </w:rPr>
        <w:t xml:space="preserve">and concentrated into a lower volume of 30 μL using a QIAquick PCR purification kit (Qiagen cat #28104). The purified and concentrated PCR product was then run on a 2% agarose gel (TAE, 1:10,000 Red Safe) in order to excise the 200 bp band. The excised bands were then purified from the gel using a QIAquick gel </w:t>
      </w:r>
      <w:r w:rsidRPr="00CE2ACA">
        <w:rPr>
          <w:rFonts w:eastAsia="TimesNewRomanPSMT" w:cs="Times New Roman"/>
        </w:rPr>
        <w:t xml:space="preserve">extraction kit (Qiagen cat no. </w:t>
      </w:r>
      <w:r w:rsidRPr="00CE2ACA">
        <w:t>28704</w:t>
      </w:r>
      <w:r w:rsidRPr="00CE2ACA">
        <w:rPr>
          <w:rFonts w:eastAsia="TimesNewRomanPSMT" w:cs="Times New Roman"/>
        </w:rPr>
        <w:t>) and eluted in 50</w:t>
      </w:r>
      <w:r w:rsidRPr="00CE2ACA">
        <w:t xml:space="preserve"> µ</w:t>
      </w:r>
      <w:r w:rsidRPr="00CE2ACA">
        <w:rPr>
          <w:rFonts w:eastAsia="TimesNewRomanPSMT" w:cs="Times New Roman"/>
        </w:rPr>
        <w:t xml:space="preserve">L EB. A final </w:t>
      </w:r>
      <w:r w:rsidRPr="00CE2ACA">
        <w:t xml:space="preserve">DNA purification with </w:t>
      </w:r>
      <w:r w:rsidRPr="00CE2ACA">
        <w:rPr>
          <w:rStyle w:val="Strong"/>
          <w:b w:val="0"/>
        </w:rPr>
        <w:t xml:space="preserve">AMPure XP </w:t>
      </w:r>
      <w:r w:rsidRPr="00EA67E7">
        <w:t>beads (Beckman Coulter</w:t>
      </w:r>
      <w:r w:rsidRPr="00EA67E7">
        <w:rPr>
          <w:rFonts w:cs="Times New Roman"/>
          <w:szCs w:val="24"/>
        </w:rPr>
        <w:t xml:space="preserve">, </w:t>
      </w:r>
      <w:r w:rsidRPr="00EA67E7">
        <w:t>A63880</w:t>
      </w:r>
      <w:r w:rsidRPr="00EA67E7">
        <w:rPr>
          <w:rFonts w:cs="Times New Roman"/>
          <w:szCs w:val="24"/>
        </w:rPr>
        <w:t xml:space="preserve">) </w:t>
      </w:r>
      <w:r w:rsidRPr="00EA67E7">
        <w:rPr>
          <w:rFonts w:eastAsia="TimesNewRomanPSMT" w:cs="Times New Roman"/>
        </w:rPr>
        <w:t xml:space="preserve">at </w:t>
      </w:r>
      <w:r w:rsidRPr="00CE2ACA">
        <w:rPr>
          <w:rFonts w:eastAsia="TimesNewRomanPSMT" w:cs="Times New Roman"/>
        </w:rPr>
        <w:t xml:space="preserve">a 1.8X ratio was performed </w:t>
      </w:r>
      <w:r w:rsidRPr="00CE2ACA">
        <w:t>according to the manufacturers protocol</w:t>
      </w:r>
      <w:r w:rsidRPr="00CE2ACA">
        <w:rPr>
          <w:rFonts w:eastAsia="TimesNewRomanPSMT" w:cs="Times New Roman"/>
        </w:rPr>
        <w:t xml:space="preserve"> to remove some trace amounts of agarose, improving the A260/A230 ratio on </w:t>
      </w:r>
      <w:r w:rsidRPr="00EA67E7">
        <w:rPr>
          <w:rFonts w:eastAsia="TimesNewRomanPSMT" w:cs="Times New Roman"/>
        </w:rPr>
        <w:t xml:space="preserve">the NanoDrop.  Sample concentration was determined using the Qubit </w:t>
      </w:r>
      <w:r w:rsidRPr="00EA67E7">
        <w:rPr>
          <w:szCs w:val="24"/>
        </w:rPr>
        <w:t xml:space="preserve">2.0 Fluorometer (Thermo Fisher Scientific Inc, #Q32866) and the Qubit dsDNA HS assay Kit (#Q32851) </w:t>
      </w:r>
      <w:r w:rsidRPr="00EA67E7">
        <w:rPr>
          <w:rFonts w:cs="Times New Roman"/>
          <w:szCs w:val="24"/>
        </w:rPr>
        <w:t>in</w:t>
      </w:r>
      <w:r w:rsidRPr="00EA67E7">
        <w:t xml:space="preserve"> order </w:t>
      </w:r>
      <w:r w:rsidRPr="00CE2ACA">
        <w:t xml:space="preserve">for accurate quantification and normalisation of the indexed products </w:t>
      </w:r>
      <w:r w:rsidRPr="00CE2ACA">
        <w:rPr>
          <w:rFonts w:eastAsia="Times New Roman"/>
          <w:lang w:eastAsia="en-GB"/>
        </w:rPr>
        <w:t>to ensure all samples were evenly represented in the final sequencing pool. The b</w:t>
      </w:r>
      <w:r w:rsidRPr="00CE2ACA">
        <w:t>ead-cleaned PCR2 reactions were then pooled into one</w:t>
      </w:r>
      <w:r w:rsidR="00EA67E7">
        <w:t xml:space="preserve"> tube to create the NGS </w:t>
      </w:r>
      <w:r w:rsidR="00EA67E7" w:rsidRPr="00EA67E7">
        <w:t>library</w:t>
      </w:r>
      <w:r w:rsidRPr="00EA67E7">
        <w:t xml:space="preserve">. </w:t>
      </w:r>
    </w:p>
    <w:p w14:paraId="79CFDEAE" w14:textId="18552BAA" w:rsidR="00AB0B9C" w:rsidRDefault="00AB0B9C" w:rsidP="00AB0B9C">
      <w:pPr>
        <w:rPr>
          <w:rFonts w:eastAsia="Times New Roman" w:cs="Times New Roman"/>
          <w:color w:val="000000"/>
          <w:szCs w:val="24"/>
          <w:lang w:eastAsia="en-GB"/>
        </w:rPr>
      </w:pPr>
      <w:r w:rsidRPr="009F4319">
        <w:rPr>
          <w:rFonts w:eastAsia="Times New Roman" w:cs="Times New Roman"/>
          <w:color w:val="000000"/>
          <w:szCs w:val="24"/>
          <w:lang w:eastAsia="en-GB"/>
        </w:rPr>
        <w:t xml:space="preserve">The final pooled NGS library was then quantified and assessed for size distribution using the Qubit and Bioanalyzer, </w:t>
      </w:r>
      <w:r w:rsidRPr="00EA67E7">
        <w:rPr>
          <w:rFonts w:eastAsia="Times New Roman" w:cs="Times New Roman"/>
          <w:szCs w:val="24"/>
          <w:lang w:eastAsia="en-GB"/>
        </w:rPr>
        <w:t xml:space="preserve">respectively (Agilent Technologies, #G2939AA with the DNA HS Kit #5067-4626) and </w:t>
      </w:r>
      <w:r w:rsidRPr="009F4319">
        <w:rPr>
          <w:rFonts w:eastAsia="Times New Roman" w:cs="Times New Roman"/>
          <w:color w:val="000000"/>
          <w:szCs w:val="24"/>
          <w:lang w:eastAsia="en-GB"/>
        </w:rPr>
        <w:t xml:space="preserve">a diluted and denatured library (final loading concentration ~1.5pM) was sequenced on a NextSeq® 500/550 High Output Kit v2 (75 cycles). A custom 'dark cycle recipe', for dual-index, single-read reads was provided by Illumina. Dark cycles or base additions without imaging were used due to a lack </w:t>
      </w:r>
      <w:r w:rsidRPr="009F4319">
        <w:rPr>
          <w:rFonts w:eastAsia="Times New Roman" w:cs="Times New Roman"/>
          <w:szCs w:val="24"/>
          <w:lang w:eastAsia="en-GB"/>
        </w:rPr>
        <w:t xml:space="preserve">of sequence diversity </w:t>
      </w:r>
      <w:r w:rsidRPr="009F4319">
        <w:rPr>
          <w:rFonts w:eastAsia="Times New Roman" w:cs="Times New Roman"/>
          <w:color w:val="000000"/>
          <w:szCs w:val="24"/>
          <w:lang w:eastAsia="en-GB"/>
        </w:rPr>
        <w:t xml:space="preserve">in </w:t>
      </w:r>
      <w:r w:rsidRPr="009F4319">
        <w:rPr>
          <w:rFonts w:eastAsia="Times New Roman" w:cs="Times New Roman"/>
          <w:color w:val="000000"/>
          <w:szCs w:val="24"/>
          <w:lang w:eastAsia="en-GB"/>
        </w:rPr>
        <w:lastRenderedPageBreak/>
        <w:t>the beginning of Read 1.</w:t>
      </w:r>
      <w:r w:rsidRPr="009F4319">
        <w:rPr>
          <w:rFonts w:ascii="Calibri" w:eastAsia="Times New Roman" w:hAnsi="Calibri" w:cs="Calibri"/>
          <w:color w:val="000000"/>
          <w:szCs w:val="24"/>
          <w:lang w:eastAsia="en-GB"/>
        </w:rPr>
        <w:t> </w:t>
      </w:r>
      <w:r w:rsidRPr="009F4319">
        <w:rPr>
          <w:rFonts w:eastAsia="Times New Roman" w:cs="Times New Roman"/>
          <w:szCs w:val="24"/>
          <w:lang w:eastAsia="en-GB"/>
        </w:rPr>
        <w:t xml:space="preserve">23 dark cycles were run before 20 Read 1 cycles. </w:t>
      </w:r>
      <w:r w:rsidRPr="009F4319">
        <w:rPr>
          <w:rFonts w:eastAsia="Times New Roman" w:cs="Times New Roman"/>
          <w:color w:val="000000"/>
          <w:szCs w:val="24"/>
          <w:lang w:eastAsia="en-GB"/>
        </w:rPr>
        <w:t xml:space="preserve">Additionally, a Phix v3 Control </w:t>
      </w:r>
      <w:r w:rsidRPr="00EA67E7">
        <w:rPr>
          <w:rFonts w:eastAsia="Times New Roman" w:cs="Times New Roman"/>
          <w:szCs w:val="24"/>
          <w:lang w:eastAsia="en-GB"/>
        </w:rPr>
        <w:t>library (Illumina Inc, #FC-110-3001) spike in of 1</w:t>
      </w:r>
      <w:r w:rsidRPr="009F4319">
        <w:rPr>
          <w:rFonts w:eastAsia="Times New Roman" w:cs="Times New Roman"/>
          <w:color w:val="000000"/>
          <w:szCs w:val="24"/>
          <w:lang w:eastAsia="en-GB"/>
        </w:rPr>
        <w:t>% was used to maintain sequencing diversity.</w:t>
      </w:r>
    </w:p>
    <w:p w14:paraId="369EA88E" w14:textId="27C6F74A" w:rsidR="00AB0B9C" w:rsidRDefault="00AB0B9C" w:rsidP="00AB0B9C">
      <w:pPr>
        <w:pStyle w:val="Heading3"/>
      </w:pPr>
      <w:bookmarkStart w:id="8" w:name="_Toc35419917"/>
      <w:r w:rsidRPr="0058354A">
        <w:t>DrugZ Analysis</w:t>
      </w:r>
      <w:bookmarkEnd w:id="8"/>
    </w:p>
    <w:p w14:paraId="17099492" w14:textId="6EA42C51" w:rsidR="001A07DD" w:rsidRPr="002302E1" w:rsidRDefault="001A07DD" w:rsidP="001A07DD">
      <w:r>
        <w:rPr>
          <w:rFonts w:eastAsia="Times New Roman"/>
        </w:rPr>
        <w:t xml:space="preserve">There was high sequence similarity between T0 and the </w:t>
      </w:r>
      <w:r w:rsidR="00250F8D">
        <w:rPr>
          <w:rFonts w:eastAsia="Times New Roman"/>
        </w:rPr>
        <w:t>Addgene</w:t>
      </w:r>
      <w:r>
        <w:rPr>
          <w:rFonts w:eastAsia="Times New Roman"/>
        </w:rPr>
        <w:t xml:space="preserve"> pre-amplification library (</w:t>
      </w:r>
      <w:r w:rsidRPr="00A46963">
        <w:rPr>
          <w:rFonts w:eastAsia="Times New Roman"/>
        </w:rPr>
        <w:t>Pearson’s</w:t>
      </w:r>
      <w:r>
        <w:rPr>
          <w:rFonts w:eastAsia="Times New Roman"/>
        </w:rPr>
        <w:t>,</w:t>
      </w:r>
      <w:r w:rsidRPr="00A46963">
        <w:rPr>
          <w:rFonts w:eastAsia="Times New Roman"/>
        </w:rPr>
        <w:t xml:space="preserve"> r </w:t>
      </w:r>
      <w:r w:rsidRPr="00B369FA">
        <w:rPr>
          <w:rFonts w:eastAsia="Times New Roman"/>
        </w:rPr>
        <w:t>=</w:t>
      </w:r>
      <w:r>
        <w:rPr>
          <w:rFonts w:eastAsia="Times New Roman"/>
        </w:rPr>
        <w:t xml:space="preserve"> </w:t>
      </w:r>
      <w:r w:rsidRPr="00B369FA">
        <w:rPr>
          <w:rFonts w:eastAsia="Times New Roman"/>
        </w:rPr>
        <w:t>0.</w:t>
      </w:r>
      <w:r w:rsidRPr="00C37988">
        <w:rPr>
          <w:rFonts w:eastAsia="Times New Roman"/>
        </w:rPr>
        <w:t xml:space="preserve">749), verifying that very few guide sequences were lost during lentiviral library amplification. Additionally, there was </w:t>
      </w:r>
      <w:r>
        <w:rPr>
          <w:rFonts w:eastAsia="Times New Roman"/>
        </w:rPr>
        <w:t>ample coverage of each gRNA with a mean read count of 530</w:t>
      </w:r>
      <w:r w:rsidRPr="00391B22">
        <w:rPr>
          <w:rFonts w:eastAsia="Times New Roman"/>
        </w:rPr>
        <w:t>.</w:t>
      </w:r>
      <w:r>
        <w:rPr>
          <w:rFonts w:eastAsia="Times New Roman"/>
        </w:rPr>
        <w:t xml:space="preserve"> </w:t>
      </w:r>
      <w:r>
        <w:t>Low read counts per gRNA are an expected and fundamental part of CRISPR drug-gene interaction screens. To account for this it is important to have high read coverage, to remove samples with a read count of zero at T0 and to use an algorithm designed to not penalise low read counts such as DrugZ</w:t>
      </w:r>
      <w:r w:rsidR="002302E1">
        <w:t xml:space="preserve"> (</w:t>
      </w:r>
      <w:r w:rsidR="00CC537A" w:rsidRPr="002302E1">
        <w:fldChar w:fldCharType="begin" w:fldLock="1"/>
      </w:r>
      <w:r w:rsidR="00CC537A" w:rsidRPr="002302E1">
        <w:instrText xml:space="preserve"> ADDIN PAPERS2_CITATIONS &lt;citation&gt;&lt;uuid&gt;4FE74B0A-F2CD-4BBF-BB9A-AC0E125CA4D0&lt;/uuid&gt;&lt;priority&gt;0&lt;/priority&gt;&lt;publications&gt;&lt;publication&gt;&lt;doi&gt;10.1101/232736&lt;/doi&gt;&lt;publication_date&gt;99201700000000000000200000&lt;/publication_date&gt;&lt;subtype&gt;400&lt;/subtype&gt;&lt;title&gt;Identifying drug-gene interactions from CRISPR knockout screens with drugZ&lt;/title&gt;&lt;type&gt;400&lt;/type&gt;&lt;uuid&gt;22370140-c39c-42ae-bc25-dc9eee899d14&lt;/uuid&gt;&lt;authors&gt;&lt;author&gt;&lt;lastName&gt;Wang&lt;/lastName&gt;&lt;firstName&gt;Gang&lt;/firstName&gt;&lt;/author&gt;&lt;author&gt;&lt;lastName&gt;Zimmermann&lt;/lastName&gt;&lt;firstName&gt;Michal&lt;/firstName&gt;&lt;/author&gt;&lt;author&gt;&lt;lastName&gt;Mascall&lt;/lastName&gt;&lt;firstName&gt;Keith&lt;/firstName&gt;&lt;/author&gt;&lt;author&gt;&lt;lastName&gt;Lenoir&lt;/lastName&gt;&lt;firstName&gt;Walter&lt;/firstName&gt;&lt;middleNames&gt;F&lt;/middleNames&gt;&lt;/author&gt;&lt;author&gt;&lt;lastName&gt;Moffat&lt;/lastName&gt;&lt;firstName&gt;Jason&lt;/firstName&gt;&lt;/author&gt;&lt;author&gt;&lt;lastName&gt;Angers&lt;/lastName&gt;&lt;firstName&gt;Stephane&lt;/firstName&gt;&lt;/author&gt;&lt;author&gt;&lt;lastName&gt;Durocher&lt;/lastName&gt;&lt;firstName&gt;Daniel&lt;/firstName&gt;&lt;/author&gt;&lt;author&gt;&lt;lastName&gt;Hart&lt;/lastName&gt;&lt;firstName&gt;Traver&lt;/firstName&gt;&lt;/author&gt;&lt;/authors&gt;&lt;editors /&gt;&lt;translators /&gt;&lt;photographers /&gt;&lt;livfe_id /&gt;&lt;citekey&gt;Wang:2017ji&lt;/citekey&gt;&lt;subtitle p4:nil="true" xmlns:p4="http://www.w3.org/2001/XMLSchema-instance" /&gt;&lt;submission_date /&gt;&lt;revision_date /&gt;&lt;accepted_date /&gt;&lt;is_bundle&gt;0&lt;/is_bundle&gt;&lt;bundle p4:nil="true" xmlns:p4="http://www.w3.org/2001/XMLSchema-instance" /&gt;&lt;url&gt;http://dx.doi.org/10.1101/232736&lt;/url&gt;&lt;/publication&gt;&lt;/publications&gt;&lt;cites /&gt;&lt;/citation&gt;</w:instrText>
      </w:r>
      <w:r w:rsidR="00CC537A" w:rsidRPr="002302E1">
        <w:fldChar w:fldCharType="separate"/>
      </w:r>
      <w:r w:rsidR="00CC537A" w:rsidRPr="002302E1">
        <w:t>5</w:t>
      </w:r>
      <w:r w:rsidR="00CC537A" w:rsidRPr="002302E1">
        <w:fldChar w:fldCharType="end"/>
      </w:r>
      <w:r w:rsidR="002302E1" w:rsidRPr="002302E1">
        <w:t>)</w:t>
      </w:r>
      <w:r w:rsidRPr="002302E1">
        <w:t>.</w:t>
      </w:r>
    </w:p>
    <w:p w14:paraId="7FB5266D" w14:textId="450B556C" w:rsidR="00AB0B9C" w:rsidRPr="002302E1" w:rsidRDefault="00AB0B9C" w:rsidP="006C2819">
      <w:pPr>
        <w:rPr>
          <w:rFonts w:eastAsia="Times New Roman" w:cs="Times New Roman"/>
          <w:color w:val="000000"/>
          <w:szCs w:val="24"/>
          <w:lang w:eastAsia="en-GB"/>
        </w:rPr>
      </w:pPr>
      <w:r w:rsidRPr="009F4319">
        <w:rPr>
          <w:rFonts w:eastAsia="Times New Roman" w:cs="Times New Roman"/>
          <w:color w:val="000000"/>
          <w:szCs w:val="24"/>
          <w:lang w:val="en-US" w:eastAsia="en-GB"/>
        </w:rPr>
        <w:t>FASTQ</w:t>
      </w:r>
      <w:r w:rsidRPr="009F4319">
        <w:rPr>
          <w:rFonts w:eastAsia="Times New Roman" w:cs="Times New Roman"/>
          <w:color w:val="000000"/>
          <w:szCs w:val="24"/>
          <w:lang w:eastAsia="en-GB"/>
        </w:rPr>
        <w:t xml:space="preserve"> files containing the library reads were </w:t>
      </w:r>
      <w:r w:rsidRPr="009F4319">
        <w:rPr>
          <w:rFonts w:eastAsia="Times New Roman" w:cs="Times New Roman"/>
          <w:color w:val="000000"/>
          <w:szCs w:val="24"/>
          <w:lang w:val="en-US" w:eastAsia="en-GB"/>
        </w:rPr>
        <w:t>demultiplexed</w:t>
      </w:r>
      <w:r w:rsidRPr="009F4319">
        <w:rPr>
          <w:rFonts w:eastAsia="Times New Roman" w:cs="Times New Roman"/>
          <w:color w:val="000000"/>
          <w:szCs w:val="24"/>
          <w:lang w:eastAsia="en-GB"/>
        </w:rPr>
        <w:t xml:space="preserve"> from dual-indices i5 and i7 on the Sample Sheet run on the NextSeq</w:t>
      </w:r>
      <w:r w:rsidRPr="009F4319">
        <w:rPr>
          <w:rFonts w:eastAsia="Times New Roman" w:cs="Times New Roman"/>
          <w:szCs w:val="24"/>
          <w:lang w:eastAsia="en-GB"/>
        </w:rPr>
        <w:t xml:space="preserve"> using Illumina Basespace. Bowtie v1​.2.2 was used to align reads to the ‘TKOv3 guide </w:t>
      </w:r>
      <w:r w:rsidRPr="00EA67E7">
        <w:rPr>
          <w:rFonts w:eastAsia="Times New Roman" w:cs="Times New Roman"/>
          <w:szCs w:val="24"/>
          <w:lang w:eastAsia="en-GB"/>
        </w:rPr>
        <w:t xml:space="preserve">sequences’ list (available at https://www.addgene.org/pooled-library/moffat-crispr-knockout-tkov3/). </w:t>
      </w:r>
      <w:r w:rsidRPr="009F4319">
        <w:rPr>
          <w:rFonts w:eastAsia="Times New Roman" w:cs="Times New Roman"/>
          <w:szCs w:val="24"/>
          <w:lang w:eastAsia="en-GB"/>
        </w:rPr>
        <w:t>Up to two mismatches were allowed ​for each alignment, but ​alignments were only retained if they were unique to a single guide reference sequence (using the "-m 1" and "-v 2" options in bowtie). This enabled quantification of reads originating from each sgRNA in the TKOv3 library. The resulting table was then fed into the DrugZ analysis pipeline</w:t>
      </w:r>
      <w:r w:rsidR="002302E1">
        <w:rPr>
          <w:rFonts w:eastAsia="Times New Roman" w:cs="Times New Roman"/>
          <w:szCs w:val="24"/>
          <w:lang w:eastAsia="en-GB"/>
        </w:rPr>
        <w:t xml:space="preserve"> (</w:t>
      </w:r>
      <w:r w:rsidR="00CC537A" w:rsidRPr="002302E1">
        <w:rPr>
          <w:rFonts w:eastAsia="Times New Roman" w:cs="Times New Roman"/>
          <w:szCs w:val="24"/>
          <w:lang w:eastAsia="en-GB"/>
        </w:rPr>
        <w:fldChar w:fldCharType="begin" w:fldLock="1"/>
      </w:r>
      <w:r w:rsidR="00CC537A" w:rsidRPr="002302E1">
        <w:rPr>
          <w:rFonts w:eastAsia="Times New Roman" w:cs="Times New Roman"/>
          <w:szCs w:val="24"/>
          <w:lang w:eastAsia="en-GB"/>
        </w:rPr>
        <w:instrText xml:space="preserve"> ADDIN PAPERS2_CITATIONS &lt;citation&gt;&lt;uuid&gt;4FE74B0A-F2CD-4BBF-BB9A-AC0E125CA4D0&lt;/uuid&gt;&lt;priority&gt;0&lt;/priority&gt;&lt;publications&gt;&lt;publication&gt;&lt;doi&gt;10.1101/232736&lt;/doi&gt;&lt;publication_date&gt;99201700000000000000200000&lt;/publication_date&gt;&lt;subtype&gt;400&lt;/subtype&gt;&lt;title&gt;Identifying drug-gene interactions from CRISPR knockout screens with drugZ&lt;/title&gt;&lt;type&gt;400&lt;/type&gt;&lt;uuid&gt;22370140-c39c-42ae-bc25-dc9eee899d14&lt;/uuid&gt;&lt;authors&gt;&lt;author&gt;&lt;lastName&gt;Wang&lt;/lastName&gt;&lt;firstName&gt;Gang&lt;/firstName&gt;&lt;/author&gt;&lt;author&gt;&lt;lastName&gt;Zimmermann&lt;/lastName&gt;&lt;firstName&gt;Michal&lt;/firstName&gt;&lt;/author&gt;&lt;author&gt;&lt;lastName&gt;Mascall&lt;/lastName&gt;&lt;firstName&gt;Keith&lt;/firstName&gt;&lt;/author&gt;&lt;author&gt;&lt;lastName&gt;Lenoir&lt;/lastName&gt;&lt;firstName&gt;Walter&lt;/firstName&gt;&lt;middleNames&gt;F&lt;/middleNames&gt;&lt;/author&gt;&lt;author&gt;&lt;lastName&gt;Moffat&lt;/lastName&gt;&lt;firstName&gt;Jason&lt;/firstName&gt;&lt;/author&gt;&lt;author&gt;&lt;lastName&gt;Angers&lt;/lastName&gt;&lt;firstName&gt;Stephane&lt;/firstName&gt;&lt;/author&gt;&lt;author&gt;&lt;lastName&gt;Durocher&lt;/lastName&gt;&lt;firstName&gt;Daniel&lt;/firstName&gt;&lt;/author&gt;&lt;author&gt;&lt;lastName&gt;Hart&lt;/lastName&gt;&lt;firstName&gt;Traver&lt;/firstName&gt;&lt;/author&gt;&lt;/authors&gt;&lt;editors /&gt;&lt;translators /&gt;&lt;photographers /&gt;&lt;livfe_id /&gt;&lt;citekey&gt;Wang:2017ji&lt;/citekey&gt;&lt;subtitle p4:nil="true" xmlns:p4="http://www.w3.org/2001/XMLSchema-instance" /&gt;&lt;submission_date /&gt;&lt;revision_date /&gt;&lt;accepted_date /&gt;&lt;is_bundle&gt;0&lt;/is_bundle&gt;&lt;bundle p4:nil="true" xmlns:p4="http://www.w3.org/2001/XMLSchema-instance" /&gt;&lt;url&gt;http://dx.doi.org/10.1101/232736&lt;/url&gt;&lt;/publication&gt;&lt;/publications&gt;&lt;cites /&gt;&lt;/citation&gt;</w:instrText>
      </w:r>
      <w:r w:rsidR="00CC537A" w:rsidRPr="002302E1">
        <w:rPr>
          <w:rFonts w:eastAsia="Times New Roman" w:cs="Times New Roman"/>
          <w:szCs w:val="24"/>
          <w:lang w:eastAsia="en-GB"/>
        </w:rPr>
        <w:fldChar w:fldCharType="separate"/>
      </w:r>
      <w:r w:rsidR="00CC537A" w:rsidRPr="002302E1">
        <w:rPr>
          <w:rFonts w:eastAsia="Times New Roman" w:cs="Times New Roman"/>
          <w:szCs w:val="24"/>
          <w:lang w:eastAsia="en-GB"/>
        </w:rPr>
        <w:t>5</w:t>
      </w:r>
      <w:r w:rsidR="00CC537A" w:rsidRPr="002302E1">
        <w:rPr>
          <w:rFonts w:eastAsia="Times New Roman" w:cs="Times New Roman"/>
          <w:szCs w:val="24"/>
          <w:lang w:eastAsia="en-GB"/>
        </w:rPr>
        <w:fldChar w:fldCharType="end"/>
      </w:r>
      <w:r w:rsidR="002302E1" w:rsidRPr="002302E1">
        <w:rPr>
          <w:rFonts w:eastAsia="Times New Roman" w:cs="Times New Roman"/>
          <w:szCs w:val="24"/>
          <w:lang w:eastAsia="en-GB"/>
        </w:rPr>
        <w:t>)</w:t>
      </w:r>
      <w:r w:rsidRPr="002302E1">
        <w:rPr>
          <w:rFonts w:eastAsia="Times New Roman" w:cs="Times New Roman"/>
          <w:color w:val="000000"/>
          <w:szCs w:val="24"/>
          <w:lang w:eastAsia="en-GB"/>
        </w:rPr>
        <w:t>.</w:t>
      </w:r>
    </w:p>
    <w:p w14:paraId="63901171" w14:textId="77777777" w:rsidR="00A80C38" w:rsidRPr="007F7743" w:rsidRDefault="00A80C38" w:rsidP="00A80C38">
      <w:pPr>
        <w:pStyle w:val="Heading3"/>
        <w:rPr>
          <w:color w:val="auto"/>
        </w:rPr>
      </w:pPr>
      <w:r w:rsidRPr="007F7743">
        <w:rPr>
          <w:color w:val="auto"/>
        </w:rPr>
        <w:t>RNA Sequencing</w:t>
      </w:r>
    </w:p>
    <w:p w14:paraId="28FA00FB" w14:textId="300860F0" w:rsidR="00B36F5E" w:rsidRDefault="00DF4C6C" w:rsidP="006C2819">
      <w:r w:rsidRPr="007F7743">
        <w:t>The flow cell generated a cluster density of 289K/mm</w:t>
      </w:r>
      <w:r w:rsidRPr="007F7743">
        <w:rPr>
          <w:vertAlign w:val="superscript"/>
        </w:rPr>
        <w:t>2</w:t>
      </w:r>
      <w:r w:rsidRPr="007F7743">
        <w:t xml:space="preserve"> with 78.5% of clusters passing quality filters. This produced 47 Gb of data with 86.2% ≥Q30. Coverage of each library was fairly even and all libraries generated &gt;6x10</w:t>
      </w:r>
      <w:r w:rsidRPr="007F7743">
        <w:rPr>
          <w:vertAlign w:val="superscript"/>
        </w:rPr>
        <w:t>6</w:t>
      </w:r>
      <w:r w:rsidRPr="007F7743">
        <w:t xml:space="preserve"> reads (Mean: 7.9x10</w:t>
      </w:r>
      <w:r w:rsidRPr="007F7743">
        <w:rPr>
          <w:vertAlign w:val="superscript"/>
        </w:rPr>
        <w:t>6</w:t>
      </w:r>
      <w:r w:rsidRPr="007F7743">
        <w:t>).</w:t>
      </w:r>
      <w:r w:rsidR="005B677C">
        <w:t xml:space="preserve">  Differential expression analysis was undertaken with the EdgeR (v3.26.8) and Limma (v3.40.6) packages. G</w:t>
      </w:r>
      <w:r w:rsidR="005B677C" w:rsidRPr="0087002A">
        <w:rPr>
          <w:rFonts w:eastAsia="Times New Roman"/>
          <w:color w:val="000000"/>
          <w:lang w:eastAsia="en-GB"/>
        </w:rPr>
        <w:t>ene IDs were r</w:t>
      </w:r>
      <w:r w:rsidR="005B677C" w:rsidRPr="0087002A">
        <w:rPr>
          <w:rFonts w:eastAsia="Times New Roman"/>
          <w:bCs/>
          <w:color w:val="000000"/>
          <w:lang w:eastAsia="en-GB"/>
        </w:rPr>
        <w:t>etained if they were expressed at a coun</w:t>
      </w:r>
      <w:r w:rsidR="005B677C">
        <w:rPr>
          <w:rFonts w:eastAsia="Times New Roman"/>
          <w:bCs/>
          <w:color w:val="000000"/>
          <w:lang w:eastAsia="en-GB"/>
        </w:rPr>
        <w:t xml:space="preserve">ts-per-million </w:t>
      </w:r>
      <w:r w:rsidR="005B677C" w:rsidRPr="00DB6DC6">
        <w:rPr>
          <w:rFonts w:eastAsia="Times New Roman"/>
          <w:bCs/>
          <w:lang w:eastAsia="en-GB"/>
        </w:rPr>
        <w:t>above</w:t>
      </w:r>
      <w:r w:rsidR="005B677C">
        <w:rPr>
          <w:rFonts w:eastAsia="Times New Roman"/>
          <w:bCs/>
          <w:lang w:eastAsia="en-GB"/>
        </w:rPr>
        <w:t xml:space="preserve"> 1.0 in at least three out of twelve</w:t>
      </w:r>
      <w:r w:rsidR="005B677C" w:rsidRPr="00DB6DC6">
        <w:rPr>
          <w:rFonts w:eastAsia="Times New Roman"/>
          <w:bCs/>
          <w:lang w:eastAsia="en-GB"/>
        </w:rPr>
        <w:t xml:space="preserve"> samples. </w:t>
      </w:r>
      <w:r w:rsidR="005B677C" w:rsidRPr="00DB6DC6">
        <w:t xml:space="preserve">The </w:t>
      </w:r>
      <w:r w:rsidR="005B677C">
        <w:t>trimmed mean of M-values normalisation method was applied to eliminate composition biases between libraries.</w:t>
      </w:r>
      <w:r w:rsidR="00C11C38">
        <w:t xml:space="preserve"> T</w:t>
      </w:r>
      <w:r w:rsidR="00C11C38">
        <w:rPr>
          <w:color w:val="000000"/>
        </w:rPr>
        <w:t>he latest ‘Org.Hs.ed.db’ was used for annotating Ensemble gene IDs to Gene symbol</w:t>
      </w:r>
      <w:r w:rsidR="00C11C38">
        <w:t xml:space="preserve">s. </w:t>
      </w:r>
      <w:r w:rsidR="00C11C38" w:rsidRPr="005D688E">
        <w:t>Unannotated genes were removed and r</w:t>
      </w:r>
      <w:r w:rsidR="00C11C38">
        <w:t>emaining count data was normalis</w:t>
      </w:r>
      <w:r w:rsidR="00C11C38" w:rsidRPr="005D688E">
        <w:t xml:space="preserve">ed using </w:t>
      </w:r>
      <w:r w:rsidR="00C11C38">
        <w:t>EdgeR.</w:t>
      </w:r>
      <w:r w:rsidR="00D27A45">
        <w:t xml:space="preserve"> The</w:t>
      </w:r>
      <w:r w:rsidR="00D27A45" w:rsidRPr="00687E16">
        <w:t xml:space="preserve"> </w:t>
      </w:r>
      <w:r w:rsidR="00D27A45" w:rsidRPr="00D36BF5">
        <w:t>glmQLFit</w:t>
      </w:r>
      <w:r w:rsidR="00D27A45">
        <w:rPr>
          <w:color w:val="000000"/>
        </w:rPr>
        <w:t xml:space="preserve"> command was used to </w:t>
      </w:r>
      <w:r w:rsidR="00D27A45" w:rsidRPr="005D688E">
        <w:t>fit a linear model to the data</w:t>
      </w:r>
      <w:r w:rsidR="00D27A45">
        <w:t>.</w:t>
      </w:r>
    </w:p>
    <w:p w14:paraId="1A046A5D" w14:textId="77777777" w:rsidR="00B36F5E" w:rsidRDefault="00B36F5E" w:rsidP="00B36F5E">
      <w:pPr>
        <w:pStyle w:val="Heading3"/>
      </w:pPr>
      <w:bookmarkStart w:id="9" w:name="_Toc9599469"/>
      <w:bookmarkStart w:id="10" w:name="_Toc40009151"/>
      <w:r>
        <w:t xml:space="preserve">CRISPR </w:t>
      </w:r>
      <w:bookmarkEnd w:id="9"/>
      <w:r>
        <w:t xml:space="preserve">knock out of </w:t>
      </w:r>
      <w:r w:rsidRPr="00B06E2B">
        <w:t>ILK</w:t>
      </w:r>
      <w:r>
        <w:t xml:space="preserve"> </w:t>
      </w:r>
      <w:r w:rsidRPr="00F04432">
        <w:t>and</w:t>
      </w:r>
      <w:r>
        <w:t xml:space="preserve"> ABL1 in mammalian cells</w:t>
      </w:r>
      <w:bookmarkEnd w:id="10"/>
    </w:p>
    <w:p w14:paraId="367128B5" w14:textId="405F862E" w:rsidR="00875B28" w:rsidRDefault="00875B28" w:rsidP="00875B28">
      <w:pPr>
        <w:rPr>
          <w:szCs w:val="24"/>
        </w:rPr>
      </w:pPr>
      <w:r w:rsidRPr="005D6F69">
        <w:rPr>
          <w:color w:val="000000"/>
          <w:szCs w:val="24"/>
        </w:rPr>
        <w:t xml:space="preserve">The </w:t>
      </w:r>
      <w:r w:rsidRPr="005D6F69">
        <w:rPr>
          <w:rFonts w:eastAsia="PalatinoLinotype-Roman"/>
          <w:szCs w:val="24"/>
        </w:rPr>
        <w:t>CRISPR-</w:t>
      </w:r>
      <w:r>
        <w:rPr>
          <w:rFonts w:eastAsia="PalatinoLinotype-Roman"/>
          <w:szCs w:val="24"/>
        </w:rPr>
        <w:t>(e)Cas9</w:t>
      </w:r>
      <w:r w:rsidRPr="005D6F69">
        <w:rPr>
          <w:rFonts w:eastAsia="PalatinoLinotype-Roman"/>
          <w:szCs w:val="24"/>
        </w:rPr>
        <w:t xml:space="preserve"> constructs were created as described by Ran </w:t>
      </w:r>
      <w:r w:rsidRPr="005D6F69">
        <w:rPr>
          <w:rFonts w:eastAsia="PalatinoLinotype-Roman"/>
          <w:i/>
          <w:szCs w:val="24"/>
        </w:rPr>
        <w:t xml:space="preserve">et </w:t>
      </w:r>
      <w:r w:rsidRPr="002302E1">
        <w:rPr>
          <w:rFonts w:eastAsia="PalatinoLinotype-Roman"/>
          <w:i/>
          <w:szCs w:val="24"/>
        </w:rPr>
        <w:t>al</w:t>
      </w:r>
      <w:r w:rsidR="002302E1" w:rsidRPr="002302E1">
        <w:rPr>
          <w:rFonts w:eastAsia="PalatinoLinotype-Roman"/>
          <w:i/>
          <w:szCs w:val="24"/>
        </w:rPr>
        <w:t xml:space="preserve"> </w:t>
      </w:r>
      <w:r w:rsidR="008E0E2B" w:rsidRPr="002302E1">
        <w:rPr>
          <w:rFonts w:eastAsia="PalatinoLinotype-Roman"/>
          <w:iCs/>
          <w:szCs w:val="24"/>
        </w:rPr>
        <w:t>(</w:t>
      </w:r>
      <w:r w:rsidR="00CC537A" w:rsidRPr="002302E1">
        <w:rPr>
          <w:rFonts w:eastAsia="PalatinoLinotype-Roman"/>
          <w:szCs w:val="24"/>
        </w:rPr>
        <w:fldChar w:fldCharType="begin" w:fldLock="1"/>
      </w:r>
      <w:r w:rsidR="00CC537A" w:rsidRPr="002302E1">
        <w:rPr>
          <w:rFonts w:eastAsia="PalatinoLinotype-Roman"/>
          <w:szCs w:val="24"/>
        </w:rPr>
        <w:instrText xml:space="preserve"> ADDIN PAPERS2_CITATIONS &lt;citation&gt;&lt;uuid&gt;60B54B2A-351A-4092-BBC1-3168BCB2EDBE&lt;/uuid&gt;&lt;priority&gt;0&lt;/priority&gt;&lt;publications&gt;&lt;publication&gt;&lt;doi&gt;10.1038/nprot.2013.143&lt;/doi&gt;&lt;endpage&gt;2308&lt;/endpage&gt;&lt;publication_date&gt;99201311000000000000220000&lt;/publication_date&gt;&lt;startpage&gt;2281&lt;/startpage&gt;&lt;subtype&gt;400&lt;/subtype&gt;&lt;title&gt;Genome engineering using the CRISPR-Cas9 system.&lt;/title&gt;&lt;type&gt;400&lt;/type&gt;&lt;volume&gt;8&lt;/volume&gt;&lt;uuid&gt;FDDAD1E1-40DD-4FFB-926B-3AD4EFAF61C9&lt;/uuid&gt;&lt;authors&gt;&lt;author&gt;&lt;lastName&gt;Ran&lt;/lastName&gt;&lt;firstName&gt;F&lt;/firstName&gt;&lt;middleNames&gt;Ann&lt;/middleNames&gt;&lt;/author&gt;&lt;author&gt;&lt;lastName&gt;Hsu&lt;/lastName&gt;&lt;firstName&gt;Patrick&lt;/firstName&gt;&lt;middleNames&gt;D&lt;/middleNames&gt;&lt;/author&gt;&lt;author&gt;&lt;lastName&gt;Wright&lt;/lastName&gt;&lt;firstName&gt;Jason&lt;/firstName&gt;&lt;/author&gt;&lt;author&gt;&lt;lastName&gt;Agarwala&lt;/lastName&gt;&lt;firstName&gt;Vineeta&lt;/firstName&gt;&lt;/author&gt;&lt;author&gt;&lt;lastName&gt;Scott&lt;/lastName&gt;&lt;firstName&gt;David&lt;/firstName&gt;&lt;middleNames&gt;A&lt;/middleNames&gt;&lt;/author&gt;&lt;author&gt;&lt;lastName&gt;Zhang&lt;/lastName&gt;&lt;firstName&gt;Feng&lt;/firstName&gt;&lt;/author&gt;&lt;/authors&gt;&lt;editors /&gt;&lt;translators /&gt;&lt;photographers /&gt;&lt;livfe_id /&gt;&lt;citekey&gt;Ran:2013dm&lt;/citekey&gt;&lt;subtitle p4:nil="true" xmlns:p4="http://www.w3.org/2001/XMLSchema-instance" /&gt;&lt;submission_date /&gt;&lt;revision_date /&gt;&lt;accepted_date /&gt;&lt;is_bundle&gt;0&lt;/is_bundle&gt;&lt;institution&gt;1] Broad Institute of Massachusetts Institute of Technology (MIT) and Harvard, Cambridge, Massachusetts, USA. [2] McGovern Institute for Brain Research, Cambridge, Massachusetts, USA. [3] Department of Brain and Cognitive Sciences, MIT, Cambridge, Massachusetts, USA. [4] Department of Biological Engineering, MIT, Cambridge, Massachusetts, USA. [5] Department of Molecular and Cellular Biology, Harvard University, Cambridge, Massachusetts, USA. [6].&lt;/institution&gt;&lt;bundle p4:nil="true" xmlns:p4="http://www.w3.org/2001/XMLSchema-instance" /&gt;&lt;url&gt;http://eutils.ncbi.nlm.nih.gov/entrez/eutils/elink.fcgi?dbfrom=pubmed&amp;amp;id=24157548&amp;amp;retmode=ref&amp;amp;cmd=prlinks&lt;/url&gt;&lt;/publication&gt;&lt;/publications&gt;&lt;cites /&gt;&lt;/citation&gt;</w:instrText>
      </w:r>
      <w:r w:rsidR="00CC537A" w:rsidRPr="002302E1">
        <w:rPr>
          <w:rFonts w:eastAsia="PalatinoLinotype-Roman"/>
          <w:szCs w:val="24"/>
        </w:rPr>
        <w:fldChar w:fldCharType="separate"/>
      </w:r>
      <w:r w:rsidR="00CC537A" w:rsidRPr="002302E1">
        <w:rPr>
          <w:rFonts w:eastAsia="PalatinoLinotype-Roman"/>
          <w:szCs w:val="24"/>
        </w:rPr>
        <w:t>6</w:t>
      </w:r>
      <w:r w:rsidR="00CC537A" w:rsidRPr="002302E1">
        <w:rPr>
          <w:rFonts w:eastAsia="PalatinoLinotype-Roman"/>
          <w:szCs w:val="24"/>
        </w:rPr>
        <w:fldChar w:fldCharType="end"/>
      </w:r>
      <w:r w:rsidR="008E0E2B" w:rsidRPr="002302E1">
        <w:rPr>
          <w:rFonts w:eastAsia="PalatinoLinotype-Roman"/>
          <w:szCs w:val="24"/>
        </w:rPr>
        <w:t>)</w:t>
      </w:r>
      <w:r w:rsidRPr="002302E1">
        <w:rPr>
          <w:rFonts w:eastAsia="PalatinoLinotype-Roman"/>
          <w:szCs w:val="24"/>
        </w:rPr>
        <w:t>.</w:t>
      </w:r>
      <w:r w:rsidRPr="005D6F69">
        <w:rPr>
          <w:rFonts w:eastAsia="PalatinoLinotype-Roman"/>
          <w:szCs w:val="24"/>
        </w:rPr>
        <w:t xml:space="preserve"> Briefly, the CRISPR-</w:t>
      </w:r>
      <w:r>
        <w:rPr>
          <w:rFonts w:eastAsia="PalatinoLinotype-Roman"/>
          <w:szCs w:val="24"/>
        </w:rPr>
        <w:t>(e)</w:t>
      </w:r>
      <w:r w:rsidRPr="005D6F69">
        <w:rPr>
          <w:rFonts w:eastAsia="PalatinoLinotype-Roman"/>
          <w:szCs w:val="24"/>
        </w:rPr>
        <w:t xml:space="preserve">Cas9 expression vector was digested using </w:t>
      </w:r>
      <w:r w:rsidRPr="005D6F69">
        <w:rPr>
          <w:rFonts w:eastAsia="PalatinoLinotype-Roman"/>
          <w:i/>
          <w:iCs/>
          <w:szCs w:val="24"/>
        </w:rPr>
        <w:t>BbsI-HF</w:t>
      </w:r>
      <w:r w:rsidRPr="005D6F69">
        <w:rPr>
          <w:rFonts w:eastAsia="PalatinoLinotype-Roman"/>
          <w:szCs w:val="24"/>
        </w:rPr>
        <w:t xml:space="preserve">, and a custom target sequence was cloned into the </w:t>
      </w:r>
      <w:r>
        <w:rPr>
          <w:rFonts w:eastAsia="PalatinoLinotype-Roman"/>
          <w:szCs w:val="24"/>
        </w:rPr>
        <w:t>gRNA</w:t>
      </w:r>
      <w:r w:rsidRPr="005D6F69">
        <w:rPr>
          <w:rFonts w:eastAsia="PalatinoLinotype-Roman"/>
          <w:szCs w:val="24"/>
        </w:rPr>
        <w:t xml:space="preserve"> </w:t>
      </w:r>
      <w:r w:rsidRPr="00DC6774">
        <w:rPr>
          <w:rFonts w:eastAsia="PalatinoLinotype-Roman"/>
          <w:szCs w:val="24"/>
        </w:rPr>
        <w:t>scaffold (</w:t>
      </w:r>
      <w:r w:rsidR="00DC6774" w:rsidRPr="007F7743">
        <w:rPr>
          <w:rFonts w:eastAsia="PalatinoLinotype-Roman"/>
          <w:szCs w:val="24"/>
        </w:rPr>
        <w:t xml:space="preserve">Supplementary </w:t>
      </w:r>
      <w:r w:rsidRPr="007F7743">
        <w:rPr>
          <w:rFonts w:eastAsia="PalatinoLinotype-Roman"/>
          <w:szCs w:val="24"/>
        </w:rPr>
        <w:t>T</w:t>
      </w:r>
      <w:r w:rsidR="00DC6774" w:rsidRPr="007F7743">
        <w:rPr>
          <w:rFonts w:eastAsia="PalatinoLinotype-Roman"/>
          <w:szCs w:val="24"/>
        </w:rPr>
        <w:t xml:space="preserve">ables </w:t>
      </w:r>
      <w:r w:rsidR="0011421A">
        <w:rPr>
          <w:rFonts w:eastAsia="PalatinoLinotype-Roman"/>
          <w:szCs w:val="24"/>
        </w:rPr>
        <w:t>8</w:t>
      </w:r>
      <w:r w:rsidR="00DC6774" w:rsidRPr="007F7743">
        <w:rPr>
          <w:rFonts w:eastAsia="PalatinoLinotype-Roman"/>
          <w:szCs w:val="24"/>
        </w:rPr>
        <w:t>-</w:t>
      </w:r>
      <w:r w:rsidR="0011421A">
        <w:rPr>
          <w:rFonts w:eastAsia="PalatinoLinotype-Roman"/>
          <w:szCs w:val="24"/>
        </w:rPr>
        <w:t>9</w:t>
      </w:r>
      <w:r w:rsidRPr="007F7743">
        <w:rPr>
          <w:rFonts w:eastAsia="PalatinoLinotype-Roman"/>
          <w:szCs w:val="24"/>
        </w:rPr>
        <w:t xml:space="preserve">). Once Stbl3 </w:t>
      </w:r>
      <w:r w:rsidRPr="005D6F69">
        <w:rPr>
          <w:rFonts w:eastAsia="PalatinoLinotype-Roman"/>
          <w:i/>
          <w:iCs/>
          <w:szCs w:val="24"/>
        </w:rPr>
        <w:t>E. coli</w:t>
      </w:r>
      <w:r w:rsidRPr="005D6F69">
        <w:rPr>
          <w:rFonts w:eastAsia="PalatinoLinotype-Roman"/>
          <w:iCs/>
          <w:szCs w:val="24"/>
        </w:rPr>
        <w:t xml:space="preserve"> </w:t>
      </w:r>
      <w:r w:rsidRPr="005D6F69">
        <w:rPr>
          <w:rFonts w:eastAsia="PalatinoLinotype-Roman"/>
          <w:szCs w:val="24"/>
        </w:rPr>
        <w:t xml:space="preserve">cells were transformed with the expression plasmid and the plasmid DNA purified, mammalian cells were transfected with the vector using the Nucleofector system (Lonza). The </w:t>
      </w:r>
      <w:r w:rsidRPr="00624BDF">
        <w:rPr>
          <w:szCs w:val="24"/>
        </w:rPr>
        <w:t xml:space="preserve">programs E-14 for MCF-7s and </w:t>
      </w:r>
      <w:r w:rsidRPr="005D6F69">
        <w:rPr>
          <w:szCs w:val="24"/>
        </w:rPr>
        <w:t>X-013 for MDA-MB-231 were used with kit V.</w:t>
      </w:r>
    </w:p>
    <w:p w14:paraId="2E338710" w14:textId="2BAB7671" w:rsidR="00875B28" w:rsidRDefault="00875B28" w:rsidP="00875B28">
      <w:pPr>
        <w:rPr>
          <w:rFonts w:eastAsia="PalatinoLinotype-Roman" w:cs="PalatinoLinotype-Roman"/>
          <w:szCs w:val="24"/>
        </w:rPr>
      </w:pPr>
      <w:r w:rsidRPr="00635761">
        <w:rPr>
          <w:rFonts w:eastAsia="PalatinoLinotype-Roman" w:cs="PalatinoLinotype-BoldItalic"/>
          <w:bCs/>
          <w:iCs/>
          <w:szCs w:val="24"/>
        </w:rPr>
        <w:t xml:space="preserve">The eCas9 construct has </w:t>
      </w:r>
      <w:r w:rsidRPr="00635761">
        <w:rPr>
          <w:rFonts w:eastAsia="PalatinoLinotype-Roman" w:cs="PalatinoLinotype-Roman"/>
          <w:szCs w:val="24"/>
        </w:rPr>
        <w:t xml:space="preserve">reduced potential for off-target effects compared to </w:t>
      </w:r>
      <w:r>
        <w:rPr>
          <w:rFonts w:eastAsia="PalatinoLinotype-Roman" w:cs="PalatinoLinotype-Roman"/>
          <w:szCs w:val="24"/>
        </w:rPr>
        <w:t>Sp</w:t>
      </w:r>
      <w:r w:rsidRPr="00635761">
        <w:rPr>
          <w:rFonts w:eastAsia="PalatinoLinotype-Roman" w:cs="PalatinoLinotype-Roman"/>
          <w:szCs w:val="24"/>
        </w:rPr>
        <w:t>Cas9. This was achieved via specific mutations to weaken interactions between the non-target strand and Cas9 (K848A, K1003A, and R1060A)</w:t>
      </w:r>
      <w:r w:rsidR="002302E1">
        <w:rPr>
          <w:rFonts w:eastAsia="PalatinoLinotype-Roman" w:cs="PalatinoLinotype-Roman"/>
          <w:szCs w:val="24"/>
        </w:rPr>
        <w:t xml:space="preserve"> </w:t>
      </w:r>
      <w:r w:rsidR="008E0E2B" w:rsidRPr="002302E1">
        <w:rPr>
          <w:rFonts w:eastAsia="PalatinoLinotype-Roman" w:cs="PalatinoLinotype-Roman"/>
          <w:szCs w:val="24"/>
        </w:rPr>
        <w:t>(</w:t>
      </w:r>
      <w:r w:rsidR="00CC537A" w:rsidRPr="002302E1">
        <w:rPr>
          <w:rFonts w:eastAsia="PalatinoLinotype-Roman" w:cs="PalatinoLinotype-Roman"/>
          <w:szCs w:val="24"/>
        </w:rPr>
        <w:fldChar w:fldCharType="begin" w:fldLock="1"/>
      </w:r>
      <w:r w:rsidR="00CC537A" w:rsidRPr="002302E1">
        <w:rPr>
          <w:rFonts w:eastAsia="PalatinoLinotype-Roman" w:cs="PalatinoLinotype-Roman"/>
          <w:szCs w:val="24"/>
        </w:rPr>
        <w:instrText xml:space="preserve"> ADDIN PAPERS2_CITATIONS &lt;citation&gt;&lt;uuid&gt;92AEE4C7-1858-4503-82CC-CAC8E6561571&lt;/uuid&gt;&lt;priority&gt;0&lt;/priority&gt;&lt;publications&gt;&lt;publication&gt;&lt;doi&gt;10.1126/science.aad5227&lt;/doi&gt;&lt;number&gt;6268&lt;/number&gt;&lt;publication_date&gt;99201500000000000000200000&lt;/publication_date&gt;&lt;startpage&gt;84&lt;/startpage&gt;&lt;subtype&gt;400&lt;/subtype&gt;&lt;title&gt;Rationally engineered Cas9 nucleases with improved specificity&lt;/title&gt;&lt;type&gt;400&lt;/type&gt;&lt;volume&gt;351&lt;/volume&gt;&lt;uuid&gt;66441c46-d741-4e46-a0f9-af5917e8bf80&lt;/uuid&gt;&lt;authors&gt;&lt;author&gt;&lt;lastName&gt;Slaymaker&lt;/lastName&gt;&lt;firstName&gt;I&lt;/firstName&gt;&lt;middleNames&gt;M&lt;/middleNames&gt;&lt;/author&gt;&lt;author&gt;&lt;lastName&gt;Gao&lt;/lastName&gt;&lt;firstName&gt;L&lt;/firstName&gt;&lt;/author&gt;&lt;author&gt;&lt;lastName&gt;Zetsche&lt;/lastName&gt;&lt;firstName&gt;B&lt;/firstName&gt;&lt;/author&gt;&lt;author&gt;&lt;lastName&gt;Scott&lt;/lastName&gt;&lt;firstName&gt;D&lt;/firstName&gt;&lt;middleNames&gt;A&lt;/middleNames&gt;&lt;/author&gt;&lt;author&gt;&lt;lastName&gt;Yan&lt;/lastName&gt;&lt;firstName&gt;W&lt;/firstName&gt;&lt;middleNames&gt;X&lt;/middleNames&gt;&lt;/author&gt;&lt;author&gt;&lt;lastName&gt;Zhang&lt;/lastName&gt;&lt;firstName&gt;F&lt;/firstName&gt;&lt;/author&gt;&lt;/authors&gt;&lt;editors /&gt;&lt;translators /&gt;&lt;photographers /&gt;&lt;livfe_id /&gt;&lt;citekey&gt;Slaymaker:2015ikba&lt;/citekey&gt;&lt;subtitle p4:nil="true" xmlns:p4="http://www.w3.org/2001/XMLSchema-instance" /&gt;&lt;submission_date /&gt;&lt;revision_date /&gt;&lt;accepted_date /&gt;&lt;is_bundle&gt;0&lt;/is_bundle&gt;&lt;bundle&gt;&lt;type&gt;-100&lt;/type&gt;&lt;subtype&gt;-100&lt;/subtype&gt;&lt;livfeID /&gt;&lt;citekey&gt;:0uoba&lt;/citekey&gt;&lt;title&gt;Science&lt;/title&gt;&lt;/bundle&gt;&lt;url&gt;http://dx.doi.org/10.1126/science.aad5227&lt;/url&gt;&lt;/publication&gt;&lt;/publications&gt;&lt;cites /&gt;&lt;/citation&gt;</w:instrText>
      </w:r>
      <w:r w:rsidR="00CC537A" w:rsidRPr="002302E1">
        <w:rPr>
          <w:rFonts w:eastAsia="PalatinoLinotype-Roman" w:cs="PalatinoLinotype-Roman"/>
          <w:szCs w:val="24"/>
        </w:rPr>
        <w:fldChar w:fldCharType="separate"/>
      </w:r>
      <w:r w:rsidR="00CC537A" w:rsidRPr="002302E1">
        <w:rPr>
          <w:rFonts w:eastAsia="PalatinoLinotype-Roman" w:cs="PalatinoLinotype-Roman"/>
          <w:szCs w:val="24"/>
        </w:rPr>
        <w:t>7</w:t>
      </w:r>
      <w:r w:rsidR="00CC537A" w:rsidRPr="002302E1">
        <w:rPr>
          <w:rFonts w:eastAsia="PalatinoLinotype-Roman" w:cs="PalatinoLinotype-Roman"/>
          <w:szCs w:val="24"/>
        </w:rPr>
        <w:fldChar w:fldCharType="end"/>
      </w:r>
      <w:r w:rsidR="008E0E2B" w:rsidRPr="002302E1">
        <w:rPr>
          <w:rFonts w:eastAsia="PalatinoLinotype-Roman" w:cs="PalatinoLinotype-Roman"/>
          <w:szCs w:val="24"/>
        </w:rPr>
        <w:t>)</w:t>
      </w:r>
      <w:r w:rsidRPr="002302E1">
        <w:rPr>
          <w:rFonts w:eastAsia="PalatinoLinotype-Roman" w:cs="PalatinoLinotype-Roman"/>
          <w:szCs w:val="24"/>
        </w:rPr>
        <w:t>.</w:t>
      </w:r>
      <w:r>
        <w:rPr>
          <w:rFonts w:eastAsia="PalatinoLinotype-Roman" w:cs="PalatinoLinotype-Roman"/>
          <w:szCs w:val="24"/>
        </w:rPr>
        <w:t xml:space="preserve"> However, eCas9 is also very sensitive to mismatches, including those created by </w:t>
      </w:r>
      <w:r w:rsidRPr="00DC6774">
        <w:rPr>
          <w:rFonts w:eastAsia="PalatinoLinotype-Roman" w:cs="PalatinoLinotype-Roman"/>
          <w:szCs w:val="24"/>
        </w:rPr>
        <w:t xml:space="preserve">adding a 5’ </w:t>
      </w:r>
      <w:r w:rsidRPr="00DC6774">
        <w:rPr>
          <w:rFonts w:eastAsia="PalatinoLinotype-Roman" w:cs="PalatinoLinotype-Roman"/>
          <w:szCs w:val="24"/>
        </w:rPr>
        <w:lastRenderedPageBreak/>
        <w:t xml:space="preserve">guanine (G) necessary </w:t>
      </w:r>
      <w:r>
        <w:rPr>
          <w:rFonts w:eastAsia="PalatinoLinotype-Roman" w:cs="PalatinoLinotype-Roman"/>
          <w:szCs w:val="24"/>
        </w:rPr>
        <w:t>for U6 promoter expression. For this reason the ILK gRNA sites that did not contain a native 5’G were not used with eCas9.</w:t>
      </w:r>
    </w:p>
    <w:p w14:paraId="069DE916" w14:textId="77777777" w:rsidR="002302E1" w:rsidRDefault="002302E1" w:rsidP="002302E1">
      <w:pPr>
        <w:pStyle w:val="Heading3"/>
        <w:rPr>
          <w:rFonts w:eastAsia="Times New Roman"/>
        </w:rPr>
      </w:pPr>
      <w:r>
        <w:rPr>
          <w:rFonts w:eastAsia="Times New Roman"/>
        </w:rPr>
        <w:t>Pooled CRISPR cell lines</w:t>
      </w:r>
    </w:p>
    <w:p w14:paraId="7303969A" w14:textId="77777777" w:rsidR="002302E1" w:rsidRPr="00123C06" w:rsidRDefault="002302E1" w:rsidP="002302E1">
      <w:pPr>
        <w:rPr>
          <w:rFonts w:eastAsia="Times New Roman"/>
          <w:lang w:eastAsia="en-GB"/>
        </w:rPr>
      </w:pPr>
      <w:r w:rsidRPr="00123C06">
        <w:rPr>
          <w:rFonts w:eastAsia="Times New Roman"/>
          <w:szCs w:val="24"/>
          <w:lang w:val="en-US" w:eastAsia="en-GB"/>
        </w:rPr>
        <w:t xml:space="preserve">To generate CRISPR pools the phosphorylated and annealed gRNA oligos were ligated into the </w:t>
      </w:r>
      <w:r w:rsidRPr="00123C06">
        <w:rPr>
          <w:rFonts w:eastAsia="Times New Roman"/>
          <w:i/>
          <w:iCs/>
          <w:szCs w:val="24"/>
          <w:lang w:val="en-US" w:eastAsia="en-GB"/>
        </w:rPr>
        <w:t xml:space="preserve">BsmBI </w:t>
      </w:r>
      <w:r w:rsidRPr="00123C06">
        <w:rPr>
          <w:rFonts w:eastAsia="Times New Roman"/>
          <w:szCs w:val="24"/>
          <w:lang w:val="en-US" w:eastAsia="en-GB"/>
        </w:rPr>
        <w:t xml:space="preserve">digested and dephosphorylated lentiGuide-Puro vector (Addgene </w:t>
      </w:r>
      <w:r w:rsidRPr="00123C06">
        <w:rPr>
          <w:szCs w:val="24"/>
        </w:rPr>
        <w:t>Plasmid #52963</w:t>
      </w:r>
      <w:r>
        <w:rPr>
          <w:szCs w:val="24"/>
        </w:rPr>
        <w:t xml:space="preserve"> </w:t>
      </w:r>
      <w:r w:rsidRPr="002302E1">
        <w:rPr>
          <w:szCs w:val="24"/>
        </w:rPr>
        <w:t>(8</w:t>
      </w:r>
      <w:r w:rsidRPr="002302E1">
        <w:rPr>
          <w:rFonts w:eastAsia="Times New Roman"/>
          <w:lang w:val="en-US" w:eastAsia="en-GB"/>
        </w:rPr>
        <w:t>)).</w:t>
      </w:r>
      <w:r w:rsidRPr="00123C06">
        <w:rPr>
          <w:rFonts w:eastAsia="Times New Roman"/>
          <w:lang w:val="en-US" w:eastAsia="en-GB"/>
        </w:rPr>
        <w:t xml:space="preserve"> </w:t>
      </w:r>
      <w:r>
        <w:rPr>
          <w:rFonts w:eastAsia="Times New Roman"/>
          <w:lang w:val="en-US" w:eastAsia="en-GB"/>
        </w:rPr>
        <w:t xml:space="preserve">The ILK gRNA 1 and gRNA 2 oligos were used (Supplementary Table 8). </w:t>
      </w:r>
      <w:r w:rsidRPr="00123C06">
        <w:rPr>
          <w:rFonts w:eastAsia="Times New Roman"/>
          <w:lang w:val="en-US" w:eastAsia="en-GB"/>
        </w:rPr>
        <w:t xml:space="preserve">The lentiviral transfer plasmids were transformed into </w:t>
      </w:r>
      <w:r w:rsidRPr="00123C06">
        <w:rPr>
          <w:rFonts w:eastAsia="Times New Roman"/>
          <w:i/>
          <w:iCs/>
          <w:lang w:val="en-US" w:eastAsia="en-GB"/>
        </w:rPr>
        <w:t xml:space="preserve">Stbl3 </w:t>
      </w:r>
      <w:r w:rsidRPr="00123C06">
        <w:rPr>
          <w:rFonts w:eastAsia="Times New Roman"/>
          <w:lang w:val="en-US" w:eastAsia="en-GB"/>
        </w:rPr>
        <w:t>bacteria and plasmid purification was performed using Qiagen Maxiprep kits. The plasmids were expressed into lentiCas9:blast</w:t>
      </w:r>
      <w:r>
        <w:rPr>
          <w:rFonts w:eastAsia="Times New Roman"/>
          <w:lang w:val="en-US" w:eastAsia="en-GB"/>
        </w:rPr>
        <w:t>icidin</w:t>
      </w:r>
      <w:r w:rsidRPr="00123C06">
        <w:rPr>
          <w:rFonts w:eastAsia="Times New Roman"/>
          <w:lang w:val="en-US" w:eastAsia="en-GB"/>
        </w:rPr>
        <w:t xml:space="preserve"> expressing cells using standard lentiviral techniques.</w:t>
      </w:r>
    </w:p>
    <w:p w14:paraId="0064F355" w14:textId="2A8DE437" w:rsidR="00B36F5E" w:rsidRDefault="00B36F5E" w:rsidP="00B36F5E">
      <w:pPr>
        <w:pStyle w:val="Legend"/>
      </w:pPr>
    </w:p>
    <w:p w14:paraId="2078E06F" w14:textId="5846BC9E" w:rsidR="00C718C9" w:rsidRDefault="00C718C9" w:rsidP="00B36F5E">
      <w:pPr>
        <w:pStyle w:val="Legend"/>
      </w:pPr>
    </w:p>
    <w:p w14:paraId="0B1F006B" w14:textId="24B0F77F" w:rsidR="001E5BC7" w:rsidRDefault="001E5BC7" w:rsidP="00C718C9">
      <w:pPr>
        <w:pStyle w:val="Heading1"/>
      </w:pPr>
      <w:r>
        <w:t>References</w:t>
      </w:r>
    </w:p>
    <w:p w14:paraId="1A1EA029" w14:textId="6D651C09" w:rsidR="00CC537A" w:rsidRPr="00CC537A" w:rsidRDefault="00CC537A" w:rsidP="00CC537A">
      <w:pPr>
        <w:rPr>
          <w:rFonts w:eastAsia="PalatinoLinotype-Roman" w:cs="PalatinoLinotype-Roman"/>
          <w:szCs w:val="24"/>
        </w:rPr>
      </w:pPr>
      <w:r>
        <w:rPr>
          <w:rFonts w:eastAsia="PalatinoLinotype-Roman" w:cs="PalatinoLinotype-Roman"/>
          <w:szCs w:val="24"/>
        </w:rPr>
        <w:fldChar w:fldCharType="begin" w:fldLock="1"/>
      </w:r>
      <w:r>
        <w:rPr>
          <w:rFonts w:eastAsia="PalatinoLinotype-Roman" w:cs="PalatinoLinotype-Roman"/>
          <w:szCs w:val="24"/>
        </w:rPr>
        <w:instrText xml:space="preserve"> ADDIN PAPERS2_CITATIONS &lt;papers2_bibliography/&gt;</w:instrText>
      </w:r>
      <w:r>
        <w:rPr>
          <w:rFonts w:eastAsia="PalatinoLinotype-Roman" w:cs="PalatinoLinotype-Roman"/>
          <w:szCs w:val="24"/>
        </w:rPr>
        <w:fldChar w:fldCharType="separate"/>
      </w:r>
      <w:r w:rsidRPr="00CC537A">
        <w:rPr>
          <w:rFonts w:eastAsia="PalatinoLinotype-Roman" w:cs="PalatinoLinotype-Roman"/>
          <w:szCs w:val="24"/>
        </w:rPr>
        <w:t xml:space="preserve">1.Macleod, K. G., Serrels, B. &amp; Carragher, N. O. Reverse Phase Protein Arrays and Drug Discovery. </w:t>
      </w:r>
      <w:r w:rsidRPr="00CC537A">
        <w:rPr>
          <w:rFonts w:eastAsia="PalatinoLinotype-Roman" w:cs="PalatinoLinotype-Roman"/>
          <w:i/>
          <w:szCs w:val="24"/>
        </w:rPr>
        <w:t>Methods in Molecular Biology</w:t>
      </w:r>
      <w:r w:rsidR="008E0E2B">
        <w:rPr>
          <w:rFonts w:eastAsia="PalatinoLinotype-Roman" w:cs="PalatinoLinotype-Roman"/>
          <w:i/>
          <w:szCs w:val="24"/>
        </w:rPr>
        <w:t xml:space="preserve">. </w:t>
      </w:r>
      <w:r w:rsidRPr="00123C06">
        <w:rPr>
          <w:rFonts w:eastAsia="PalatinoLinotype-Roman" w:cs="PalatinoLinotype-Roman"/>
          <w:b/>
          <w:bCs/>
          <w:szCs w:val="24"/>
        </w:rPr>
        <w:t>2017</w:t>
      </w:r>
      <w:r w:rsidR="008E0E2B">
        <w:rPr>
          <w:rFonts w:eastAsia="PalatinoLinotype-Roman" w:cs="PalatinoLinotype-Roman"/>
          <w:szCs w:val="24"/>
        </w:rPr>
        <w:t xml:space="preserve">; </w:t>
      </w:r>
      <w:r w:rsidR="008E0E2B" w:rsidRPr="00123C06">
        <w:rPr>
          <w:rFonts w:eastAsia="PalatinoLinotype-Roman" w:cs="PalatinoLinotype-Roman"/>
          <w:bCs/>
          <w:szCs w:val="24"/>
        </w:rPr>
        <w:t>23</w:t>
      </w:r>
      <w:r w:rsidR="008E0E2B">
        <w:rPr>
          <w:rFonts w:eastAsia="PalatinoLinotype-Roman" w:cs="PalatinoLinotype-Roman"/>
          <w:szCs w:val="24"/>
        </w:rPr>
        <w:t>, 7</w:t>
      </w:r>
      <w:r>
        <w:rPr>
          <w:rFonts w:eastAsia="PalatinoLinotype-Roman" w:cs="PalatinoLinotype-Roman"/>
          <w:szCs w:val="24"/>
        </w:rPr>
        <w:t>.</w:t>
      </w:r>
    </w:p>
    <w:p w14:paraId="23F2FD9E" w14:textId="23CB1691" w:rsidR="00CC537A" w:rsidRPr="00CC537A" w:rsidRDefault="00CC537A" w:rsidP="00CC537A">
      <w:pPr>
        <w:rPr>
          <w:rFonts w:eastAsia="PalatinoLinotype-Roman" w:cs="PalatinoLinotype-Roman"/>
          <w:szCs w:val="24"/>
        </w:rPr>
      </w:pPr>
      <w:r w:rsidRPr="00CC537A">
        <w:rPr>
          <w:rFonts w:eastAsia="PalatinoLinotype-Roman" w:cs="PalatinoLinotype-Roman"/>
          <w:szCs w:val="24"/>
        </w:rPr>
        <w:t xml:space="preserve">2.Single, A., Beetham, H., Telford, B. J., Guilford, P. &amp; Chen, A. A Comparison of Real-Time and Endpoint Cell Viability Assays for Improved Synthetic Lethal Drug Validation. </w:t>
      </w:r>
      <w:r w:rsidRPr="00CC537A">
        <w:rPr>
          <w:rFonts w:eastAsia="PalatinoLinotype-Roman" w:cs="PalatinoLinotype-Roman"/>
          <w:i/>
          <w:szCs w:val="24"/>
        </w:rPr>
        <w:t>Journal of Biomolecular Screening</w:t>
      </w:r>
      <w:r w:rsidR="00123C06">
        <w:rPr>
          <w:rFonts w:eastAsia="PalatinoLinotype-Roman" w:cs="PalatinoLinotype-Roman"/>
          <w:i/>
          <w:szCs w:val="24"/>
        </w:rPr>
        <w:t>.</w:t>
      </w:r>
      <w:r w:rsidRPr="00CC537A">
        <w:rPr>
          <w:rFonts w:eastAsia="PalatinoLinotype-Roman" w:cs="PalatinoLinotype-Roman"/>
          <w:szCs w:val="24"/>
        </w:rPr>
        <w:t xml:space="preserve"> </w:t>
      </w:r>
      <w:r w:rsidRPr="00123C06">
        <w:rPr>
          <w:rFonts w:eastAsia="PalatinoLinotype-Roman" w:cs="PalatinoLinotype-Roman"/>
          <w:b/>
          <w:bCs/>
          <w:szCs w:val="24"/>
        </w:rPr>
        <w:t>2015</w:t>
      </w:r>
      <w:r w:rsidR="008E0E2B">
        <w:rPr>
          <w:rFonts w:eastAsia="PalatinoLinotype-Roman" w:cs="PalatinoLinotype-Roman"/>
          <w:szCs w:val="24"/>
        </w:rPr>
        <w:t>;</w:t>
      </w:r>
      <w:r w:rsidR="00123C06">
        <w:rPr>
          <w:rFonts w:eastAsia="PalatinoLinotype-Roman" w:cs="PalatinoLinotype-Roman"/>
          <w:szCs w:val="24"/>
        </w:rPr>
        <w:t xml:space="preserve"> </w:t>
      </w:r>
      <w:r w:rsidR="00123C06" w:rsidRPr="00123C06">
        <w:rPr>
          <w:rFonts w:eastAsia="PalatinoLinotype-Roman" w:cs="PalatinoLinotype-Roman"/>
          <w:bCs/>
          <w:szCs w:val="24"/>
        </w:rPr>
        <w:t>20</w:t>
      </w:r>
      <w:r w:rsidR="00123C06" w:rsidRPr="00CC537A">
        <w:rPr>
          <w:rFonts w:eastAsia="PalatinoLinotype-Roman" w:cs="PalatinoLinotype-Roman"/>
          <w:b/>
          <w:szCs w:val="24"/>
        </w:rPr>
        <w:t>,</w:t>
      </w:r>
      <w:r w:rsidR="00123C06" w:rsidRPr="00CC537A">
        <w:rPr>
          <w:rFonts w:eastAsia="PalatinoLinotype-Roman" w:cs="PalatinoLinotype-Roman"/>
          <w:szCs w:val="24"/>
        </w:rPr>
        <w:t xml:space="preserve"> 1286</w:t>
      </w:r>
      <w:r w:rsidR="00123C06">
        <w:rPr>
          <w:rFonts w:eastAsia="PalatinoLinotype-Roman" w:cs="PalatinoLinotype-Roman"/>
          <w:szCs w:val="24"/>
        </w:rPr>
        <w:t>.</w:t>
      </w:r>
    </w:p>
    <w:p w14:paraId="3BF85D22" w14:textId="63E83206" w:rsidR="00CC537A" w:rsidRPr="00CC537A" w:rsidRDefault="00CC537A" w:rsidP="00CC537A">
      <w:pPr>
        <w:rPr>
          <w:rFonts w:eastAsia="PalatinoLinotype-Roman" w:cs="PalatinoLinotype-Roman"/>
          <w:szCs w:val="24"/>
        </w:rPr>
      </w:pPr>
      <w:r w:rsidRPr="00CC537A">
        <w:rPr>
          <w:rFonts w:eastAsia="PalatinoLinotype-Roman" w:cs="PalatinoLinotype-Roman"/>
          <w:szCs w:val="24"/>
        </w:rPr>
        <w:t xml:space="preserve">3.Beetham, H. </w:t>
      </w:r>
      <w:r w:rsidRPr="00CC537A">
        <w:rPr>
          <w:rFonts w:eastAsia="PalatinoLinotype-Roman" w:cs="PalatinoLinotype-Roman"/>
          <w:i/>
          <w:szCs w:val="24"/>
        </w:rPr>
        <w:t>et al.</w:t>
      </w:r>
      <w:r w:rsidRPr="00CC537A">
        <w:rPr>
          <w:rFonts w:eastAsia="PalatinoLinotype-Roman" w:cs="PalatinoLinotype-Roman"/>
          <w:szCs w:val="24"/>
        </w:rPr>
        <w:t xml:space="preserve"> A high-throughput screen to identify novel synthetic lethal compounds for the treatment of E-cadherin-deficient cells. </w:t>
      </w:r>
      <w:r w:rsidRPr="00CC537A">
        <w:rPr>
          <w:rFonts w:eastAsia="PalatinoLinotype-Roman" w:cs="PalatinoLinotype-Roman"/>
          <w:i/>
          <w:szCs w:val="24"/>
        </w:rPr>
        <w:t>Scientific Reports</w:t>
      </w:r>
      <w:r w:rsidR="00123C06">
        <w:rPr>
          <w:rFonts w:eastAsia="PalatinoLinotype-Roman" w:cs="PalatinoLinotype-Roman"/>
          <w:szCs w:val="24"/>
        </w:rPr>
        <w:t xml:space="preserve">. </w:t>
      </w:r>
      <w:r w:rsidRPr="00123C06">
        <w:rPr>
          <w:rFonts w:eastAsia="PalatinoLinotype-Roman" w:cs="PalatinoLinotype-Roman"/>
          <w:b/>
          <w:bCs/>
          <w:szCs w:val="24"/>
        </w:rPr>
        <w:t>2019</w:t>
      </w:r>
      <w:r w:rsidR="008E0E2B">
        <w:rPr>
          <w:rFonts w:eastAsia="PalatinoLinotype-Roman" w:cs="PalatinoLinotype-Roman"/>
          <w:szCs w:val="24"/>
        </w:rPr>
        <w:t>;</w:t>
      </w:r>
      <w:r w:rsidR="00123C06">
        <w:rPr>
          <w:rFonts w:eastAsia="PalatinoLinotype-Roman" w:cs="PalatinoLinotype-Roman"/>
          <w:szCs w:val="24"/>
        </w:rPr>
        <w:t xml:space="preserve"> 9.</w:t>
      </w:r>
    </w:p>
    <w:p w14:paraId="4219A6CF" w14:textId="3551A616" w:rsidR="00CC537A" w:rsidRPr="00CC537A" w:rsidRDefault="00CC537A" w:rsidP="00CC537A">
      <w:pPr>
        <w:rPr>
          <w:rFonts w:eastAsia="PalatinoLinotype-Roman" w:cs="PalatinoLinotype-Roman"/>
          <w:szCs w:val="24"/>
        </w:rPr>
      </w:pPr>
      <w:r w:rsidRPr="00CC537A">
        <w:rPr>
          <w:rFonts w:eastAsia="PalatinoLinotype-Roman" w:cs="PalatinoLinotype-Roman"/>
          <w:szCs w:val="24"/>
        </w:rPr>
        <w:t xml:space="preserve">4.Ivascu, A. &amp; Kubbies, M. Rapid Generation of Single-Tumor Spheroids for High-Throughput Cell Function and Toxicity Analysis. </w:t>
      </w:r>
      <w:r w:rsidRPr="00CC537A">
        <w:rPr>
          <w:rFonts w:eastAsia="PalatinoLinotype-Roman" w:cs="PalatinoLinotype-Roman"/>
          <w:i/>
          <w:szCs w:val="24"/>
        </w:rPr>
        <w:t>Journal of Biomolecular Screening</w:t>
      </w:r>
      <w:r w:rsidR="008E0E2B">
        <w:rPr>
          <w:rFonts w:eastAsia="PalatinoLinotype-Roman" w:cs="PalatinoLinotype-Roman"/>
          <w:szCs w:val="24"/>
        </w:rPr>
        <w:t>.</w:t>
      </w:r>
      <w:r w:rsidRPr="00CC537A">
        <w:rPr>
          <w:rFonts w:eastAsia="PalatinoLinotype-Roman" w:cs="PalatinoLinotype-Roman"/>
          <w:szCs w:val="24"/>
        </w:rPr>
        <w:t xml:space="preserve"> </w:t>
      </w:r>
      <w:r w:rsidRPr="00123C06">
        <w:rPr>
          <w:rFonts w:eastAsia="PalatinoLinotype-Roman" w:cs="PalatinoLinotype-Roman"/>
          <w:b/>
          <w:bCs/>
          <w:szCs w:val="24"/>
        </w:rPr>
        <w:t>2006</w:t>
      </w:r>
      <w:r w:rsidR="008E0E2B">
        <w:rPr>
          <w:rFonts w:eastAsia="PalatinoLinotype-Roman" w:cs="PalatinoLinotype-Roman"/>
          <w:b/>
          <w:bCs/>
          <w:szCs w:val="24"/>
        </w:rPr>
        <w:t>; 1</w:t>
      </w:r>
      <w:r w:rsidR="008E0E2B" w:rsidRPr="00123C06">
        <w:rPr>
          <w:rFonts w:eastAsia="PalatinoLinotype-Roman" w:cs="PalatinoLinotype-Roman"/>
          <w:bCs/>
          <w:szCs w:val="24"/>
        </w:rPr>
        <w:t>1</w:t>
      </w:r>
      <w:r w:rsidR="008E0E2B" w:rsidRPr="00CC537A">
        <w:rPr>
          <w:rFonts w:eastAsia="PalatinoLinotype-Roman" w:cs="PalatinoLinotype-Roman"/>
          <w:b/>
          <w:szCs w:val="24"/>
        </w:rPr>
        <w:t>,</w:t>
      </w:r>
      <w:r w:rsidR="008E0E2B" w:rsidRPr="00CC537A">
        <w:rPr>
          <w:rFonts w:eastAsia="PalatinoLinotype-Roman" w:cs="PalatinoLinotype-Roman"/>
          <w:szCs w:val="24"/>
        </w:rPr>
        <w:t xml:space="preserve"> 922</w:t>
      </w:r>
      <w:r w:rsidR="008E0E2B">
        <w:rPr>
          <w:rFonts w:eastAsia="PalatinoLinotype-Roman" w:cs="PalatinoLinotype-Roman"/>
          <w:szCs w:val="24"/>
        </w:rPr>
        <w:t>.</w:t>
      </w:r>
    </w:p>
    <w:p w14:paraId="6D213BA6" w14:textId="51D01F78" w:rsidR="00CC537A" w:rsidRPr="00CC537A" w:rsidRDefault="00CC537A" w:rsidP="00CC537A">
      <w:pPr>
        <w:rPr>
          <w:rFonts w:eastAsia="PalatinoLinotype-Roman" w:cs="PalatinoLinotype-Roman"/>
          <w:szCs w:val="24"/>
        </w:rPr>
      </w:pPr>
      <w:r w:rsidRPr="00CC537A">
        <w:rPr>
          <w:rFonts w:eastAsia="PalatinoLinotype-Roman" w:cs="PalatinoLinotype-Roman"/>
          <w:szCs w:val="24"/>
        </w:rPr>
        <w:t xml:space="preserve">5.Wang, G. </w:t>
      </w:r>
      <w:r w:rsidRPr="00CC537A">
        <w:rPr>
          <w:rFonts w:eastAsia="PalatinoLinotype-Roman" w:cs="PalatinoLinotype-Roman"/>
          <w:i/>
          <w:szCs w:val="24"/>
        </w:rPr>
        <w:t>et al.</w:t>
      </w:r>
      <w:r w:rsidRPr="00CC537A">
        <w:rPr>
          <w:rFonts w:eastAsia="PalatinoLinotype-Roman" w:cs="PalatinoLinotype-Roman"/>
          <w:szCs w:val="24"/>
        </w:rPr>
        <w:t xml:space="preserve"> Identifying drug-gene interactions from CRISPR knockout screens with drugZ. </w:t>
      </w:r>
      <w:r w:rsidR="004E244D" w:rsidRPr="004E244D">
        <w:rPr>
          <w:rFonts w:eastAsia="PalatinoLinotype-Roman" w:cs="PalatinoLinotype-Roman"/>
          <w:szCs w:val="24"/>
        </w:rPr>
        <w:t xml:space="preserve">bioRxiv </w:t>
      </w:r>
      <w:r w:rsidRPr="00123C06">
        <w:rPr>
          <w:rFonts w:eastAsia="PalatinoLinotype-Roman" w:cs="PalatinoLinotype-Roman"/>
          <w:b/>
          <w:bCs/>
          <w:szCs w:val="24"/>
        </w:rPr>
        <w:t>2017</w:t>
      </w:r>
      <w:r w:rsidRPr="00CC537A">
        <w:rPr>
          <w:rFonts w:eastAsia="PalatinoLinotype-Roman" w:cs="PalatinoLinotype-Roman"/>
          <w:szCs w:val="24"/>
        </w:rPr>
        <w:t xml:space="preserve">. </w:t>
      </w:r>
    </w:p>
    <w:p w14:paraId="2EFA3116" w14:textId="0CABC96C" w:rsidR="00CC537A" w:rsidRPr="00CC537A" w:rsidRDefault="00CC537A" w:rsidP="00CC537A">
      <w:pPr>
        <w:rPr>
          <w:rFonts w:eastAsia="PalatinoLinotype-Roman" w:cs="PalatinoLinotype-Roman"/>
          <w:szCs w:val="24"/>
        </w:rPr>
      </w:pPr>
      <w:r w:rsidRPr="00CC537A">
        <w:rPr>
          <w:rFonts w:eastAsia="PalatinoLinotype-Roman" w:cs="PalatinoLinotype-Roman"/>
          <w:szCs w:val="24"/>
        </w:rPr>
        <w:t xml:space="preserve">6.Ran, F. A. </w:t>
      </w:r>
      <w:r w:rsidRPr="00CC537A">
        <w:rPr>
          <w:rFonts w:eastAsia="PalatinoLinotype-Roman" w:cs="PalatinoLinotype-Roman"/>
          <w:i/>
          <w:szCs w:val="24"/>
        </w:rPr>
        <w:t>et al.</w:t>
      </w:r>
      <w:r w:rsidRPr="00CC537A">
        <w:rPr>
          <w:rFonts w:eastAsia="PalatinoLinotype-Roman" w:cs="PalatinoLinotype-Roman"/>
          <w:szCs w:val="24"/>
        </w:rPr>
        <w:t xml:space="preserve"> Genome engineering using the CRISPR-Cas9 system. </w:t>
      </w:r>
      <w:r w:rsidR="008E0E2B" w:rsidRPr="00123C06">
        <w:rPr>
          <w:rFonts w:eastAsia="PalatinoLinotype-Roman" w:cs="PalatinoLinotype-Roman"/>
          <w:b/>
          <w:bCs/>
          <w:szCs w:val="24"/>
        </w:rPr>
        <w:t>2013</w:t>
      </w:r>
      <w:r w:rsidR="008E0E2B">
        <w:rPr>
          <w:rFonts w:eastAsia="PalatinoLinotype-Roman" w:cs="PalatinoLinotype-Roman"/>
          <w:b/>
          <w:bCs/>
          <w:szCs w:val="24"/>
        </w:rPr>
        <w:t xml:space="preserve">; </w:t>
      </w:r>
      <w:r w:rsidRPr="00123C06">
        <w:rPr>
          <w:rFonts w:eastAsia="PalatinoLinotype-Roman" w:cs="PalatinoLinotype-Roman"/>
          <w:bCs/>
          <w:szCs w:val="24"/>
        </w:rPr>
        <w:t>8</w:t>
      </w:r>
      <w:r w:rsidRPr="00CC537A">
        <w:rPr>
          <w:rFonts w:eastAsia="PalatinoLinotype-Roman" w:cs="PalatinoLinotype-Roman"/>
          <w:b/>
          <w:szCs w:val="24"/>
        </w:rPr>
        <w:t>,</w:t>
      </w:r>
      <w:r w:rsidRPr="00CC537A">
        <w:rPr>
          <w:rFonts w:eastAsia="PalatinoLinotype-Roman" w:cs="PalatinoLinotype-Roman"/>
          <w:szCs w:val="24"/>
        </w:rPr>
        <w:t xml:space="preserve"> 2281–2308.</w:t>
      </w:r>
    </w:p>
    <w:p w14:paraId="34138573" w14:textId="6015DCEB" w:rsidR="001E5BC7" w:rsidRDefault="00CC537A" w:rsidP="00CC537A">
      <w:pPr>
        <w:rPr>
          <w:rFonts w:eastAsia="PalatinoLinotype-Roman" w:cs="PalatinoLinotype-Roman"/>
          <w:szCs w:val="24"/>
        </w:rPr>
      </w:pPr>
      <w:r w:rsidRPr="00CC537A">
        <w:rPr>
          <w:rFonts w:eastAsia="PalatinoLinotype-Roman" w:cs="PalatinoLinotype-Roman"/>
          <w:szCs w:val="24"/>
        </w:rPr>
        <w:t xml:space="preserve">7.Slaymaker, I. M. </w:t>
      </w:r>
      <w:r w:rsidRPr="00CC537A">
        <w:rPr>
          <w:rFonts w:eastAsia="PalatinoLinotype-Roman" w:cs="PalatinoLinotype-Roman"/>
          <w:i/>
          <w:szCs w:val="24"/>
        </w:rPr>
        <w:t>et al.</w:t>
      </w:r>
      <w:r w:rsidRPr="00CC537A">
        <w:rPr>
          <w:rFonts w:eastAsia="PalatinoLinotype-Roman" w:cs="PalatinoLinotype-Roman"/>
          <w:szCs w:val="24"/>
        </w:rPr>
        <w:t xml:space="preserve"> Rationally engineered Cas9 nucleases with improved specificity. </w:t>
      </w:r>
      <w:r w:rsidRPr="00CC537A">
        <w:rPr>
          <w:rFonts w:eastAsia="PalatinoLinotype-Roman" w:cs="PalatinoLinotype-Roman"/>
          <w:i/>
          <w:szCs w:val="24"/>
        </w:rPr>
        <w:t>Science</w:t>
      </w:r>
      <w:r w:rsidR="008E0E2B">
        <w:rPr>
          <w:rFonts w:eastAsia="PalatinoLinotype-Roman" w:cs="PalatinoLinotype-Roman"/>
          <w:i/>
          <w:szCs w:val="24"/>
        </w:rPr>
        <w:t xml:space="preserve">. </w:t>
      </w:r>
      <w:r w:rsidR="008E0E2B" w:rsidRPr="00123C06">
        <w:rPr>
          <w:rFonts w:eastAsia="PalatinoLinotype-Roman" w:cs="PalatinoLinotype-Roman"/>
          <w:b/>
          <w:bCs/>
          <w:szCs w:val="24"/>
        </w:rPr>
        <w:t>2015</w:t>
      </w:r>
      <w:r w:rsidR="008E0E2B">
        <w:rPr>
          <w:rFonts w:eastAsia="PalatinoLinotype-Roman" w:cs="PalatinoLinotype-Roman"/>
          <w:b/>
          <w:bCs/>
          <w:szCs w:val="24"/>
        </w:rPr>
        <w:t>;</w:t>
      </w:r>
      <w:r w:rsidRPr="00CC537A">
        <w:rPr>
          <w:rFonts w:eastAsia="PalatinoLinotype-Roman" w:cs="PalatinoLinotype-Roman"/>
          <w:szCs w:val="24"/>
        </w:rPr>
        <w:t xml:space="preserve"> </w:t>
      </w:r>
      <w:r w:rsidRPr="00123C06">
        <w:rPr>
          <w:rFonts w:eastAsia="PalatinoLinotype-Roman" w:cs="PalatinoLinotype-Roman"/>
          <w:bCs/>
          <w:szCs w:val="24"/>
        </w:rPr>
        <w:t>351</w:t>
      </w:r>
      <w:r w:rsidRPr="00CC537A">
        <w:rPr>
          <w:rFonts w:eastAsia="PalatinoLinotype-Roman" w:cs="PalatinoLinotype-Roman"/>
          <w:b/>
          <w:szCs w:val="24"/>
        </w:rPr>
        <w:t>,</w:t>
      </w:r>
      <w:r w:rsidRPr="00CC537A">
        <w:rPr>
          <w:rFonts w:eastAsia="PalatinoLinotype-Roman" w:cs="PalatinoLinotype-Roman"/>
          <w:szCs w:val="24"/>
        </w:rPr>
        <w:t xml:space="preserve"> 84.</w:t>
      </w:r>
      <w:r>
        <w:rPr>
          <w:rFonts w:eastAsia="PalatinoLinotype-Roman" w:cs="PalatinoLinotype-Roman"/>
          <w:szCs w:val="24"/>
        </w:rPr>
        <w:fldChar w:fldCharType="end"/>
      </w:r>
    </w:p>
    <w:p w14:paraId="65C5585F" w14:textId="64CE9EDB" w:rsidR="00123C06" w:rsidRPr="00123C06" w:rsidRDefault="00123C06" w:rsidP="00123C06">
      <w:pPr>
        <w:rPr>
          <w:rFonts w:eastAsia="Times New Roman"/>
          <w:lang w:eastAsia="en-GB"/>
        </w:rPr>
      </w:pPr>
      <w:r>
        <w:rPr>
          <w:rFonts w:eastAsia="PalatinoLinotype-Roman" w:cs="PalatinoLinotype-Roman"/>
          <w:szCs w:val="24"/>
        </w:rPr>
        <w:t>8.</w:t>
      </w:r>
      <w:r w:rsidRPr="00123C06">
        <w:rPr>
          <w:rFonts w:eastAsia="Times New Roman"/>
          <w:lang w:val="en-US" w:eastAsia="en-GB"/>
        </w:rPr>
        <w:t>Sanjana NE</w:t>
      </w:r>
      <w:r w:rsidRPr="008E0E2B">
        <w:rPr>
          <w:rFonts w:eastAsia="Times New Roman"/>
          <w:szCs w:val="24"/>
          <w:lang w:val="en-US" w:eastAsia="en-GB"/>
        </w:rPr>
        <w:t xml:space="preserve">, Shalem O, Zhang F. Improved lentiviral vectors and genome-wide libraries for CRISPR screening. </w:t>
      </w:r>
      <w:r w:rsidRPr="008E0E2B">
        <w:rPr>
          <w:rFonts w:eastAsia="Times New Roman"/>
          <w:i/>
          <w:iCs/>
          <w:szCs w:val="24"/>
          <w:lang w:val="en-US" w:eastAsia="en-GB"/>
        </w:rPr>
        <w:t>Nature Methods</w:t>
      </w:r>
      <w:r w:rsidR="008E0E2B" w:rsidRPr="008E0E2B">
        <w:rPr>
          <w:rFonts w:eastAsia="Times New Roman"/>
          <w:szCs w:val="24"/>
          <w:lang w:val="en-US" w:eastAsia="en-GB"/>
        </w:rPr>
        <w:t xml:space="preserve">. </w:t>
      </w:r>
      <w:r w:rsidRPr="008E0E2B">
        <w:rPr>
          <w:rFonts w:eastAsia="Times New Roman"/>
          <w:b/>
          <w:bCs/>
          <w:szCs w:val="24"/>
          <w:lang w:val="en-US" w:eastAsia="en-GB"/>
        </w:rPr>
        <w:t>2014</w:t>
      </w:r>
      <w:r w:rsidR="008E0E2B" w:rsidRPr="008E0E2B">
        <w:rPr>
          <w:rFonts w:eastAsia="Times New Roman"/>
          <w:b/>
          <w:bCs/>
          <w:szCs w:val="24"/>
          <w:lang w:val="en-US" w:eastAsia="en-GB"/>
        </w:rPr>
        <w:t>;</w:t>
      </w:r>
      <w:r w:rsidRPr="008E0E2B">
        <w:rPr>
          <w:rStyle w:val="Heading1Char"/>
          <w:sz w:val="24"/>
          <w:szCs w:val="24"/>
        </w:rPr>
        <w:t xml:space="preserve"> </w:t>
      </w:r>
      <w:r w:rsidRPr="008E0E2B">
        <w:rPr>
          <w:rStyle w:val="HTMLCite"/>
          <w:szCs w:val="24"/>
        </w:rPr>
        <w:t>11(8):783-4</w:t>
      </w:r>
      <w:r w:rsidRPr="008E0E2B">
        <w:rPr>
          <w:rFonts w:eastAsia="Times New Roman"/>
          <w:szCs w:val="24"/>
          <w:lang w:val="en-US" w:eastAsia="en-GB"/>
        </w:rPr>
        <w:t>.</w:t>
      </w:r>
    </w:p>
    <w:p w14:paraId="11365C81" w14:textId="5EDC25A7" w:rsidR="00123C06" w:rsidRPr="001E5BC7" w:rsidRDefault="00123C06" w:rsidP="00CC537A"/>
    <w:sectPr w:rsidR="00123C06" w:rsidRPr="001E5BC7" w:rsidSect="00F979A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B25A" w14:textId="77777777" w:rsidR="00AC086C" w:rsidRDefault="00AC086C">
      <w:pPr>
        <w:spacing w:after="0" w:line="240" w:lineRule="auto"/>
      </w:pPr>
      <w:r>
        <w:separator/>
      </w:r>
    </w:p>
  </w:endnote>
  <w:endnote w:type="continuationSeparator" w:id="0">
    <w:p w14:paraId="6D0BC535" w14:textId="77777777" w:rsidR="00AC086C" w:rsidRDefault="00AC086C">
      <w:pPr>
        <w:spacing w:after="0" w:line="240" w:lineRule="auto"/>
      </w:pPr>
      <w:r>
        <w:continuationSeparator/>
      </w:r>
    </w:p>
  </w:endnote>
  <w:endnote w:type="continuationNotice" w:id="1">
    <w:p w14:paraId="55D2C3F9" w14:textId="77777777" w:rsidR="00AC086C" w:rsidRDefault="00AC0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Linotype-Roman">
    <w:altName w:val="Malgun Gothic Semilight"/>
    <w:panose1 w:val="00000000000000000000"/>
    <w:charset w:val="81"/>
    <w:family w:val="auto"/>
    <w:notTrueType/>
    <w:pitch w:val="default"/>
    <w:sig w:usb0="00000001" w:usb1="09070000" w:usb2="00000010" w:usb3="00000000" w:csb0="000A0000" w:csb1="00000000"/>
  </w:font>
  <w:font w:name="Palatino Linotype">
    <w:panose1 w:val="02040502050505030304"/>
    <w:charset w:val="00"/>
    <w:family w:val="roman"/>
    <w:pitch w:val="variable"/>
    <w:sig w:usb0="E0000287" w:usb1="40000013" w:usb2="00000000" w:usb3="00000000" w:csb0="0000019F" w:csb1="00000000"/>
  </w:font>
  <w:font w:name="MinionPro-Regular">
    <w:altName w:val="Yu Gothic UI"/>
    <w:panose1 w:val="00000000000000000000"/>
    <w:charset w:val="80"/>
    <w:family w:val="roman"/>
    <w:notTrueType/>
    <w:pitch w:val="default"/>
    <w:sig w:usb0="00000001" w:usb1="08070000" w:usb2="00000010" w:usb3="00000000" w:csb0="00020000" w:csb1="00000000"/>
  </w:font>
  <w:font w:name="EuclidSymbol">
    <w:altName w:val="MS Mincho"/>
    <w:panose1 w:val="00000000000000000000"/>
    <w:charset w:val="80"/>
    <w:family w:val="auto"/>
    <w:notTrueType/>
    <w:pitch w:val="default"/>
    <w:sig w:usb0="00002A87" w:usb1="08070000" w:usb2="00000010" w:usb3="00000000" w:csb0="000201FF" w:csb1="00000000"/>
  </w:font>
  <w:font w:name="TimesNewRomanPSMT">
    <w:panose1 w:val="00000000000000000000"/>
    <w:charset w:val="80"/>
    <w:family w:val="auto"/>
    <w:notTrueType/>
    <w:pitch w:val="default"/>
    <w:sig w:usb0="00000001" w:usb1="08070000" w:usb2="00000010" w:usb3="00000000" w:csb0="00020000" w:csb1="00000000"/>
  </w:font>
  <w:font w:name="PalatinoLinotype-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69399"/>
      <w:docPartObj>
        <w:docPartGallery w:val="Page Numbers (Bottom of Page)"/>
        <w:docPartUnique/>
      </w:docPartObj>
    </w:sdtPr>
    <w:sdtEndPr>
      <w:rPr>
        <w:noProof/>
      </w:rPr>
    </w:sdtEndPr>
    <w:sdtContent>
      <w:p w14:paraId="1ACB44AD" w14:textId="5ADD6626" w:rsidR="006A5F2D" w:rsidRDefault="006A5F2D">
        <w:pPr>
          <w:pStyle w:val="Footer"/>
          <w:jc w:val="right"/>
        </w:pPr>
        <w:r>
          <w:fldChar w:fldCharType="begin"/>
        </w:r>
        <w:r>
          <w:instrText xml:space="preserve"> PAGE   \* MERGEFORMAT </w:instrText>
        </w:r>
        <w:r>
          <w:fldChar w:fldCharType="separate"/>
        </w:r>
        <w:r w:rsidR="00E926B2">
          <w:rPr>
            <w:noProof/>
          </w:rPr>
          <w:t>8</w:t>
        </w:r>
        <w:r>
          <w:rPr>
            <w:noProof/>
          </w:rPr>
          <w:fldChar w:fldCharType="end"/>
        </w:r>
      </w:p>
    </w:sdtContent>
  </w:sdt>
  <w:p w14:paraId="03166A22" w14:textId="77777777" w:rsidR="006A5F2D" w:rsidRDefault="006A5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14D9" w14:textId="77777777" w:rsidR="00AC086C" w:rsidRDefault="00AC086C">
      <w:pPr>
        <w:spacing w:after="0" w:line="240" w:lineRule="auto"/>
      </w:pPr>
      <w:r>
        <w:separator/>
      </w:r>
    </w:p>
  </w:footnote>
  <w:footnote w:type="continuationSeparator" w:id="0">
    <w:p w14:paraId="721885DE" w14:textId="77777777" w:rsidR="00AC086C" w:rsidRDefault="00AC086C">
      <w:pPr>
        <w:spacing w:after="0" w:line="240" w:lineRule="auto"/>
      </w:pPr>
      <w:r>
        <w:continuationSeparator/>
      </w:r>
    </w:p>
  </w:footnote>
  <w:footnote w:type="continuationNotice" w:id="1">
    <w:p w14:paraId="42468C39" w14:textId="77777777" w:rsidR="00AC086C" w:rsidRDefault="00AC08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E83"/>
    <w:multiLevelType w:val="hybridMultilevel"/>
    <w:tmpl w:val="E20E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D133F"/>
    <w:multiLevelType w:val="hybridMultilevel"/>
    <w:tmpl w:val="35DCC4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66523091"/>
    <w:multiLevelType w:val="hybridMultilevel"/>
    <w:tmpl w:val="01A0D70A"/>
    <w:lvl w:ilvl="0" w:tplc="08090001">
      <w:start w:val="1"/>
      <w:numFmt w:val="bullet"/>
      <w:lvlText w:val=""/>
      <w:lvlJc w:val="left"/>
      <w:pPr>
        <w:ind w:left="1080" w:hanging="360"/>
      </w:pPr>
      <w:rPr>
        <w:rFonts w:ascii="Symbol" w:hAnsi="Symbol" w:hint="default"/>
      </w:rPr>
    </w:lvl>
    <w:lvl w:ilvl="1" w:tplc="37B687E8">
      <w:numFmt w:val="bullet"/>
      <w:lvlText w:val="•"/>
      <w:lvlJc w:val="left"/>
      <w:pPr>
        <w:ind w:left="1800" w:hanging="360"/>
      </w:pPr>
      <w:rPr>
        <w:rFonts w:ascii="Times New Roman" w:eastAsiaTheme="minorHAnsi"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3B3A6E"/>
    <w:multiLevelType w:val="hybridMultilevel"/>
    <w:tmpl w:val="9CD8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05405"/>
    <w:multiLevelType w:val="hybridMultilevel"/>
    <w:tmpl w:val="0DB40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99"/>
    <w:rsid w:val="0005463F"/>
    <w:rsid w:val="00085F57"/>
    <w:rsid w:val="00085FAD"/>
    <w:rsid w:val="00087169"/>
    <w:rsid w:val="0009096C"/>
    <w:rsid w:val="000E11F0"/>
    <w:rsid w:val="000E13EB"/>
    <w:rsid w:val="000F58E1"/>
    <w:rsid w:val="0011421A"/>
    <w:rsid w:val="00116A6F"/>
    <w:rsid w:val="00123C06"/>
    <w:rsid w:val="00124CCC"/>
    <w:rsid w:val="001336C1"/>
    <w:rsid w:val="0013424E"/>
    <w:rsid w:val="0017437A"/>
    <w:rsid w:val="001842A2"/>
    <w:rsid w:val="001A07DD"/>
    <w:rsid w:val="001C3DE7"/>
    <w:rsid w:val="001D7C39"/>
    <w:rsid w:val="001E20F9"/>
    <w:rsid w:val="001E296D"/>
    <w:rsid w:val="001E5BC7"/>
    <w:rsid w:val="002051E6"/>
    <w:rsid w:val="002302E1"/>
    <w:rsid w:val="00250F8D"/>
    <w:rsid w:val="00251B63"/>
    <w:rsid w:val="00277395"/>
    <w:rsid w:val="002E11B6"/>
    <w:rsid w:val="00355085"/>
    <w:rsid w:val="0036120E"/>
    <w:rsid w:val="003774B2"/>
    <w:rsid w:val="003A1FB5"/>
    <w:rsid w:val="003A6E13"/>
    <w:rsid w:val="003E1AF4"/>
    <w:rsid w:val="003E1C75"/>
    <w:rsid w:val="00411AE5"/>
    <w:rsid w:val="0041228B"/>
    <w:rsid w:val="004213A6"/>
    <w:rsid w:val="004304CE"/>
    <w:rsid w:val="00460323"/>
    <w:rsid w:val="004B500E"/>
    <w:rsid w:val="004D2AC9"/>
    <w:rsid w:val="004E244D"/>
    <w:rsid w:val="00526FF5"/>
    <w:rsid w:val="0053312B"/>
    <w:rsid w:val="00541003"/>
    <w:rsid w:val="00541F4B"/>
    <w:rsid w:val="00561B2B"/>
    <w:rsid w:val="005643E7"/>
    <w:rsid w:val="0058320D"/>
    <w:rsid w:val="005A5F24"/>
    <w:rsid w:val="005B677C"/>
    <w:rsid w:val="005D1DF3"/>
    <w:rsid w:val="005F0045"/>
    <w:rsid w:val="00607D79"/>
    <w:rsid w:val="006549E1"/>
    <w:rsid w:val="00656EC0"/>
    <w:rsid w:val="006818A0"/>
    <w:rsid w:val="006A5F2D"/>
    <w:rsid w:val="006C2819"/>
    <w:rsid w:val="006C43C5"/>
    <w:rsid w:val="006D1F2E"/>
    <w:rsid w:val="006D4BF8"/>
    <w:rsid w:val="00717474"/>
    <w:rsid w:val="00732D03"/>
    <w:rsid w:val="00744A3D"/>
    <w:rsid w:val="00786765"/>
    <w:rsid w:val="00791AE5"/>
    <w:rsid w:val="007B6B72"/>
    <w:rsid w:val="007C131E"/>
    <w:rsid w:val="007D3310"/>
    <w:rsid w:val="007D4D8F"/>
    <w:rsid w:val="007D52E2"/>
    <w:rsid w:val="007F7743"/>
    <w:rsid w:val="00801E2A"/>
    <w:rsid w:val="00810928"/>
    <w:rsid w:val="00844B15"/>
    <w:rsid w:val="0086722C"/>
    <w:rsid w:val="00873D0B"/>
    <w:rsid w:val="00875B28"/>
    <w:rsid w:val="008B4B95"/>
    <w:rsid w:val="008E0E2B"/>
    <w:rsid w:val="008F7F99"/>
    <w:rsid w:val="00931205"/>
    <w:rsid w:val="00946E5F"/>
    <w:rsid w:val="00966782"/>
    <w:rsid w:val="00976176"/>
    <w:rsid w:val="009C35C7"/>
    <w:rsid w:val="009D4ED9"/>
    <w:rsid w:val="00A05CD4"/>
    <w:rsid w:val="00A11A6A"/>
    <w:rsid w:val="00A12515"/>
    <w:rsid w:val="00A1390C"/>
    <w:rsid w:val="00A44D00"/>
    <w:rsid w:val="00A51D4A"/>
    <w:rsid w:val="00A610D1"/>
    <w:rsid w:val="00A75476"/>
    <w:rsid w:val="00A80C38"/>
    <w:rsid w:val="00AB0B9C"/>
    <w:rsid w:val="00AB464E"/>
    <w:rsid w:val="00AC086C"/>
    <w:rsid w:val="00AC4A14"/>
    <w:rsid w:val="00B23820"/>
    <w:rsid w:val="00B26553"/>
    <w:rsid w:val="00B36F5E"/>
    <w:rsid w:val="00B46A2C"/>
    <w:rsid w:val="00B506BE"/>
    <w:rsid w:val="00B6614C"/>
    <w:rsid w:val="00B869CB"/>
    <w:rsid w:val="00B918F7"/>
    <w:rsid w:val="00B97172"/>
    <w:rsid w:val="00B9798B"/>
    <w:rsid w:val="00BA2D6B"/>
    <w:rsid w:val="00BC14F5"/>
    <w:rsid w:val="00BC17B0"/>
    <w:rsid w:val="00BC3A64"/>
    <w:rsid w:val="00BE0715"/>
    <w:rsid w:val="00BE7F6A"/>
    <w:rsid w:val="00BF235A"/>
    <w:rsid w:val="00BF4940"/>
    <w:rsid w:val="00BF4CE7"/>
    <w:rsid w:val="00C11C38"/>
    <w:rsid w:val="00C13485"/>
    <w:rsid w:val="00C478E7"/>
    <w:rsid w:val="00C5289C"/>
    <w:rsid w:val="00C718C9"/>
    <w:rsid w:val="00C7487F"/>
    <w:rsid w:val="00C9719F"/>
    <w:rsid w:val="00CC537A"/>
    <w:rsid w:val="00CD5324"/>
    <w:rsid w:val="00CF3DF4"/>
    <w:rsid w:val="00D27A45"/>
    <w:rsid w:val="00D33324"/>
    <w:rsid w:val="00D5639A"/>
    <w:rsid w:val="00D83B98"/>
    <w:rsid w:val="00DC6774"/>
    <w:rsid w:val="00DD66F6"/>
    <w:rsid w:val="00DF4C6C"/>
    <w:rsid w:val="00E26733"/>
    <w:rsid w:val="00E3002D"/>
    <w:rsid w:val="00E40F63"/>
    <w:rsid w:val="00E504CF"/>
    <w:rsid w:val="00E51AC6"/>
    <w:rsid w:val="00E70AC6"/>
    <w:rsid w:val="00E73381"/>
    <w:rsid w:val="00E926B2"/>
    <w:rsid w:val="00E97899"/>
    <w:rsid w:val="00EA67E7"/>
    <w:rsid w:val="00EB6B1B"/>
    <w:rsid w:val="00ED0F83"/>
    <w:rsid w:val="00ED26B2"/>
    <w:rsid w:val="00EF0029"/>
    <w:rsid w:val="00EF65C5"/>
    <w:rsid w:val="00F474CE"/>
    <w:rsid w:val="00F56168"/>
    <w:rsid w:val="00F85799"/>
    <w:rsid w:val="00F94ED8"/>
    <w:rsid w:val="00F979A2"/>
    <w:rsid w:val="00FB4FCA"/>
    <w:rsid w:val="00FD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A47E"/>
  <w15:chartTrackingRefBased/>
  <w15:docId w15:val="{AE78CA7F-9A63-438E-8899-D4A70AA3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9C"/>
    <w:pPr>
      <w:spacing w:line="36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AB0B9C"/>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B0B9C"/>
    <w:pPr>
      <w:keepNext/>
      <w:keepLines/>
      <w:spacing w:before="120" w:after="120"/>
      <w:outlineLvl w:val="1"/>
    </w:pPr>
    <w:rPr>
      <w:rFonts w:eastAsiaTheme="majorEastAsia" w:cstheme="majorBidi"/>
      <w:b/>
      <w:color w:val="0D0D0D" w:themeColor="text1" w:themeTint="F2"/>
      <w:szCs w:val="28"/>
    </w:rPr>
  </w:style>
  <w:style w:type="paragraph" w:styleId="Heading3">
    <w:name w:val="heading 3"/>
    <w:basedOn w:val="Normal"/>
    <w:next w:val="Normal"/>
    <w:link w:val="Heading3Char"/>
    <w:uiPriority w:val="9"/>
    <w:unhideWhenUsed/>
    <w:qFormat/>
    <w:rsid w:val="00AB0B9C"/>
    <w:pPr>
      <w:keepNext/>
      <w:keepLines/>
      <w:spacing w:before="120" w:after="0"/>
      <w:outlineLvl w:val="2"/>
    </w:pPr>
    <w:rPr>
      <w:rFonts w:eastAsiaTheme="majorEastAsia" w:cstheme="majorBidi"/>
      <w:i/>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9C"/>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AB0B9C"/>
    <w:rPr>
      <w:rFonts w:ascii="Times New Roman" w:eastAsiaTheme="majorEastAsia" w:hAnsi="Times New Roman" w:cstheme="majorBidi"/>
      <w:b/>
      <w:color w:val="0D0D0D" w:themeColor="text1" w:themeTint="F2"/>
      <w:sz w:val="24"/>
      <w:szCs w:val="28"/>
    </w:rPr>
  </w:style>
  <w:style w:type="character" w:customStyle="1" w:styleId="Heading3Char">
    <w:name w:val="Heading 3 Char"/>
    <w:basedOn w:val="DefaultParagraphFont"/>
    <w:link w:val="Heading3"/>
    <w:uiPriority w:val="9"/>
    <w:rsid w:val="00AB0B9C"/>
    <w:rPr>
      <w:rFonts w:ascii="Times New Roman" w:eastAsiaTheme="majorEastAsia" w:hAnsi="Times New Roman" w:cstheme="majorBidi"/>
      <w:i/>
      <w:color w:val="0D0D0D" w:themeColor="text1" w:themeTint="F2"/>
      <w:sz w:val="24"/>
      <w:szCs w:val="24"/>
    </w:rPr>
  </w:style>
  <w:style w:type="character" w:styleId="Strong">
    <w:name w:val="Strong"/>
    <w:basedOn w:val="DefaultParagraphFont"/>
    <w:uiPriority w:val="22"/>
    <w:qFormat/>
    <w:rsid w:val="00AB0B9C"/>
    <w:rPr>
      <w:b/>
      <w:bCs/>
      <w:color w:val="auto"/>
    </w:rPr>
  </w:style>
  <w:style w:type="paragraph" w:styleId="ListParagraph">
    <w:name w:val="List Paragraph"/>
    <w:basedOn w:val="Normal"/>
    <w:uiPriority w:val="34"/>
    <w:qFormat/>
    <w:rsid w:val="00AB0B9C"/>
    <w:pPr>
      <w:ind w:left="720"/>
      <w:contextualSpacing/>
    </w:pPr>
  </w:style>
  <w:style w:type="table" w:styleId="TableGrid">
    <w:name w:val="Table Grid"/>
    <w:basedOn w:val="TableNormal"/>
    <w:uiPriority w:val="59"/>
    <w:rsid w:val="00AB0B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B9C"/>
    <w:pPr>
      <w:spacing w:after="0" w:line="240" w:lineRule="auto"/>
    </w:pPr>
    <w:rPr>
      <w:rFonts w:eastAsiaTheme="minorEastAsia"/>
    </w:rPr>
  </w:style>
  <w:style w:type="paragraph" w:styleId="Footer">
    <w:name w:val="footer"/>
    <w:basedOn w:val="Normal"/>
    <w:link w:val="FooterChar"/>
    <w:uiPriority w:val="99"/>
    <w:unhideWhenUsed/>
    <w:rsid w:val="00AB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9C"/>
    <w:rPr>
      <w:rFonts w:ascii="Times New Roman" w:eastAsiaTheme="minorEastAsia" w:hAnsi="Times New Roman"/>
      <w:sz w:val="24"/>
    </w:rPr>
  </w:style>
  <w:style w:type="paragraph" w:customStyle="1" w:styleId="Legend">
    <w:name w:val="Legend"/>
    <w:basedOn w:val="Normal"/>
    <w:qFormat/>
    <w:rsid w:val="001E5BC7"/>
    <w:pPr>
      <w:autoSpaceDE w:val="0"/>
      <w:autoSpaceDN w:val="0"/>
      <w:adjustRightInd w:val="0"/>
      <w:spacing w:after="120" w:line="240" w:lineRule="auto"/>
    </w:pPr>
    <w:rPr>
      <w:rFonts w:eastAsia="PalatinoLinotype-Roman" w:cs="PalatinoLinotype-Roman"/>
      <w:sz w:val="20"/>
    </w:rPr>
  </w:style>
  <w:style w:type="paragraph" w:customStyle="1" w:styleId="palintinolinotype">
    <w:name w:val="palintino linotype"/>
    <w:basedOn w:val="Normal"/>
    <w:qFormat/>
    <w:rsid w:val="00AB0B9C"/>
    <w:pPr>
      <w:spacing w:after="200"/>
      <w:ind w:firstLine="454"/>
      <w:jc w:val="both"/>
    </w:pPr>
    <w:rPr>
      <w:rFonts w:ascii="Palatino Linotype" w:eastAsiaTheme="majorEastAsia" w:hAnsi="Palatino Linotype" w:cstheme="majorBidi"/>
      <w:lang w:val="en-NZ"/>
    </w:rPr>
  </w:style>
  <w:style w:type="character" w:customStyle="1" w:styleId="linkify">
    <w:name w:val="linkify"/>
    <w:basedOn w:val="DefaultParagraphFont"/>
    <w:rsid w:val="00AB0B9C"/>
  </w:style>
  <w:style w:type="paragraph" w:styleId="NormalWeb">
    <w:name w:val="Normal (Web)"/>
    <w:basedOn w:val="Normal"/>
    <w:uiPriority w:val="99"/>
    <w:unhideWhenUsed/>
    <w:rsid w:val="00EF0029"/>
    <w:pPr>
      <w:spacing w:before="100" w:beforeAutospacing="1" w:after="100" w:afterAutospacing="1" w:line="240" w:lineRule="auto"/>
    </w:pPr>
    <w:rPr>
      <w:rFonts w:cs="Times New Roman"/>
      <w:szCs w:val="24"/>
      <w:lang w:eastAsia="en-GB"/>
    </w:rPr>
  </w:style>
  <w:style w:type="character" w:customStyle="1" w:styleId="hljs-string">
    <w:name w:val="hljs-string"/>
    <w:basedOn w:val="DefaultParagraphFont"/>
    <w:rsid w:val="00EF0029"/>
  </w:style>
  <w:style w:type="paragraph" w:styleId="Caption">
    <w:name w:val="caption"/>
    <w:basedOn w:val="Normal"/>
    <w:next w:val="Normal"/>
    <w:uiPriority w:val="35"/>
    <w:unhideWhenUsed/>
    <w:qFormat/>
    <w:rsid w:val="00C7487F"/>
    <w:pPr>
      <w:spacing w:line="252" w:lineRule="auto"/>
      <w:jc w:val="both"/>
    </w:pPr>
    <w:rPr>
      <w:rFonts w:ascii="Palatino Linotype" w:hAnsi="Palatino Linotype"/>
      <w:b/>
      <w:bCs/>
      <w:sz w:val="18"/>
      <w:szCs w:val="18"/>
    </w:rPr>
  </w:style>
  <w:style w:type="character" w:styleId="Hyperlink">
    <w:name w:val="Hyperlink"/>
    <w:basedOn w:val="DefaultParagraphFont"/>
    <w:uiPriority w:val="99"/>
    <w:unhideWhenUsed/>
    <w:rsid w:val="00BE7F6A"/>
    <w:rPr>
      <w:color w:val="0000FF"/>
      <w:u w:val="single"/>
    </w:rPr>
  </w:style>
  <w:style w:type="paragraph" w:styleId="BalloonText">
    <w:name w:val="Balloon Text"/>
    <w:basedOn w:val="Normal"/>
    <w:link w:val="BalloonTextChar"/>
    <w:uiPriority w:val="99"/>
    <w:semiHidden/>
    <w:unhideWhenUsed/>
    <w:rsid w:val="00CF3DF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F58E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5643E7"/>
    <w:rPr>
      <w:sz w:val="16"/>
      <w:szCs w:val="16"/>
    </w:rPr>
  </w:style>
  <w:style w:type="paragraph" w:styleId="CommentText">
    <w:name w:val="annotation text"/>
    <w:basedOn w:val="Normal"/>
    <w:link w:val="CommentTextChar"/>
    <w:uiPriority w:val="99"/>
    <w:semiHidden/>
    <w:unhideWhenUsed/>
    <w:rsid w:val="005643E7"/>
    <w:pPr>
      <w:spacing w:line="240" w:lineRule="auto"/>
    </w:pPr>
    <w:rPr>
      <w:sz w:val="20"/>
      <w:szCs w:val="20"/>
    </w:rPr>
  </w:style>
  <w:style w:type="character" w:customStyle="1" w:styleId="CommentTextChar">
    <w:name w:val="Comment Text Char"/>
    <w:basedOn w:val="DefaultParagraphFont"/>
    <w:link w:val="CommentText"/>
    <w:uiPriority w:val="99"/>
    <w:semiHidden/>
    <w:rsid w:val="005643E7"/>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5643E7"/>
    <w:rPr>
      <w:b/>
      <w:bCs/>
    </w:rPr>
  </w:style>
  <w:style w:type="character" w:customStyle="1" w:styleId="CommentSubjectChar">
    <w:name w:val="Comment Subject Char"/>
    <w:basedOn w:val="CommentTextChar"/>
    <w:link w:val="CommentSubject"/>
    <w:uiPriority w:val="99"/>
    <w:semiHidden/>
    <w:rsid w:val="005643E7"/>
    <w:rPr>
      <w:rFonts w:ascii="Times New Roman" w:eastAsiaTheme="minorEastAsia" w:hAnsi="Times New Roman"/>
      <w:b/>
      <w:bCs/>
      <w:sz w:val="20"/>
      <w:szCs w:val="20"/>
    </w:rPr>
  </w:style>
  <w:style w:type="paragraph" w:styleId="Header">
    <w:name w:val="header"/>
    <w:basedOn w:val="Normal"/>
    <w:link w:val="HeaderChar"/>
    <w:uiPriority w:val="99"/>
    <w:unhideWhenUsed/>
    <w:rsid w:val="00CF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F4"/>
    <w:rPr>
      <w:rFonts w:ascii="Times New Roman" w:eastAsiaTheme="minorEastAsia" w:hAnsi="Times New Roman"/>
      <w:sz w:val="24"/>
    </w:rPr>
  </w:style>
  <w:style w:type="paragraph" w:styleId="Revision">
    <w:name w:val="Revision"/>
    <w:hidden/>
    <w:uiPriority w:val="99"/>
    <w:semiHidden/>
    <w:rsid w:val="00CF3DF4"/>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semiHidden/>
    <w:unhideWhenUsed/>
    <w:rsid w:val="00CC5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37A"/>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CC537A"/>
    <w:rPr>
      <w:vertAlign w:val="superscript"/>
    </w:rPr>
  </w:style>
  <w:style w:type="character" w:styleId="HTMLCite">
    <w:name w:val="HTML Cite"/>
    <w:basedOn w:val="DefaultParagraphFont"/>
    <w:uiPriority w:val="99"/>
    <w:semiHidden/>
    <w:unhideWhenUsed/>
    <w:rsid w:val="00123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9187">
      <w:bodyDiv w:val="1"/>
      <w:marLeft w:val="0"/>
      <w:marRight w:val="0"/>
      <w:marTop w:val="0"/>
      <w:marBottom w:val="0"/>
      <w:divBdr>
        <w:top w:val="none" w:sz="0" w:space="0" w:color="auto"/>
        <w:left w:val="none" w:sz="0" w:space="0" w:color="auto"/>
        <w:bottom w:val="none" w:sz="0" w:space="0" w:color="auto"/>
        <w:right w:val="none" w:sz="0" w:space="0" w:color="auto"/>
      </w:divBdr>
    </w:div>
    <w:div w:id="1049308249">
      <w:bodyDiv w:val="1"/>
      <w:marLeft w:val="0"/>
      <w:marRight w:val="0"/>
      <w:marTop w:val="0"/>
      <w:marBottom w:val="0"/>
      <w:divBdr>
        <w:top w:val="none" w:sz="0" w:space="0" w:color="auto"/>
        <w:left w:val="none" w:sz="0" w:space="0" w:color="auto"/>
        <w:bottom w:val="none" w:sz="0" w:space="0" w:color="auto"/>
        <w:right w:val="none" w:sz="0" w:space="0" w:color="auto"/>
      </w:divBdr>
    </w:div>
    <w:div w:id="1063455049">
      <w:bodyDiv w:val="1"/>
      <w:marLeft w:val="0"/>
      <w:marRight w:val="0"/>
      <w:marTop w:val="0"/>
      <w:marBottom w:val="0"/>
      <w:divBdr>
        <w:top w:val="none" w:sz="0" w:space="0" w:color="auto"/>
        <w:left w:val="none" w:sz="0" w:space="0" w:color="auto"/>
        <w:bottom w:val="none" w:sz="0" w:space="0" w:color="auto"/>
        <w:right w:val="none" w:sz="0" w:space="0" w:color="auto"/>
      </w:divBdr>
    </w:div>
    <w:div w:id="1194610849">
      <w:bodyDiv w:val="1"/>
      <w:marLeft w:val="0"/>
      <w:marRight w:val="0"/>
      <w:marTop w:val="0"/>
      <w:marBottom w:val="0"/>
      <w:divBdr>
        <w:top w:val="none" w:sz="0" w:space="0" w:color="auto"/>
        <w:left w:val="none" w:sz="0" w:space="0" w:color="auto"/>
        <w:bottom w:val="none" w:sz="0" w:space="0" w:color="auto"/>
        <w:right w:val="none" w:sz="0" w:space="0" w:color="auto"/>
      </w:divBdr>
    </w:div>
    <w:div w:id="18552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BEETHAM Henry</dc:creator>
  <cp:keywords/>
  <dc:description/>
  <cp:lastModifiedBy>Henry Scott</cp:lastModifiedBy>
  <cp:revision>5</cp:revision>
  <dcterms:created xsi:type="dcterms:W3CDTF">2021-09-01T09:22:00Z</dcterms:created>
  <dcterms:modified xsi:type="dcterms:W3CDTF">2021-10-15T22:00:00Z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 /&gt;&lt;format class="0" /&gt;&lt;count citations="0" publications="0" /&gt;&lt;/info&gt;PAPERS2_INFO_END</vt:lpwstr>
  </property>
</Properties>
</file>