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C91F" w14:textId="33A4252F" w:rsidR="00FE7A04" w:rsidRDefault="00FE7A04" w:rsidP="00FE7A04">
      <w:pPr>
        <w:spacing w:line="360" w:lineRule="auto"/>
        <w:jc w:val="both"/>
        <w:rPr>
          <w:rFonts w:ascii="Times New Roman" w:hAnsi="Times New Roman" w:cs="Times New Roman"/>
          <w:b/>
        </w:rPr>
      </w:pPr>
      <w:r w:rsidRPr="00FE7A04">
        <w:rPr>
          <w:rFonts w:ascii="Times New Roman" w:hAnsi="Times New Roman" w:cs="Times New Roman"/>
          <w:b/>
        </w:rPr>
        <w:t>Supplementary methods and materials</w:t>
      </w:r>
    </w:p>
    <w:p w14:paraId="3B333A0A" w14:textId="77777777" w:rsidR="00F83191" w:rsidRDefault="00F83191" w:rsidP="00FE7A04">
      <w:pPr>
        <w:spacing w:line="360" w:lineRule="auto"/>
        <w:jc w:val="both"/>
        <w:rPr>
          <w:rFonts w:ascii="Times New Roman" w:hAnsi="Times New Roman" w:cs="Times New Roman"/>
          <w:b/>
        </w:rPr>
      </w:pPr>
    </w:p>
    <w:p w14:paraId="1E53EB39" w14:textId="77777777" w:rsidR="00E164A6" w:rsidRPr="00AA44F4" w:rsidRDefault="00E164A6" w:rsidP="00E164A6">
      <w:pPr>
        <w:spacing w:line="360" w:lineRule="auto"/>
        <w:jc w:val="both"/>
        <w:rPr>
          <w:rFonts w:ascii="Times New Roman" w:hAnsi="Times New Roman" w:cs="Times New Roman"/>
          <w:b/>
        </w:rPr>
      </w:pPr>
      <w:r w:rsidRPr="00AA44F4">
        <w:rPr>
          <w:rFonts w:ascii="Times New Roman" w:hAnsi="Times New Roman" w:cs="Times New Roman"/>
          <w:b/>
        </w:rPr>
        <w:t>Quantitative RT-PCR</w:t>
      </w:r>
    </w:p>
    <w:p w14:paraId="1473AC06" w14:textId="4F9F3957" w:rsidR="00E164A6" w:rsidRDefault="00E164A6" w:rsidP="00E164A6">
      <w:pPr>
        <w:spacing w:line="360" w:lineRule="auto"/>
        <w:jc w:val="both"/>
        <w:rPr>
          <w:rFonts w:ascii="Times New Roman" w:hAnsi="Times New Roman" w:cs="Times New Roman"/>
          <w:bCs/>
        </w:rPr>
      </w:pPr>
      <w:r w:rsidRPr="00206146">
        <w:rPr>
          <w:rFonts w:ascii="Times New Roman" w:hAnsi="Times New Roman" w:cs="Times New Roman"/>
        </w:rPr>
        <w:t xml:space="preserve">Total RNA was extracted using RNeasy mini kit (Qiagen), and 1 </w:t>
      </w:r>
      <w:proofErr w:type="spellStart"/>
      <w:r w:rsidRPr="00206146">
        <w:rPr>
          <w:rFonts w:ascii="Times New Roman" w:hAnsi="Times New Roman" w:cs="Times New Roman"/>
        </w:rPr>
        <w:t>μg</w:t>
      </w:r>
      <w:proofErr w:type="spellEnd"/>
      <w:r w:rsidRPr="00206146">
        <w:rPr>
          <w:rFonts w:ascii="Times New Roman" w:hAnsi="Times New Roman" w:cs="Times New Roman"/>
        </w:rPr>
        <w:t xml:space="preserve"> aliquots were used for cDNA synthesis using the </w:t>
      </w:r>
      <w:proofErr w:type="spellStart"/>
      <w:r w:rsidRPr="00206146">
        <w:rPr>
          <w:rFonts w:ascii="Times New Roman" w:hAnsi="Times New Roman" w:cs="Times New Roman"/>
        </w:rPr>
        <w:t>qScript</w:t>
      </w:r>
      <w:proofErr w:type="spellEnd"/>
      <w:r w:rsidRPr="00206146">
        <w:rPr>
          <w:rFonts w:ascii="Times New Roman" w:hAnsi="Times New Roman" w:cs="Times New Roman"/>
        </w:rPr>
        <w:t>™ cDNA Synthesis Kit (Quanta Biosciences). The cDNA templates were subjected to PCR amplification on CFX96 qPCR System (</w:t>
      </w:r>
      <w:proofErr w:type="spellStart"/>
      <w:r w:rsidRPr="00206146">
        <w:rPr>
          <w:rFonts w:ascii="Times New Roman" w:hAnsi="Times New Roman" w:cs="Times New Roman"/>
        </w:rPr>
        <w:t>Biorad</w:t>
      </w:r>
      <w:proofErr w:type="spellEnd"/>
      <w:r w:rsidRPr="00206146">
        <w:rPr>
          <w:rFonts w:ascii="Times New Roman" w:hAnsi="Times New Roman" w:cs="Times New Roman"/>
        </w:rPr>
        <w:t>). Expression of each gene was normalized to GAPDH, and quantified using 2−</w:t>
      </w:r>
      <w:proofErr w:type="gramStart"/>
      <w:r w:rsidRPr="00206146">
        <w:rPr>
          <w:rFonts w:ascii="Times New Roman" w:hAnsi="Times New Roman" w:cs="Times New Roman"/>
        </w:rPr>
        <w:t>delta(</w:t>
      </w:r>
      <w:proofErr w:type="gramEnd"/>
      <w:r w:rsidR="00911ACB">
        <w:rPr>
          <w:rFonts w:ascii="Times New Roman" w:hAnsi="Times New Roman" w:cs="Times New Roman"/>
        </w:rPr>
        <w:t>Ct</w:t>
      </w:r>
      <w:r w:rsidRPr="00206146">
        <w:rPr>
          <w:rFonts w:ascii="Times New Roman" w:hAnsi="Times New Roman" w:cs="Times New Roman"/>
        </w:rPr>
        <w:t>) method.</w:t>
      </w:r>
      <w:r>
        <w:rPr>
          <w:rFonts w:ascii="Times New Roman" w:hAnsi="Times New Roman" w:cs="Times New Roman"/>
        </w:rPr>
        <w:t xml:space="preserve"> </w:t>
      </w:r>
      <w:r w:rsidRPr="00AA44F4">
        <w:rPr>
          <w:rFonts w:ascii="Times New Roman" w:hAnsi="Times New Roman" w:cs="Times New Roman"/>
          <w:bCs/>
        </w:rPr>
        <w:t>Primers used for quantitative RT-PCR are as follows</w:t>
      </w:r>
      <w:r>
        <w:rPr>
          <w:rFonts w:ascii="Times New Roman" w:hAnsi="Times New Roman" w:cs="Times New Roman"/>
          <w:b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
        <w:gridCol w:w="3816"/>
        <w:gridCol w:w="3547"/>
      </w:tblGrid>
      <w:tr w:rsidR="00E164A6" w:rsidRPr="00F46526" w14:paraId="1CBC1E22" w14:textId="77777777" w:rsidTr="00291391">
        <w:tc>
          <w:tcPr>
            <w:tcW w:w="937" w:type="dxa"/>
          </w:tcPr>
          <w:p w14:paraId="349B0C24" w14:textId="77777777" w:rsidR="00E164A6" w:rsidRPr="00F46526" w:rsidRDefault="00E164A6" w:rsidP="00291391">
            <w:pPr>
              <w:spacing w:line="360" w:lineRule="auto"/>
              <w:rPr>
                <w:rFonts w:ascii="Times New Roman" w:hAnsi="Times New Roman" w:cs="Times New Roman"/>
                <w:bCs/>
                <w:sz w:val="20"/>
                <w:szCs w:val="20"/>
              </w:rPr>
            </w:pPr>
          </w:p>
        </w:tc>
        <w:tc>
          <w:tcPr>
            <w:tcW w:w="3816" w:type="dxa"/>
          </w:tcPr>
          <w:p w14:paraId="3B2D9021" w14:textId="77777777" w:rsidR="00E164A6" w:rsidRPr="00F46526" w:rsidRDefault="00E164A6" w:rsidP="00291391">
            <w:pPr>
              <w:spacing w:line="360" w:lineRule="auto"/>
              <w:rPr>
                <w:rFonts w:ascii="Times New Roman" w:hAnsi="Times New Roman" w:cs="Times New Roman"/>
                <w:bCs/>
                <w:sz w:val="20"/>
                <w:szCs w:val="20"/>
              </w:rPr>
            </w:pPr>
            <w:proofErr w:type="spellStart"/>
            <w:r w:rsidRPr="00F46526">
              <w:rPr>
                <w:rFonts w:ascii="Times New Roman" w:hAnsi="Times New Roman" w:cs="Times New Roman"/>
                <w:bCs/>
                <w:sz w:val="20"/>
                <w:szCs w:val="20"/>
              </w:rPr>
              <w:t>Fwd</w:t>
            </w:r>
            <w:proofErr w:type="spellEnd"/>
          </w:p>
        </w:tc>
        <w:tc>
          <w:tcPr>
            <w:tcW w:w="3547" w:type="dxa"/>
          </w:tcPr>
          <w:p w14:paraId="5DFF0DAA" w14:textId="77777777" w:rsidR="00E164A6" w:rsidRPr="00F46526" w:rsidRDefault="00E164A6" w:rsidP="00291391">
            <w:pPr>
              <w:spacing w:line="360" w:lineRule="auto"/>
              <w:rPr>
                <w:rFonts w:ascii="Times New Roman" w:hAnsi="Times New Roman" w:cs="Times New Roman"/>
                <w:bCs/>
                <w:sz w:val="20"/>
                <w:szCs w:val="20"/>
              </w:rPr>
            </w:pPr>
            <w:r w:rsidRPr="00F46526">
              <w:rPr>
                <w:rFonts w:ascii="Times New Roman" w:hAnsi="Times New Roman" w:cs="Times New Roman"/>
                <w:bCs/>
                <w:sz w:val="20"/>
                <w:szCs w:val="20"/>
              </w:rPr>
              <w:t>Rev</w:t>
            </w:r>
          </w:p>
        </w:tc>
      </w:tr>
      <w:tr w:rsidR="00E164A6" w:rsidRPr="00F46526" w14:paraId="0593E2D4" w14:textId="77777777" w:rsidTr="00291391">
        <w:tc>
          <w:tcPr>
            <w:tcW w:w="937" w:type="dxa"/>
          </w:tcPr>
          <w:p w14:paraId="77DCBCFD" w14:textId="77777777" w:rsidR="00E164A6" w:rsidRPr="00F46526" w:rsidRDefault="00E164A6" w:rsidP="00291391">
            <w:pPr>
              <w:spacing w:line="360" w:lineRule="auto"/>
              <w:rPr>
                <w:rFonts w:ascii="Times New Roman" w:hAnsi="Times New Roman" w:cs="Times New Roman"/>
                <w:bCs/>
                <w:sz w:val="20"/>
                <w:szCs w:val="20"/>
              </w:rPr>
            </w:pPr>
            <w:r w:rsidRPr="00F46526">
              <w:rPr>
                <w:rFonts w:ascii="Times New Roman" w:hAnsi="Times New Roman" w:cs="Times New Roman"/>
                <w:bCs/>
                <w:sz w:val="20"/>
                <w:szCs w:val="20"/>
              </w:rPr>
              <w:t>GAPDH</w:t>
            </w:r>
          </w:p>
        </w:tc>
        <w:tc>
          <w:tcPr>
            <w:tcW w:w="3816" w:type="dxa"/>
          </w:tcPr>
          <w:p w14:paraId="6A4B306A" w14:textId="77777777" w:rsidR="00E164A6" w:rsidRPr="00F46526" w:rsidRDefault="00E164A6" w:rsidP="00291391">
            <w:pPr>
              <w:spacing w:line="360" w:lineRule="auto"/>
              <w:rPr>
                <w:rFonts w:ascii="Times New Roman" w:hAnsi="Times New Roman" w:cs="Times New Roman"/>
                <w:bCs/>
                <w:sz w:val="20"/>
                <w:szCs w:val="20"/>
              </w:rPr>
            </w:pPr>
            <w:r w:rsidRPr="00F46526">
              <w:rPr>
                <w:rFonts w:ascii="Times New Roman" w:hAnsi="Times New Roman" w:cs="Times New Roman"/>
                <w:bCs/>
                <w:sz w:val="20"/>
                <w:szCs w:val="20"/>
              </w:rPr>
              <w:t>GTCTCCTCTGACTTCAACAGCG</w:t>
            </w:r>
          </w:p>
        </w:tc>
        <w:tc>
          <w:tcPr>
            <w:tcW w:w="3547" w:type="dxa"/>
          </w:tcPr>
          <w:p w14:paraId="618D521C" w14:textId="77777777" w:rsidR="00E164A6" w:rsidRPr="00F46526" w:rsidRDefault="00E164A6" w:rsidP="00291391">
            <w:pPr>
              <w:spacing w:line="360" w:lineRule="auto"/>
              <w:rPr>
                <w:rFonts w:ascii="Times New Roman" w:hAnsi="Times New Roman" w:cs="Times New Roman"/>
                <w:bCs/>
                <w:sz w:val="20"/>
                <w:szCs w:val="20"/>
              </w:rPr>
            </w:pPr>
            <w:r w:rsidRPr="00F46526">
              <w:rPr>
                <w:rFonts w:ascii="Times New Roman" w:eastAsiaTheme="minorEastAsia" w:hAnsi="Times New Roman" w:cs="Times New Roman"/>
                <w:bCs/>
                <w:sz w:val="20"/>
                <w:szCs w:val="20"/>
              </w:rPr>
              <w:t>ACCACCCTGTTGCTGTAGCCAA</w:t>
            </w:r>
          </w:p>
        </w:tc>
      </w:tr>
      <w:tr w:rsidR="00E164A6" w:rsidRPr="00F46526" w14:paraId="2071183F" w14:textId="77777777" w:rsidTr="00291391">
        <w:tc>
          <w:tcPr>
            <w:tcW w:w="937" w:type="dxa"/>
          </w:tcPr>
          <w:p w14:paraId="15718CA6" w14:textId="77777777" w:rsidR="00E164A6" w:rsidRPr="00F46526" w:rsidRDefault="00E164A6" w:rsidP="00291391">
            <w:pPr>
              <w:spacing w:line="360" w:lineRule="auto"/>
              <w:rPr>
                <w:rFonts w:ascii="Times New Roman" w:hAnsi="Times New Roman" w:cs="Times New Roman"/>
                <w:bCs/>
                <w:sz w:val="20"/>
                <w:szCs w:val="20"/>
              </w:rPr>
            </w:pPr>
            <w:r w:rsidRPr="00F46526">
              <w:rPr>
                <w:rFonts w:ascii="Times New Roman" w:hAnsi="Times New Roman" w:cs="Times New Roman"/>
                <w:bCs/>
                <w:sz w:val="20"/>
                <w:szCs w:val="20"/>
              </w:rPr>
              <w:t>HJURP</w:t>
            </w:r>
          </w:p>
        </w:tc>
        <w:tc>
          <w:tcPr>
            <w:tcW w:w="3816" w:type="dxa"/>
          </w:tcPr>
          <w:p w14:paraId="402D8788" w14:textId="77777777" w:rsidR="00E164A6" w:rsidRPr="00F46526" w:rsidRDefault="00E164A6" w:rsidP="00291391">
            <w:pPr>
              <w:spacing w:line="360" w:lineRule="auto"/>
              <w:rPr>
                <w:rFonts w:ascii="Times New Roman" w:hAnsi="Times New Roman" w:cs="Times New Roman"/>
                <w:bCs/>
                <w:sz w:val="20"/>
                <w:szCs w:val="20"/>
              </w:rPr>
            </w:pPr>
            <w:r w:rsidRPr="00F46526">
              <w:rPr>
                <w:rFonts w:ascii="Times New Roman" w:hAnsi="Times New Roman" w:cs="Times New Roman"/>
                <w:bCs/>
                <w:sz w:val="20"/>
                <w:szCs w:val="20"/>
              </w:rPr>
              <w:t>CAGACCAGGAAGAGTCAGTTGC</w:t>
            </w:r>
          </w:p>
        </w:tc>
        <w:tc>
          <w:tcPr>
            <w:tcW w:w="3547" w:type="dxa"/>
          </w:tcPr>
          <w:p w14:paraId="2DB55455" w14:textId="77777777" w:rsidR="00E164A6" w:rsidRPr="00F46526" w:rsidRDefault="00E164A6" w:rsidP="00291391">
            <w:pPr>
              <w:spacing w:line="360" w:lineRule="auto"/>
              <w:rPr>
                <w:rFonts w:ascii="Times New Roman" w:hAnsi="Times New Roman" w:cs="Times New Roman"/>
                <w:bCs/>
                <w:sz w:val="20"/>
                <w:szCs w:val="20"/>
              </w:rPr>
            </w:pPr>
            <w:r w:rsidRPr="00F46526">
              <w:rPr>
                <w:rFonts w:ascii="Times New Roman" w:hAnsi="Times New Roman" w:cs="Times New Roman"/>
                <w:bCs/>
                <w:sz w:val="20"/>
                <w:szCs w:val="20"/>
              </w:rPr>
              <w:t>CTTCCAGCTCTGTTACCTGCAC</w:t>
            </w:r>
          </w:p>
        </w:tc>
      </w:tr>
      <w:tr w:rsidR="00E164A6" w:rsidRPr="00F46526" w14:paraId="36AF63BE" w14:textId="77777777" w:rsidTr="00291391">
        <w:tc>
          <w:tcPr>
            <w:tcW w:w="937" w:type="dxa"/>
          </w:tcPr>
          <w:p w14:paraId="2DBBFAC9" w14:textId="77777777" w:rsidR="00E164A6" w:rsidRPr="00F46526" w:rsidRDefault="00E164A6" w:rsidP="00291391">
            <w:pPr>
              <w:spacing w:line="360" w:lineRule="auto"/>
              <w:rPr>
                <w:rFonts w:ascii="Times New Roman" w:hAnsi="Times New Roman" w:cs="Times New Roman"/>
                <w:bCs/>
                <w:sz w:val="20"/>
                <w:szCs w:val="20"/>
              </w:rPr>
            </w:pPr>
            <w:r w:rsidRPr="00F46526">
              <w:rPr>
                <w:rFonts w:ascii="Times New Roman" w:hAnsi="Times New Roman" w:cs="Times New Roman"/>
                <w:bCs/>
                <w:sz w:val="20"/>
                <w:szCs w:val="20"/>
              </w:rPr>
              <w:t>NSD2</w:t>
            </w:r>
          </w:p>
        </w:tc>
        <w:tc>
          <w:tcPr>
            <w:tcW w:w="3816" w:type="dxa"/>
          </w:tcPr>
          <w:p w14:paraId="1F90B8F4" w14:textId="77777777" w:rsidR="00E164A6" w:rsidRPr="00F46526" w:rsidRDefault="00E164A6" w:rsidP="00291391">
            <w:pPr>
              <w:spacing w:line="360" w:lineRule="auto"/>
              <w:rPr>
                <w:rFonts w:ascii="Times New Roman" w:hAnsi="Times New Roman" w:cs="Times New Roman"/>
                <w:bCs/>
                <w:sz w:val="20"/>
                <w:szCs w:val="20"/>
              </w:rPr>
            </w:pPr>
            <w:r w:rsidRPr="00F46526">
              <w:rPr>
                <w:rFonts w:ascii="Times New Roman" w:hAnsi="Times New Roman" w:cs="Times New Roman"/>
                <w:bCs/>
                <w:sz w:val="20"/>
                <w:szCs w:val="20"/>
              </w:rPr>
              <w:t>GAGAAGGACAGTTTGAAAAATTATGC</w:t>
            </w:r>
          </w:p>
        </w:tc>
        <w:tc>
          <w:tcPr>
            <w:tcW w:w="3547" w:type="dxa"/>
          </w:tcPr>
          <w:p w14:paraId="0E142A82" w14:textId="77777777" w:rsidR="00E164A6" w:rsidRPr="00F46526" w:rsidRDefault="00E164A6" w:rsidP="00291391">
            <w:pPr>
              <w:spacing w:line="360" w:lineRule="auto"/>
              <w:rPr>
                <w:rFonts w:ascii="Times New Roman" w:hAnsi="Times New Roman" w:cs="Times New Roman"/>
                <w:bCs/>
                <w:sz w:val="20"/>
                <w:szCs w:val="20"/>
              </w:rPr>
            </w:pPr>
            <w:r w:rsidRPr="00F46526">
              <w:rPr>
                <w:rFonts w:ascii="Times New Roman" w:hAnsi="Times New Roman" w:cs="Times New Roman"/>
                <w:bCs/>
                <w:sz w:val="20"/>
                <w:szCs w:val="20"/>
              </w:rPr>
              <w:t>CCCACATAGAGAAAGGTGAACTTG</w:t>
            </w:r>
          </w:p>
        </w:tc>
      </w:tr>
    </w:tbl>
    <w:p w14:paraId="79AAC734" w14:textId="77777777" w:rsidR="00D82B14" w:rsidRDefault="00D82B14" w:rsidP="00E164A6">
      <w:pPr>
        <w:pStyle w:val="Heading2"/>
        <w:spacing w:line="360" w:lineRule="auto"/>
        <w:rPr>
          <w:rFonts w:ascii="Times New Roman" w:hAnsi="Times New Roman" w:cs="Times New Roman"/>
          <w:b/>
          <w:color w:val="auto"/>
          <w:sz w:val="24"/>
          <w:szCs w:val="24"/>
        </w:rPr>
      </w:pPr>
    </w:p>
    <w:p w14:paraId="471AB860" w14:textId="3AC6DA20" w:rsidR="00E164A6" w:rsidRPr="00206146" w:rsidRDefault="00E164A6" w:rsidP="00E164A6">
      <w:pPr>
        <w:pStyle w:val="Heading2"/>
        <w:spacing w:line="360" w:lineRule="auto"/>
        <w:rPr>
          <w:rFonts w:ascii="Times New Roman" w:hAnsi="Times New Roman" w:cs="Times New Roman"/>
          <w:b/>
          <w:color w:val="auto"/>
          <w:sz w:val="24"/>
          <w:szCs w:val="24"/>
        </w:rPr>
      </w:pPr>
      <w:r w:rsidRPr="00206146">
        <w:rPr>
          <w:rFonts w:ascii="Times New Roman" w:hAnsi="Times New Roman" w:cs="Times New Roman"/>
          <w:b/>
          <w:color w:val="auto"/>
          <w:sz w:val="24"/>
          <w:szCs w:val="24"/>
        </w:rPr>
        <w:t>Immunoblotting assay</w:t>
      </w:r>
    </w:p>
    <w:p w14:paraId="7DF66223" w14:textId="41871E95" w:rsidR="002803C3" w:rsidRPr="00F83191" w:rsidRDefault="00E164A6" w:rsidP="00E164A6">
      <w:pPr>
        <w:tabs>
          <w:tab w:val="left" w:pos="712"/>
        </w:tabs>
        <w:spacing w:line="360" w:lineRule="auto"/>
        <w:jc w:val="both"/>
        <w:rPr>
          <w:rFonts w:ascii="Times New Roman" w:hAnsi="Times New Roman" w:cs="Times New Roman"/>
          <w:lang w:val="en-CN"/>
        </w:rPr>
      </w:pPr>
      <w:r w:rsidRPr="00206146">
        <w:rPr>
          <w:rFonts w:ascii="Times New Roman" w:hAnsi="Times New Roman" w:cs="Times New Roman"/>
        </w:rPr>
        <w:t xml:space="preserve">Cells were lysed in RIPA lysis and extraction buffer (Thermo Fisher Scientific), supplemented with proteinase inhibitor cocktail and phosphatase inhibitor cocktail (Roche) for 30 min on ice. Protein quantification was determined by </w:t>
      </w:r>
      <w:r w:rsidR="00911ACB">
        <w:rPr>
          <w:rFonts w:ascii="Times New Roman" w:hAnsi="Times New Roman" w:cs="Times New Roman"/>
        </w:rPr>
        <w:t xml:space="preserve">the </w:t>
      </w:r>
      <w:r w:rsidRPr="00206146">
        <w:rPr>
          <w:rFonts w:ascii="Times New Roman" w:hAnsi="Times New Roman" w:cs="Times New Roman"/>
        </w:rPr>
        <w:t>Bradford assay. Immunoblotting was performed using SDS-PAGE followed by protein transfer to PVDF membrane (Bio-Rad). Primary antibodies were incubated overnight in cold room. Secondary antibodies were incubated for 1 h at room temperature.</w:t>
      </w:r>
      <w:r w:rsidRPr="001C59AF">
        <w:t xml:space="preserve"> </w:t>
      </w:r>
      <w:r w:rsidRPr="001C59AF">
        <w:rPr>
          <w:rFonts w:ascii="Times New Roman" w:hAnsi="Times New Roman" w:cs="Times New Roman"/>
        </w:rPr>
        <w:t>The following</w:t>
      </w:r>
      <w:r>
        <w:rPr>
          <w:rFonts w:ascii="Times New Roman" w:hAnsi="Times New Roman" w:cs="Times New Roman" w:hint="eastAsia"/>
        </w:rPr>
        <w:t xml:space="preserve"> </w:t>
      </w:r>
      <w:r w:rsidRPr="001C59AF">
        <w:rPr>
          <w:rFonts w:ascii="Times New Roman" w:hAnsi="Times New Roman" w:cs="Times New Roman"/>
        </w:rPr>
        <w:t>antibodies were used</w:t>
      </w:r>
      <w:r>
        <w:rPr>
          <w:rFonts w:ascii="Times New Roman" w:hAnsi="Times New Roman" w:cs="Times New Roman" w:hint="eastAsia"/>
        </w:rPr>
        <w:t xml:space="preserve">: GAPDH (1: 500, SANTA </w:t>
      </w:r>
      <w:r>
        <w:rPr>
          <w:rFonts w:ascii="Times New Roman" w:hAnsi="Times New Roman" w:cs="Times New Roman"/>
        </w:rPr>
        <w:t>CRUZ BIOTECHNOLOGY</w:t>
      </w:r>
      <w:r>
        <w:rPr>
          <w:rFonts w:ascii="Times New Roman" w:hAnsi="Times New Roman" w:cs="Times New Roman" w:hint="eastAsia"/>
        </w:rPr>
        <w:t xml:space="preserve">, </w:t>
      </w:r>
      <w:r>
        <w:rPr>
          <w:rFonts w:ascii="Times New Roman" w:hAnsi="Times New Roman" w:cs="Times New Roman"/>
        </w:rPr>
        <w:t>sc-47724</w:t>
      </w:r>
      <w:r>
        <w:rPr>
          <w:rFonts w:ascii="Times New Roman" w:hAnsi="Times New Roman" w:cs="Times New Roman" w:hint="eastAsia"/>
        </w:rPr>
        <w:t xml:space="preserve">); </w:t>
      </w:r>
      <w:r w:rsidRPr="000002D6">
        <w:rPr>
          <w:rFonts w:ascii="Times New Roman" w:hAnsi="Times New Roman" w:cs="Times New Roman"/>
        </w:rPr>
        <w:t>β-Actin</w:t>
      </w: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rPr>
        <w:t xml:space="preserve">1:1000, </w:t>
      </w:r>
      <w:r w:rsidR="00DC24D5" w:rsidRPr="000002D6">
        <w:rPr>
          <w:rFonts w:ascii="Times New Roman" w:hAnsi="Times New Roman" w:cs="Times New Roman"/>
        </w:rPr>
        <w:t>Cell Signaling Technology</w:t>
      </w:r>
      <w:r w:rsidR="00DC24D5">
        <w:rPr>
          <w:rFonts w:ascii="Times New Roman" w:hAnsi="Times New Roman" w:cs="Times New Roman"/>
        </w:rPr>
        <w:t xml:space="preserve">, </w:t>
      </w:r>
      <w:r w:rsidR="00024ADC">
        <w:rPr>
          <w:rFonts w:ascii="Times New Roman" w:hAnsi="Times New Roman" w:cs="Times New Roman"/>
        </w:rPr>
        <w:t>#</w:t>
      </w:r>
      <w:r w:rsidRPr="000002D6">
        <w:rPr>
          <w:rFonts w:ascii="Times New Roman" w:hAnsi="Times New Roman" w:cs="Times New Roman"/>
        </w:rPr>
        <w:t>4970</w:t>
      </w:r>
      <w:r>
        <w:rPr>
          <w:rFonts w:ascii="Times New Roman" w:hAnsi="Times New Roman" w:cs="Times New Roman"/>
        </w:rPr>
        <w:t>)</w:t>
      </w:r>
      <w:r>
        <w:rPr>
          <w:rFonts w:ascii="Times New Roman" w:hAnsi="Times New Roman" w:cs="Times New Roman" w:hint="eastAsia"/>
        </w:rPr>
        <w:t>;</w:t>
      </w:r>
      <w:r w:rsidR="00DC24D5">
        <w:rPr>
          <w:rFonts w:ascii="Times New Roman" w:hAnsi="Times New Roman" w:cs="Times New Roman"/>
        </w:rPr>
        <w:t xml:space="preserve"> HJURP: (1:1000, S</w:t>
      </w:r>
      <w:r w:rsidR="00DC24D5" w:rsidRPr="00DC24D5">
        <w:rPr>
          <w:rFonts w:ascii="Times New Roman" w:hAnsi="Times New Roman" w:cs="Times New Roman"/>
        </w:rPr>
        <w:t>igma Aldrich</w:t>
      </w:r>
      <w:r w:rsidR="00DC24D5">
        <w:rPr>
          <w:rFonts w:ascii="Times New Roman" w:hAnsi="Times New Roman" w:cs="Times New Roman"/>
        </w:rPr>
        <w:t xml:space="preserve">, </w:t>
      </w:r>
      <w:r w:rsidR="00DC24D5" w:rsidRPr="00DC24D5">
        <w:rPr>
          <w:rFonts w:ascii="Times New Roman" w:hAnsi="Times New Roman" w:cs="Times New Roman"/>
        </w:rPr>
        <w:t>HPA008436</w:t>
      </w:r>
      <w:r w:rsidR="00DC24D5">
        <w:rPr>
          <w:rFonts w:ascii="Times New Roman" w:hAnsi="Times New Roman" w:cs="Times New Roman"/>
        </w:rPr>
        <w:t>);</w:t>
      </w:r>
      <w:r>
        <w:rPr>
          <w:rFonts w:ascii="Times New Roman" w:hAnsi="Times New Roman" w:cs="Times New Roman" w:hint="eastAsia"/>
        </w:rPr>
        <w:t xml:space="preserve"> </w:t>
      </w:r>
      <w:r w:rsidR="00DC24D5">
        <w:rPr>
          <w:rFonts w:ascii="Times New Roman" w:hAnsi="Times New Roman" w:cs="Times New Roman"/>
        </w:rPr>
        <w:t>PARP</w:t>
      </w:r>
      <w:r w:rsidR="00024ADC">
        <w:rPr>
          <w:rFonts w:ascii="Times New Roman" w:hAnsi="Times New Roman" w:cs="Times New Roman"/>
        </w:rPr>
        <w:t xml:space="preserve"> (1:1000, </w:t>
      </w:r>
      <w:r w:rsidR="00024ADC" w:rsidRPr="000002D6">
        <w:rPr>
          <w:rFonts w:ascii="Times New Roman" w:hAnsi="Times New Roman" w:cs="Times New Roman"/>
        </w:rPr>
        <w:t>Cell Signaling Technology</w:t>
      </w:r>
      <w:r w:rsidR="00024ADC">
        <w:rPr>
          <w:rFonts w:ascii="Times New Roman" w:hAnsi="Times New Roman" w:cs="Times New Roman"/>
        </w:rPr>
        <w:t>,</w:t>
      </w:r>
      <w:r w:rsidR="00024ADC" w:rsidRPr="00024ADC">
        <w:rPr>
          <w:rFonts w:ascii="Times New Roman" w:hAnsi="Times New Roman" w:cs="Times New Roman"/>
        </w:rPr>
        <w:t xml:space="preserve"> #</w:t>
      </w:r>
      <w:r w:rsidR="00271B1E">
        <w:rPr>
          <w:rFonts w:ascii="Times New Roman" w:hAnsi="Times New Roman" w:cs="Times New Roman" w:hint="eastAsia"/>
        </w:rPr>
        <w:t>9542</w:t>
      </w:r>
      <w:r w:rsidR="00024ADC">
        <w:rPr>
          <w:rFonts w:ascii="Times New Roman" w:hAnsi="Times New Roman" w:cs="Times New Roman"/>
        </w:rPr>
        <w:t>)</w:t>
      </w:r>
      <w:r w:rsidR="00DC24D5">
        <w:rPr>
          <w:rFonts w:ascii="Times New Roman" w:hAnsi="Times New Roman" w:cs="Times New Roman"/>
        </w:rPr>
        <w:t xml:space="preserve">; </w:t>
      </w:r>
      <w:r w:rsidR="00CC2AEA" w:rsidRPr="00CC2AEA">
        <w:rPr>
          <w:rFonts w:ascii="Times New Roman" w:hAnsi="Times New Roman" w:cs="Times New Roman"/>
        </w:rPr>
        <w:t>Cleaved caspase-</w:t>
      </w:r>
      <w:r w:rsidR="00CC2AEA">
        <w:rPr>
          <w:rFonts w:ascii="Times New Roman" w:hAnsi="Times New Roman" w:cs="Times New Roman"/>
        </w:rPr>
        <w:t xml:space="preserve">3 (1:500, </w:t>
      </w:r>
      <w:r w:rsidR="00CC2AEA" w:rsidRPr="000002D6">
        <w:rPr>
          <w:rFonts w:ascii="Times New Roman" w:hAnsi="Times New Roman" w:cs="Times New Roman"/>
        </w:rPr>
        <w:t>Cell Signaling Technology</w:t>
      </w:r>
      <w:r w:rsidR="00CC2AEA">
        <w:rPr>
          <w:rFonts w:ascii="Times New Roman" w:hAnsi="Times New Roman" w:cs="Times New Roman"/>
        </w:rPr>
        <w:t>,</w:t>
      </w:r>
      <w:r w:rsidR="00CC2AEA" w:rsidRPr="00024ADC">
        <w:rPr>
          <w:rFonts w:ascii="Times New Roman" w:hAnsi="Times New Roman" w:cs="Times New Roman"/>
        </w:rPr>
        <w:t xml:space="preserve"> #</w:t>
      </w:r>
      <w:r w:rsidR="00CC2AEA">
        <w:rPr>
          <w:rFonts w:ascii="Times New Roman" w:hAnsi="Times New Roman" w:cs="Times New Roman"/>
        </w:rPr>
        <w:t xml:space="preserve">9664); </w:t>
      </w:r>
      <w:r w:rsidR="00CC2AEA" w:rsidRPr="00CC2AEA">
        <w:rPr>
          <w:rFonts w:ascii="Times New Roman" w:hAnsi="Times New Roman" w:cs="Times New Roman"/>
        </w:rPr>
        <w:t>Cleaved caspase-</w:t>
      </w:r>
      <w:r w:rsidR="00CC2AEA">
        <w:rPr>
          <w:rFonts w:ascii="Times New Roman" w:hAnsi="Times New Roman" w:cs="Times New Roman"/>
        </w:rPr>
        <w:t xml:space="preserve">7 (1:500, </w:t>
      </w:r>
      <w:r w:rsidR="00CC2AEA" w:rsidRPr="000002D6">
        <w:rPr>
          <w:rFonts w:ascii="Times New Roman" w:hAnsi="Times New Roman" w:cs="Times New Roman"/>
        </w:rPr>
        <w:t>Cell Signaling Technology</w:t>
      </w:r>
      <w:r w:rsidR="00CC2AEA">
        <w:rPr>
          <w:rFonts w:ascii="Times New Roman" w:hAnsi="Times New Roman" w:cs="Times New Roman"/>
        </w:rPr>
        <w:t>,</w:t>
      </w:r>
      <w:r w:rsidR="00CC2AEA" w:rsidRPr="00024ADC">
        <w:rPr>
          <w:rFonts w:ascii="Times New Roman" w:hAnsi="Times New Roman" w:cs="Times New Roman"/>
        </w:rPr>
        <w:t xml:space="preserve"> #</w:t>
      </w:r>
      <w:r w:rsidR="00CC2AEA">
        <w:rPr>
          <w:rFonts w:ascii="Times New Roman" w:hAnsi="Times New Roman" w:cs="Times New Roman"/>
        </w:rPr>
        <w:t xml:space="preserve">8438); </w:t>
      </w:r>
      <w:r w:rsidR="00CC2AEA" w:rsidRPr="00CC2AEA">
        <w:rPr>
          <w:rFonts w:ascii="Times New Roman" w:hAnsi="Times New Roman" w:cs="Times New Roman"/>
        </w:rPr>
        <w:t>Cleaved caspase-9</w:t>
      </w:r>
      <w:r w:rsidR="00CC2AEA">
        <w:rPr>
          <w:rFonts w:ascii="Times New Roman" w:hAnsi="Times New Roman" w:cs="Times New Roman"/>
        </w:rPr>
        <w:t xml:space="preserve"> (1:1000, </w:t>
      </w:r>
      <w:r w:rsidR="00CC2AEA" w:rsidRPr="000002D6">
        <w:rPr>
          <w:rFonts w:ascii="Times New Roman" w:hAnsi="Times New Roman" w:cs="Times New Roman"/>
        </w:rPr>
        <w:t>Cell Signaling Technology</w:t>
      </w:r>
      <w:r w:rsidR="00CC2AEA">
        <w:rPr>
          <w:rFonts w:ascii="Times New Roman" w:hAnsi="Times New Roman" w:cs="Times New Roman"/>
        </w:rPr>
        <w:t>,</w:t>
      </w:r>
      <w:r w:rsidR="00CC2AEA" w:rsidRPr="00024ADC">
        <w:rPr>
          <w:rFonts w:ascii="Times New Roman" w:hAnsi="Times New Roman" w:cs="Times New Roman"/>
        </w:rPr>
        <w:t xml:space="preserve"> #</w:t>
      </w:r>
      <w:r w:rsidR="00CC2AEA">
        <w:rPr>
          <w:rFonts w:ascii="Times New Roman" w:hAnsi="Times New Roman" w:cs="Times New Roman"/>
        </w:rPr>
        <w:t xml:space="preserve">20750); </w:t>
      </w:r>
      <w:r w:rsidR="00DC24D5">
        <w:rPr>
          <w:rFonts w:ascii="Times New Roman" w:hAnsi="Times New Roman" w:cs="Times New Roman"/>
        </w:rPr>
        <w:t>NSD2</w:t>
      </w:r>
      <w:r w:rsidR="00024ADC">
        <w:rPr>
          <w:rFonts w:ascii="Times New Roman" w:hAnsi="Times New Roman" w:cs="Times New Roman"/>
        </w:rPr>
        <w:t xml:space="preserve"> (1:1000, Abcam,</w:t>
      </w:r>
      <w:r w:rsidR="00DC24D5">
        <w:rPr>
          <w:rFonts w:ascii="Times New Roman" w:hAnsi="Times New Roman" w:cs="Times New Roman"/>
        </w:rPr>
        <w:t xml:space="preserve"> </w:t>
      </w:r>
      <w:r w:rsidR="00024ADC" w:rsidRPr="00024ADC">
        <w:rPr>
          <w:rFonts w:ascii="Times New Roman" w:hAnsi="Times New Roman" w:cs="Times New Roman"/>
        </w:rPr>
        <w:t>ab75359</w:t>
      </w:r>
      <w:r w:rsidR="00024ADC">
        <w:rPr>
          <w:rFonts w:ascii="Times New Roman" w:hAnsi="Times New Roman" w:cs="Times New Roman"/>
        </w:rPr>
        <w:t xml:space="preserve">); </w:t>
      </w:r>
      <w:r w:rsidR="00DC24D5">
        <w:rPr>
          <w:rFonts w:ascii="Times New Roman" w:hAnsi="Times New Roman" w:cs="Times New Roman"/>
        </w:rPr>
        <w:t>BRD4</w:t>
      </w:r>
      <w:r w:rsidR="00024ADC">
        <w:rPr>
          <w:rFonts w:ascii="Times New Roman" w:hAnsi="Times New Roman" w:cs="Times New Roman"/>
        </w:rPr>
        <w:t xml:space="preserve"> (1:1000, Abcam,</w:t>
      </w:r>
      <w:r w:rsidR="00024ADC" w:rsidRPr="00024ADC">
        <w:rPr>
          <w:rFonts w:ascii="Times New Roman" w:hAnsi="Times New Roman" w:cs="Times New Roman"/>
        </w:rPr>
        <w:t xml:space="preserve"> </w:t>
      </w:r>
      <w:r w:rsidR="00F001BF" w:rsidRPr="00F001BF">
        <w:rPr>
          <w:rFonts w:ascii="Times New Roman" w:hAnsi="Times New Roman" w:cs="Times New Roman"/>
        </w:rPr>
        <w:t>ab75359</w:t>
      </w:r>
      <w:r w:rsidR="00024ADC">
        <w:rPr>
          <w:rFonts w:ascii="Times New Roman" w:hAnsi="Times New Roman" w:cs="Times New Roman"/>
        </w:rPr>
        <w:t>)</w:t>
      </w:r>
      <w:r w:rsidR="00271B1E">
        <w:rPr>
          <w:rFonts w:ascii="Times New Roman" w:hAnsi="Times New Roman" w:cs="Times New Roman" w:hint="eastAsia"/>
        </w:rPr>
        <w:t>;</w:t>
      </w:r>
      <w:r w:rsidR="00271B1E">
        <w:rPr>
          <w:rFonts w:ascii="Times New Roman" w:hAnsi="Times New Roman" w:cs="Times New Roman"/>
        </w:rPr>
        <w:t xml:space="preserve"> C</w:t>
      </w:r>
      <w:r w:rsidR="00271B1E">
        <w:rPr>
          <w:rFonts w:ascii="Times New Roman" w:hAnsi="Times New Roman" w:cs="Times New Roman" w:hint="eastAsia"/>
        </w:rPr>
        <w:t>AS9 (1:1000, Cell Signaling Technology,</w:t>
      </w:r>
      <w:r w:rsidR="00271B1E">
        <w:rPr>
          <w:rFonts w:ascii="Times New Roman" w:hAnsi="Times New Roman" w:cs="Times New Roman"/>
        </w:rPr>
        <w:t xml:space="preserve"> </w:t>
      </w:r>
      <w:r w:rsidR="00271B1E">
        <w:rPr>
          <w:rFonts w:ascii="Times New Roman" w:hAnsi="Times New Roman" w:cs="Times New Roman" w:hint="eastAsia"/>
        </w:rPr>
        <w:t>#14697)</w:t>
      </w:r>
      <w:r w:rsidR="00DC24D5">
        <w:rPr>
          <w:rFonts w:ascii="Times New Roman" w:hAnsi="Times New Roman" w:cs="Times New Roman"/>
        </w:rPr>
        <w:t xml:space="preserve">. </w:t>
      </w:r>
      <w:r w:rsidRPr="009445FC">
        <w:rPr>
          <w:rFonts w:ascii="Times New Roman" w:hAnsi="Times New Roman" w:cs="Times New Roman"/>
        </w:rPr>
        <w:t xml:space="preserve">The signals were detected with </w:t>
      </w:r>
      <w:proofErr w:type="spellStart"/>
      <w:r w:rsidRPr="008D2573">
        <w:rPr>
          <w:rFonts w:ascii="Times New Roman" w:hAnsi="Times New Roman" w:cs="Times New Roman"/>
        </w:rPr>
        <w:t>SuperSignal</w:t>
      </w:r>
      <w:proofErr w:type="spellEnd"/>
      <w:r w:rsidRPr="008D2573">
        <w:rPr>
          <w:rFonts w:ascii="Times New Roman" w:hAnsi="Times New Roman" w:cs="Times New Roman"/>
        </w:rPr>
        <w:t xml:space="preserve"> reagents (Thermo Fisher Scientific) on an </w:t>
      </w:r>
      <w:proofErr w:type="spellStart"/>
      <w:r w:rsidRPr="008D2573">
        <w:rPr>
          <w:rFonts w:ascii="Times New Roman" w:hAnsi="Times New Roman" w:cs="Times New Roman"/>
        </w:rPr>
        <w:t>ImageQuant</w:t>
      </w:r>
      <w:proofErr w:type="spellEnd"/>
      <w:r w:rsidRPr="008D2573">
        <w:rPr>
          <w:rFonts w:ascii="Times New Roman" w:hAnsi="Times New Roman" w:cs="Times New Roman"/>
        </w:rPr>
        <w:t xml:space="preserve"> LAS500 (</w:t>
      </w:r>
      <w:proofErr w:type="spellStart"/>
      <w:r w:rsidRPr="008D2573">
        <w:rPr>
          <w:rFonts w:ascii="Times New Roman" w:hAnsi="Times New Roman" w:cs="Times New Roman"/>
        </w:rPr>
        <w:t>GEHealthcare</w:t>
      </w:r>
      <w:proofErr w:type="spellEnd"/>
      <w:r w:rsidRPr="008D2573">
        <w:rPr>
          <w:rFonts w:ascii="Times New Roman" w:hAnsi="Times New Roman" w:cs="Times New Roman"/>
        </w:rPr>
        <w:t>).</w:t>
      </w:r>
    </w:p>
    <w:p w14:paraId="2732DBE6" w14:textId="77777777" w:rsidR="002803C3" w:rsidRPr="002803C3" w:rsidRDefault="002803C3" w:rsidP="002803C3">
      <w:pPr>
        <w:spacing w:line="360" w:lineRule="auto"/>
        <w:jc w:val="both"/>
        <w:rPr>
          <w:rFonts w:ascii="Times New Roman" w:hAnsi="Times New Roman" w:cs="Times New Roman"/>
          <w:b/>
        </w:rPr>
      </w:pPr>
      <w:r w:rsidRPr="002803C3">
        <w:rPr>
          <w:rFonts w:ascii="Times New Roman" w:hAnsi="Times New Roman" w:cs="Times New Roman"/>
          <w:b/>
        </w:rPr>
        <w:lastRenderedPageBreak/>
        <w:t>shRNA knockdown and transfection.</w:t>
      </w:r>
    </w:p>
    <w:p w14:paraId="36FF5918" w14:textId="62AEBD3D" w:rsidR="00FE7A04" w:rsidRDefault="002803C3" w:rsidP="002803C3">
      <w:pPr>
        <w:spacing w:line="360" w:lineRule="auto"/>
        <w:jc w:val="both"/>
        <w:rPr>
          <w:rFonts w:ascii="Times New Roman" w:hAnsi="Times New Roman" w:cs="Times New Roman"/>
          <w:bCs/>
        </w:rPr>
      </w:pPr>
      <w:r w:rsidRPr="002803C3">
        <w:rPr>
          <w:rFonts w:ascii="Times New Roman" w:hAnsi="Times New Roman" w:cs="Times New Roman"/>
          <w:bCs/>
        </w:rPr>
        <w:t xml:space="preserve">The two-independent NSD2 shRNA vectors and pLkO.1 scrambled shRNA were purchased from Sigma-Aldrich - Mission TRC shRNA library. Cells were transfected with shRNA targeting HJURP or a scramble shRNA control using the Neon Transfection </w:t>
      </w:r>
      <w:r w:rsidR="00911ACB">
        <w:rPr>
          <w:rFonts w:ascii="Times New Roman" w:hAnsi="Times New Roman" w:cs="Times New Roman"/>
          <w:bCs/>
        </w:rPr>
        <w:t>System</w:t>
      </w:r>
      <w:r w:rsidRPr="002803C3">
        <w:rPr>
          <w:rFonts w:ascii="Times New Roman" w:hAnsi="Times New Roman" w:cs="Times New Roman"/>
          <w:bCs/>
        </w:rPr>
        <w:t xml:space="preserve"> (Life Technology) according to manufacturer’s protocol (KMS11: 1050V, 30 </w:t>
      </w:r>
      <w:proofErr w:type="spellStart"/>
      <w:r w:rsidRPr="002803C3">
        <w:rPr>
          <w:rFonts w:ascii="Times New Roman" w:hAnsi="Times New Roman" w:cs="Times New Roman"/>
          <w:bCs/>
        </w:rPr>
        <w:t>ms</w:t>
      </w:r>
      <w:proofErr w:type="spellEnd"/>
      <w:r w:rsidRPr="002803C3">
        <w:rPr>
          <w:rFonts w:ascii="Times New Roman" w:hAnsi="Times New Roman" w:cs="Times New Roman"/>
          <w:bCs/>
        </w:rPr>
        <w:t xml:space="preserve">, 1 pulse; H929: 1150V, 10 </w:t>
      </w:r>
      <w:proofErr w:type="spellStart"/>
      <w:r w:rsidRPr="002803C3">
        <w:rPr>
          <w:rFonts w:ascii="Times New Roman" w:hAnsi="Times New Roman" w:cs="Times New Roman"/>
          <w:bCs/>
        </w:rPr>
        <w:t>ms</w:t>
      </w:r>
      <w:proofErr w:type="spellEnd"/>
      <w:r w:rsidRPr="002803C3">
        <w:rPr>
          <w:rFonts w:ascii="Times New Roman" w:hAnsi="Times New Roman" w:cs="Times New Roman"/>
          <w:bCs/>
        </w:rPr>
        <w:t xml:space="preserve">, 5 pulse). Cells were harvested at </w:t>
      </w:r>
      <w:r w:rsidR="001C6214">
        <w:rPr>
          <w:rFonts w:ascii="Times New Roman" w:hAnsi="Times New Roman" w:cs="Times New Roman"/>
          <w:bCs/>
        </w:rPr>
        <w:t>72</w:t>
      </w:r>
      <w:r w:rsidRPr="002803C3">
        <w:rPr>
          <w:rFonts w:ascii="Times New Roman" w:hAnsi="Times New Roman" w:cs="Times New Roman"/>
          <w:bCs/>
        </w:rPr>
        <w:t xml:space="preserve"> hours post-transfection for protein extraction.</w:t>
      </w:r>
    </w:p>
    <w:p w14:paraId="50532929" w14:textId="77777777" w:rsidR="002803C3" w:rsidRDefault="002803C3" w:rsidP="002803C3">
      <w:pPr>
        <w:spacing w:line="360" w:lineRule="auto"/>
        <w:jc w:val="both"/>
        <w:rPr>
          <w:rFonts w:ascii="Times New Roman" w:hAnsi="Times New Roman" w:cs="Times New Roman"/>
          <w:bCs/>
        </w:rPr>
      </w:pPr>
    </w:p>
    <w:p w14:paraId="3B74B636" w14:textId="77777777" w:rsidR="002803C3" w:rsidRPr="002803C3" w:rsidRDefault="002803C3" w:rsidP="002803C3">
      <w:pPr>
        <w:spacing w:line="360" w:lineRule="auto"/>
        <w:jc w:val="both"/>
        <w:rPr>
          <w:rFonts w:ascii="Times New Roman" w:hAnsi="Times New Roman" w:cs="Times New Roman"/>
          <w:b/>
        </w:rPr>
      </w:pPr>
      <w:r w:rsidRPr="002803C3">
        <w:rPr>
          <w:rFonts w:ascii="Times New Roman" w:hAnsi="Times New Roman" w:cs="Times New Roman"/>
          <w:b/>
        </w:rPr>
        <w:t>Luciferase reporter assay</w:t>
      </w:r>
    </w:p>
    <w:p w14:paraId="077F1348" w14:textId="6A0F52A3" w:rsidR="002803C3" w:rsidRPr="002803C3" w:rsidRDefault="002803C3" w:rsidP="002803C3">
      <w:pPr>
        <w:spacing w:line="360" w:lineRule="auto"/>
        <w:jc w:val="both"/>
        <w:rPr>
          <w:rFonts w:ascii="Times New Roman" w:hAnsi="Times New Roman" w:cs="Times New Roman"/>
          <w:bCs/>
        </w:rPr>
      </w:pPr>
      <w:r w:rsidRPr="002803C3">
        <w:rPr>
          <w:rFonts w:ascii="Times New Roman" w:hAnsi="Times New Roman" w:cs="Times New Roman"/>
          <w:bCs/>
        </w:rPr>
        <w:t xml:space="preserve">Luciferase reporter assays were performed as previously described. Briefly, the pGL3-enhancer Firefly luciferase reporter constructs were co-transfected using lipofectamine 2000 reagent (Life technologies, USA) with the vector </w:t>
      </w:r>
      <w:proofErr w:type="spellStart"/>
      <w:r w:rsidRPr="002803C3">
        <w:rPr>
          <w:rFonts w:ascii="Times New Roman" w:hAnsi="Times New Roman" w:cs="Times New Roman"/>
          <w:bCs/>
        </w:rPr>
        <w:t>phRG</w:t>
      </w:r>
      <w:proofErr w:type="spellEnd"/>
      <w:r w:rsidRPr="002803C3">
        <w:rPr>
          <w:rFonts w:ascii="Times New Roman" w:hAnsi="Times New Roman" w:cs="Times New Roman"/>
          <w:bCs/>
        </w:rPr>
        <w:t xml:space="preserve">-TK (Promega, USA) which expresses synthetic </w:t>
      </w:r>
      <w:proofErr w:type="spellStart"/>
      <w:r w:rsidRPr="002803C3">
        <w:rPr>
          <w:rFonts w:ascii="Times New Roman" w:hAnsi="Times New Roman" w:cs="Times New Roman"/>
          <w:bCs/>
        </w:rPr>
        <w:t>Renilla</w:t>
      </w:r>
      <w:proofErr w:type="spellEnd"/>
      <w:r w:rsidRPr="002803C3">
        <w:rPr>
          <w:rFonts w:ascii="Times New Roman" w:hAnsi="Times New Roman" w:cs="Times New Roman"/>
          <w:bCs/>
        </w:rPr>
        <w:t xml:space="preserve"> luciferase to normalize the transfection efficiency. Luciferase activities were measured using the Dual-Luciferase Reporter Assay reagent (Promega) on a LB 960 Centro XS3 luminometer (Berthold Technologies, Germany). Relative luciferase activities were expressed as ratios between Firefly and </w:t>
      </w:r>
      <w:proofErr w:type="spellStart"/>
      <w:r w:rsidRPr="002803C3">
        <w:rPr>
          <w:rFonts w:ascii="Times New Roman" w:hAnsi="Times New Roman" w:cs="Times New Roman"/>
          <w:bCs/>
        </w:rPr>
        <w:t>Renilla</w:t>
      </w:r>
      <w:proofErr w:type="spellEnd"/>
      <w:r w:rsidRPr="002803C3">
        <w:rPr>
          <w:rFonts w:ascii="Times New Roman" w:hAnsi="Times New Roman" w:cs="Times New Roman"/>
          <w:bCs/>
        </w:rPr>
        <w:t xml:space="preserve"> luciferase activities.</w:t>
      </w:r>
    </w:p>
    <w:p w14:paraId="1039280D" w14:textId="77777777" w:rsidR="002803C3" w:rsidRPr="002803C3" w:rsidRDefault="002803C3" w:rsidP="002803C3">
      <w:pPr>
        <w:spacing w:line="360" w:lineRule="auto"/>
        <w:jc w:val="both"/>
        <w:rPr>
          <w:rFonts w:ascii="Times New Roman" w:hAnsi="Times New Roman" w:cs="Times New Roman"/>
          <w:bCs/>
        </w:rPr>
      </w:pPr>
    </w:p>
    <w:p w14:paraId="5F137783" w14:textId="77777777" w:rsidR="002B5351" w:rsidRPr="00206146" w:rsidRDefault="002B5351" w:rsidP="002B5351">
      <w:pPr>
        <w:pStyle w:val="Heading2"/>
        <w:spacing w:line="360" w:lineRule="auto"/>
        <w:rPr>
          <w:rFonts w:ascii="Times New Roman" w:hAnsi="Times New Roman" w:cs="Times New Roman"/>
          <w:b/>
          <w:color w:val="auto"/>
          <w:sz w:val="24"/>
          <w:szCs w:val="24"/>
        </w:rPr>
      </w:pPr>
      <w:r w:rsidRPr="00B73B74">
        <w:rPr>
          <w:rFonts w:ascii="Times New Roman" w:hAnsi="Times New Roman" w:cs="Times New Roman"/>
          <w:b/>
          <w:color w:val="auto"/>
          <w:sz w:val="24"/>
          <w:szCs w:val="24"/>
        </w:rPr>
        <w:t>Flow cytometry for cell-cycle and cell apoptosis analysis</w:t>
      </w:r>
    </w:p>
    <w:p w14:paraId="374A97EE" w14:textId="58FC4255" w:rsidR="007B157F" w:rsidRDefault="007B157F" w:rsidP="007B157F">
      <w:pPr>
        <w:spacing w:line="360" w:lineRule="auto"/>
        <w:jc w:val="both"/>
        <w:rPr>
          <w:rFonts w:ascii="Times New Roman" w:hAnsi="Times New Roman" w:cs="Times New Roman"/>
          <w:b/>
        </w:rPr>
      </w:pPr>
      <w:r w:rsidRPr="00FE7A04">
        <w:rPr>
          <w:rFonts w:ascii="Times New Roman" w:hAnsi="Times New Roman" w:cs="Times New Roman"/>
        </w:rPr>
        <w:t>Cell death was evaluated by the</w:t>
      </w:r>
      <w:r>
        <w:rPr>
          <w:rFonts w:ascii="Times New Roman" w:hAnsi="Times New Roman" w:cs="Times New Roman" w:hint="eastAsia"/>
        </w:rPr>
        <w:t xml:space="preserve"> </w:t>
      </w:r>
      <w:r w:rsidRPr="00FE7A04">
        <w:rPr>
          <w:rFonts w:ascii="Times New Roman" w:hAnsi="Times New Roman" w:cs="Times New Roman"/>
        </w:rPr>
        <w:t>loss of membrane integrity (high PI fluorescence) after</w:t>
      </w:r>
      <w:r>
        <w:rPr>
          <w:rFonts w:ascii="Times New Roman" w:hAnsi="Times New Roman" w:cs="Times New Roman" w:hint="eastAsia"/>
        </w:rPr>
        <w:t xml:space="preserve"> </w:t>
      </w:r>
      <w:r w:rsidRPr="00FE7A04">
        <w:rPr>
          <w:rFonts w:ascii="Times New Roman" w:hAnsi="Times New Roman" w:cs="Times New Roman"/>
        </w:rPr>
        <w:t>treatment with PI solution. Phosphatidylserine exposure was determined using Annexin V-FITC/PI double</w:t>
      </w:r>
      <w:r>
        <w:rPr>
          <w:rFonts w:ascii="Times New Roman" w:hAnsi="Times New Roman" w:cs="Times New Roman" w:hint="eastAsia"/>
        </w:rPr>
        <w:t xml:space="preserve"> </w:t>
      </w:r>
      <w:r w:rsidRPr="00FE7A04">
        <w:rPr>
          <w:rFonts w:ascii="Times New Roman" w:hAnsi="Times New Roman" w:cs="Times New Roman"/>
        </w:rPr>
        <w:t>staining kit (BD Biosciences, USA) and analyzed by flow</w:t>
      </w:r>
      <w:r>
        <w:rPr>
          <w:rFonts w:ascii="Times New Roman" w:hAnsi="Times New Roman" w:cs="Times New Roman" w:hint="eastAsia"/>
        </w:rPr>
        <w:t xml:space="preserve"> </w:t>
      </w:r>
      <w:r w:rsidRPr="00FE7A04">
        <w:rPr>
          <w:rFonts w:ascii="Times New Roman" w:hAnsi="Times New Roman" w:cs="Times New Roman"/>
        </w:rPr>
        <w:t>cytometry. Analysis of stained cells can distinguish cells</w:t>
      </w:r>
      <w:r>
        <w:rPr>
          <w:rFonts w:ascii="Times New Roman" w:hAnsi="Times New Roman" w:cs="Times New Roman" w:hint="eastAsia"/>
        </w:rPr>
        <w:t xml:space="preserve"> </w:t>
      </w:r>
      <w:r w:rsidRPr="00FE7A04">
        <w:rPr>
          <w:rFonts w:ascii="Times New Roman" w:hAnsi="Times New Roman" w:cs="Times New Roman"/>
        </w:rPr>
        <w:t>into four groups, namely viable (annexin V− PI−), early</w:t>
      </w:r>
      <w:r>
        <w:rPr>
          <w:rFonts w:ascii="Times New Roman" w:hAnsi="Times New Roman" w:cs="Times New Roman" w:hint="eastAsia"/>
        </w:rPr>
        <w:t xml:space="preserve"> </w:t>
      </w:r>
      <w:r w:rsidRPr="00FE7A04">
        <w:rPr>
          <w:rFonts w:ascii="Times New Roman" w:hAnsi="Times New Roman" w:cs="Times New Roman"/>
        </w:rPr>
        <w:t>apoptotic (annexin V+ PI−), late apoptotic (annexin V+PI+) and necrotic (annexin V− PI+) cells</w:t>
      </w:r>
      <w:r w:rsidR="002B5351" w:rsidRPr="00206146">
        <w:rPr>
          <w:rFonts w:ascii="Times New Roman" w:hAnsi="Times New Roman" w:cs="Times New Roman"/>
        </w:rPr>
        <w:t xml:space="preserve">. Data were analyzed using </w:t>
      </w:r>
      <w:proofErr w:type="spellStart"/>
      <w:r w:rsidR="002B5351" w:rsidRPr="00206146">
        <w:rPr>
          <w:rFonts w:ascii="Times New Roman" w:hAnsi="Times New Roman" w:cs="Times New Roman"/>
        </w:rPr>
        <w:t>FlowJo</w:t>
      </w:r>
      <w:proofErr w:type="spellEnd"/>
      <w:r w:rsidR="002B5351" w:rsidRPr="00206146">
        <w:rPr>
          <w:rFonts w:ascii="Times New Roman" w:hAnsi="Times New Roman" w:cs="Times New Roman"/>
        </w:rPr>
        <w:t xml:space="preserve"> 7.6 software (Tree Star). </w:t>
      </w:r>
      <w:r w:rsidR="00911ACB">
        <w:rPr>
          <w:rFonts w:ascii="Times New Roman" w:hAnsi="Times New Roman" w:cs="Times New Roman"/>
        </w:rPr>
        <w:t>Cells</w:t>
      </w:r>
      <w:r w:rsidR="002B5351">
        <w:rPr>
          <w:rFonts w:ascii="Times New Roman" w:hAnsi="Times New Roman" w:cs="Times New Roman" w:hint="eastAsia"/>
        </w:rPr>
        <w:t xml:space="preserve"> </w:t>
      </w:r>
      <w:r w:rsidR="002B5351" w:rsidRPr="000245B0">
        <w:rPr>
          <w:rFonts w:ascii="Times New Roman" w:hAnsi="Times New Roman" w:cs="Times New Roman"/>
        </w:rPr>
        <w:t>were harvested and washed twice with PBS</w:t>
      </w:r>
      <w:r w:rsidR="00911ACB">
        <w:rPr>
          <w:rFonts w:ascii="Times New Roman" w:hAnsi="Times New Roman" w:cs="Times New Roman"/>
        </w:rPr>
        <w:t xml:space="preserve"> for cell-cycle analysis</w:t>
      </w:r>
      <w:r w:rsidR="002B5351" w:rsidRPr="000245B0">
        <w:rPr>
          <w:rFonts w:ascii="Times New Roman" w:hAnsi="Times New Roman" w:cs="Times New Roman"/>
        </w:rPr>
        <w:t>, and the Cell</w:t>
      </w:r>
      <w:r w:rsidR="002B5351">
        <w:rPr>
          <w:rFonts w:ascii="Times New Roman" w:hAnsi="Times New Roman" w:cs="Times New Roman" w:hint="eastAsia"/>
        </w:rPr>
        <w:t xml:space="preserve"> </w:t>
      </w:r>
      <w:r w:rsidR="002B5351" w:rsidRPr="000245B0">
        <w:rPr>
          <w:rFonts w:ascii="Times New Roman" w:hAnsi="Times New Roman" w:cs="Times New Roman"/>
        </w:rPr>
        <w:t xml:space="preserve">Cycle Staining Kit </w:t>
      </w:r>
      <w:r w:rsidR="002B5351">
        <w:rPr>
          <w:rFonts w:ascii="Times New Roman" w:hAnsi="Times New Roman" w:cs="Times New Roman"/>
        </w:rPr>
        <w:t>(MULTISCIENCES, CCS012) was used.</w:t>
      </w:r>
      <w:r w:rsidR="002B5351" w:rsidRPr="000245B0">
        <w:rPr>
          <w:rFonts w:ascii="Times New Roman" w:hAnsi="Times New Roman" w:cs="Times New Roman"/>
        </w:rPr>
        <w:t xml:space="preserve"> Cell apoptosis</w:t>
      </w:r>
      <w:r w:rsidR="002B5351">
        <w:rPr>
          <w:rFonts w:ascii="Times New Roman" w:hAnsi="Times New Roman" w:cs="Times New Roman" w:hint="eastAsia"/>
        </w:rPr>
        <w:t xml:space="preserve"> </w:t>
      </w:r>
      <w:r w:rsidR="002B5351" w:rsidRPr="000245B0">
        <w:rPr>
          <w:rFonts w:ascii="Times New Roman" w:hAnsi="Times New Roman" w:cs="Times New Roman"/>
        </w:rPr>
        <w:t>and cell-cycle analyses were performed by flow cytometry</w:t>
      </w:r>
      <w:r w:rsidR="002B5351">
        <w:rPr>
          <w:rFonts w:ascii="Times New Roman" w:hAnsi="Times New Roman" w:cs="Times New Roman" w:hint="eastAsia"/>
        </w:rPr>
        <w:t xml:space="preserve"> </w:t>
      </w:r>
      <w:r w:rsidR="002B5351" w:rsidRPr="000245B0">
        <w:rPr>
          <w:rFonts w:ascii="Times New Roman" w:hAnsi="Times New Roman" w:cs="Times New Roman"/>
        </w:rPr>
        <w:t>(</w:t>
      </w:r>
      <w:proofErr w:type="spellStart"/>
      <w:r w:rsidR="002B5351" w:rsidRPr="000245B0">
        <w:rPr>
          <w:rFonts w:ascii="Times New Roman" w:hAnsi="Times New Roman" w:cs="Times New Roman"/>
        </w:rPr>
        <w:t>Accuri</w:t>
      </w:r>
      <w:proofErr w:type="spellEnd"/>
      <w:r w:rsidR="002B5351" w:rsidRPr="000245B0">
        <w:rPr>
          <w:rFonts w:ascii="Times New Roman" w:hAnsi="Times New Roman" w:cs="Times New Roman"/>
        </w:rPr>
        <w:t xml:space="preserve"> model C6).</w:t>
      </w:r>
      <w:r w:rsidRPr="007B157F">
        <w:rPr>
          <w:rFonts w:ascii="Times New Roman" w:hAnsi="Times New Roman" w:cs="Times New Roman"/>
          <w:b/>
        </w:rPr>
        <w:t xml:space="preserve"> </w:t>
      </w:r>
    </w:p>
    <w:p w14:paraId="44350C96" w14:textId="77777777" w:rsidR="00E164A6" w:rsidRDefault="00E164A6" w:rsidP="007B157F">
      <w:pPr>
        <w:spacing w:line="360" w:lineRule="auto"/>
        <w:jc w:val="both"/>
        <w:rPr>
          <w:rFonts w:ascii="Times New Roman" w:hAnsi="Times New Roman" w:cs="Times New Roman"/>
          <w:b/>
        </w:rPr>
      </w:pPr>
    </w:p>
    <w:p w14:paraId="06772C8A" w14:textId="3470D844" w:rsidR="00E164A6" w:rsidRDefault="00E164A6" w:rsidP="00AA44F4">
      <w:pPr>
        <w:spacing w:line="360" w:lineRule="auto"/>
        <w:jc w:val="both"/>
        <w:rPr>
          <w:rFonts w:ascii="Times New Roman" w:hAnsi="Times New Roman" w:cs="Times New Roman"/>
          <w:b/>
        </w:rPr>
      </w:pPr>
      <w:r w:rsidRPr="00E164A6">
        <w:rPr>
          <w:rFonts w:ascii="Times New Roman" w:hAnsi="Times New Roman" w:cs="Times New Roman"/>
          <w:b/>
        </w:rPr>
        <w:lastRenderedPageBreak/>
        <w:t>Immunofluorescence</w:t>
      </w:r>
      <w:r>
        <w:rPr>
          <w:rFonts w:ascii="Times New Roman" w:hAnsi="Times New Roman" w:cs="Times New Roman"/>
          <w:b/>
        </w:rPr>
        <w:t xml:space="preserve"> </w:t>
      </w:r>
      <w:r>
        <w:rPr>
          <w:rFonts w:ascii="Times New Roman" w:hAnsi="Times New Roman" w:cs="Times New Roman" w:hint="eastAsia"/>
          <w:b/>
        </w:rPr>
        <w:t>assay</w:t>
      </w:r>
    </w:p>
    <w:p w14:paraId="6825895C" w14:textId="1CBA83E4" w:rsidR="00E164A6" w:rsidRPr="00F001BF" w:rsidRDefault="00F001BF" w:rsidP="00AA44F4">
      <w:pPr>
        <w:spacing w:line="360" w:lineRule="auto"/>
        <w:jc w:val="both"/>
        <w:rPr>
          <w:rFonts w:ascii="Times New Roman" w:hAnsi="Times New Roman" w:cs="Times New Roman"/>
        </w:rPr>
      </w:pPr>
      <w:r w:rsidRPr="00F001BF">
        <w:rPr>
          <w:rFonts w:ascii="Times New Roman" w:hAnsi="Times New Roman" w:cs="Times New Roman"/>
        </w:rPr>
        <w:t>HMCL</w:t>
      </w:r>
      <w:r w:rsidRPr="00F001BF">
        <w:rPr>
          <w:rFonts w:ascii="Times New Roman" w:hAnsi="Times New Roman" w:cs="Times New Roman" w:hint="eastAsia"/>
        </w:rPr>
        <w:t>s</w:t>
      </w:r>
      <w:r w:rsidRPr="00F001BF">
        <w:rPr>
          <w:rFonts w:ascii="Times New Roman" w:hAnsi="Times New Roman" w:cs="Times New Roman"/>
        </w:rPr>
        <w:t xml:space="preserve"> </w:t>
      </w:r>
      <w:r>
        <w:rPr>
          <w:rFonts w:ascii="Times New Roman" w:hAnsi="Times New Roman" w:cs="Times New Roman"/>
        </w:rPr>
        <w:t xml:space="preserve">(H929 </w:t>
      </w:r>
      <w:r>
        <w:rPr>
          <w:rFonts w:ascii="Times New Roman" w:hAnsi="Times New Roman" w:cs="Times New Roman" w:hint="eastAsia"/>
        </w:rPr>
        <w:t>and</w:t>
      </w:r>
      <w:r>
        <w:rPr>
          <w:rFonts w:ascii="Times New Roman" w:hAnsi="Times New Roman" w:cs="Times New Roman"/>
        </w:rPr>
        <w:t xml:space="preserve"> U266) </w:t>
      </w:r>
      <w:r w:rsidRPr="00F001BF">
        <w:rPr>
          <w:rFonts w:ascii="Times New Roman" w:hAnsi="Times New Roman" w:cs="Times New Roman"/>
        </w:rPr>
        <w:t>were cultured in 1640 medium and plated in 6-well plates at a density of 1 × 10</w:t>
      </w:r>
      <w:r w:rsidRPr="00F001BF">
        <w:rPr>
          <w:rFonts w:ascii="Times New Roman" w:hAnsi="Times New Roman" w:cs="Times New Roman"/>
          <w:vertAlign w:val="superscript"/>
        </w:rPr>
        <w:t>5</w:t>
      </w:r>
      <w:r w:rsidRPr="00F001BF">
        <w:rPr>
          <w:rFonts w:ascii="Times New Roman" w:hAnsi="Times New Roman" w:cs="Times New Roman"/>
        </w:rPr>
        <w:t xml:space="preserve"> cells per well; then, 2–4 glass coverslips were placed in each of the wells. The plates were incubated for 24 to 48 hours until reaching 30–40% confluence </w:t>
      </w:r>
      <w:r w:rsidR="00911ACB">
        <w:rPr>
          <w:rFonts w:ascii="Times New Roman" w:hAnsi="Times New Roman" w:cs="Times New Roman"/>
        </w:rPr>
        <w:t>before</w:t>
      </w:r>
      <w:r w:rsidRPr="00F001BF">
        <w:rPr>
          <w:rFonts w:ascii="Times New Roman" w:hAnsi="Times New Roman" w:cs="Times New Roman"/>
        </w:rPr>
        <w:t xml:space="preserve"> fixation; they were then fixed with 4% paraformaldehyde for 10 min and permeabilized with 0.1% Triton X-100 in PBS. The slides were washed three times with PBS and blocked with 5% BSA in PBS for 30 min at room temperature. The cells were incubated with the </w:t>
      </w:r>
      <w:r w:rsidR="00EC6426">
        <w:rPr>
          <w:rFonts w:ascii="Times New Roman" w:hAnsi="Times New Roman" w:cs="Times New Roman"/>
        </w:rPr>
        <w:t>HJURP (1:200, S</w:t>
      </w:r>
      <w:r w:rsidR="00EC6426" w:rsidRPr="00DC24D5">
        <w:rPr>
          <w:rFonts w:ascii="Times New Roman" w:hAnsi="Times New Roman" w:cs="Times New Roman"/>
        </w:rPr>
        <w:t>igma Aldrich</w:t>
      </w:r>
      <w:r w:rsidR="00EC6426">
        <w:rPr>
          <w:rFonts w:ascii="Times New Roman" w:hAnsi="Times New Roman" w:cs="Times New Roman"/>
        </w:rPr>
        <w:t xml:space="preserve">, </w:t>
      </w:r>
      <w:r w:rsidR="00EC6426" w:rsidRPr="00DC24D5">
        <w:rPr>
          <w:rFonts w:ascii="Times New Roman" w:hAnsi="Times New Roman" w:cs="Times New Roman"/>
        </w:rPr>
        <w:t>HPA008436</w:t>
      </w:r>
      <w:r w:rsidR="00EC6426">
        <w:rPr>
          <w:rFonts w:ascii="Times New Roman" w:hAnsi="Times New Roman" w:cs="Times New Roman"/>
        </w:rPr>
        <w:t xml:space="preserve">) </w:t>
      </w:r>
      <w:r w:rsidRPr="00F001BF">
        <w:rPr>
          <w:rFonts w:ascii="Times New Roman" w:hAnsi="Times New Roman" w:cs="Times New Roman"/>
        </w:rPr>
        <w:t xml:space="preserve">or </w:t>
      </w:r>
      <w:r w:rsidR="00EC6426">
        <w:rPr>
          <w:rFonts w:ascii="Times New Roman" w:hAnsi="Times New Roman" w:cs="Times New Roman"/>
        </w:rPr>
        <w:t xml:space="preserve">CD138 </w:t>
      </w:r>
      <w:r w:rsidRPr="00F001BF">
        <w:rPr>
          <w:rFonts w:ascii="Times New Roman" w:hAnsi="Times New Roman" w:cs="Times New Roman"/>
        </w:rPr>
        <w:t>antibody (1:</w:t>
      </w:r>
      <w:r w:rsidR="00DF31A3">
        <w:rPr>
          <w:rFonts w:ascii="Times New Roman" w:hAnsi="Times New Roman" w:cs="Times New Roman"/>
        </w:rPr>
        <w:t>2</w:t>
      </w:r>
      <w:r w:rsidRPr="00F001BF">
        <w:rPr>
          <w:rFonts w:ascii="Times New Roman" w:hAnsi="Times New Roman" w:cs="Times New Roman"/>
        </w:rPr>
        <w:t>00;</w:t>
      </w:r>
      <w:r w:rsidR="00DF31A3">
        <w:rPr>
          <w:rFonts w:ascii="Times New Roman" w:hAnsi="Times New Roman" w:cs="Times New Roman"/>
        </w:rPr>
        <w:t xml:space="preserve"> Abcam</w:t>
      </w:r>
      <w:r w:rsidRPr="00F001BF">
        <w:rPr>
          <w:rFonts w:ascii="Times New Roman" w:hAnsi="Times New Roman" w:cs="Times New Roman"/>
        </w:rPr>
        <w:t>;</w:t>
      </w:r>
      <w:r w:rsidR="00DF31A3">
        <w:rPr>
          <w:rFonts w:ascii="Times New Roman" w:hAnsi="Times New Roman" w:cs="Times New Roman"/>
        </w:rPr>
        <w:t xml:space="preserve"> </w:t>
      </w:r>
      <w:r w:rsidR="00DF31A3" w:rsidRPr="00DF31A3">
        <w:rPr>
          <w:rFonts w:ascii="Times New Roman" w:hAnsi="Times New Roman" w:cs="Times New Roman"/>
        </w:rPr>
        <w:t>ab128936</w:t>
      </w:r>
      <w:r w:rsidRPr="00F001BF">
        <w:rPr>
          <w:rFonts w:ascii="Times New Roman" w:hAnsi="Times New Roman" w:cs="Times New Roman"/>
        </w:rPr>
        <w:t xml:space="preserve">) overnight at 4°C, which was followed by incubation with a fluorescein isothiocyanate (FITC)-conjugated anti-rabbit secondary antibody (1:100; Thermo Scientific) for 30 min in the dark. Nuclei were counterstained with DAPI for </w:t>
      </w:r>
      <w:r>
        <w:rPr>
          <w:rFonts w:ascii="Times New Roman" w:hAnsi="Times New Roman" w:cs="Times New Roman"/>
        </w:rPr>
        <w:t>2-3</w:t>
      </w:r>
      <w:r w:rsidRPr="00F001BF">
        <w:rPr>
          <w:rFonts w:ascii="Times New Roman" w:hAnsi="Times New Roman" w:cs="Times New Roman"/>
        </w:rPr>
        <w:t>min and then analyzed using a fluorescent microscope.</w:t>
      </w:r>
    </w:p>
    <w:p w14:paraId="380C9B72" w14:textId="77777777" w:rsidR="00E164A6" w:rsidRDefault="00E164A6" w:rsidP="00AA44F4">
      <w:pPr>
        <w:spacing w:line="360" w:lineRule="auto"/>
        <w:jc w:val="both"/>
        <w:rPr>
          <w:rFonts w:ascii="Times New Roman" w:hAnsi="Times New Roman" w:cs="Times New Roman"/>
          <w:b/>
        </w:rPr>
      </w:pPr>
    </w:p>
    <w:p w14:paraId="13C439D5" w14:textId="04BBB85A" w:rsidR="00DF1898" w:rsidRPr="00DF1898" w:rsidRDefault="00DF1898" w:rsidP="00DF1898">
      <w:pPr>
        <w:spacing w:line="360" w:lineRule="auto"/>
        <w:jc w:val="both"/>
        <w:rPr>
          <w:rFonts w:ascii="Times New Roman" w:hAnsi="Times New Roman" w:cs="Times New Roman"/>
          <w:b/>
          <w:bCs/>
        </w:rPr>
      </w:pPr>
      <w:r w:rsidRPr="00DF1898">
        <w:rPr>
          <w:rFonts w:ascii="Times New Roman" w:hAnsi="Times New Roman" w:cs="Times New Roman"/>
          <w:b/>
          <w:bCs/>
        </w:rPr>
        <w:t>Chromatin immunoprecipitation (</w:t>
      </w:r>
      <w:proofErr w:type="spellStart"/>
      <w:r w:rsidRPr="00DF1898">
        <w:rPr>
          <w:rFonts w:ascii="Times New Roman" w:hAnsi="Times New Roman" w:cs="Times New Roman"/>
          <w:b/>
          <w:bCs/>
        </w:rPr>
        <w:t>ChIP</w:t>
      </w:r>
      <w:proofErr w:type="spellEnd"/>
      <w:r w:rsidRPr="00DF1898">
        <w:rPr>
          <w:rFonts w:ascii="Times New Roman" w:hAnsi="Times New Roman" w:cs="Times New Roman"/>
          <w:b/>
          <w:bCs/>
        </w:rPr>
        <w:t>) assay</w:t>
      </w:r>
      <w:r>
        <w:rPr>
          <w:rFonts w:ascii="Times New Roman" w:hAnsi="Times New Roman" w:cs="Times New Roman"/>
          <w:b/>
          <w:bCs/>
        </w:rPr>
        <w:t xml:space="preserve"> coupled with </w:t>
      </w:r>
      <w:r w:rsidRPr="00DF1898">
        <w:rPr>
          <w:rFonts w:ascii="Times New Roman" w:hAnsi="Times New Roman" w:cs="Times New Roman"/>
          <w:b/>
          <w:bCs/>
        </w:rPr>
        <w:t>quantitative PCR</w:t>
      </w:r>
    </w:p>
    <w:p w14:paraId="46168592" w14:textId="18211345" w:rsidR="00FE7A04" w:rsidRDefault="00DF1898" w:rsidP="00DF1898">
      <w:pPr>
        <w:spacing w:line="360" w:lineRule="auto"/>
        <w:jc w:val="both"/>
        <w:rPr>
          <w:rFonts w:ascii="Times New Roman" w:hAnsi="Times New Roman" w:cs="Times New Roman"/>
        </w:rPr>
      </w:pPr>
      <w:proofErr w:type="spellStart"/>
      <w:r w:rsidRPr="00DF1898">
        <w:rPr>
          <w:rFonts w:ascii="Times New Roman" w:hAnsi="Times New Roman" w:cs="Times New Roman"/>
        </w:rPr>
        <w:t>ChIP</w:t>
      </w:r>
      <w:proofErr w:type="spellEnd"/>
      <w:r w:rsidRPr="00DF1898">
        <w:rPr>
          <w:rFonts w:ascii="Times New Roman" w:hAnsi="Times New Roman" w:cs="Times New Roman"/>
        </w:rPr>
        <w:t xml:space="preserve"> assays were performed using reagents obtained from Cell Signaling Technology (</w:t>
      </w:r>
      <w:proofErr w:type="spellStart"/>
      <w:r w:rsidRPr="00DF1898">
        <w:rPr>
          <w:rFonts w:ascii="Times New Roman" w:hAnsi="Times New Roman" w:cs="Times New Roman"/>
        </w:rPr>
        <w:t>SimpleChIP</w:t>
      </w:r>
      <w:proofErr w:type="spellEnd"/>
      <w:r w:rsidRPr="00DF1898">
        <w:rPr>
          <w:rFonts w:ascii="Times New Roman" w:hAnsi="Times New Roman" w:cs="Times New Roman"/>
        </w:rPr>
        <w:t>® Enzymatic Chromatin IP Kit (Magnetic Beads) #9003). Chromatin was used for immunoprecipitation with anti-</w:t>
      </w:r>
      <w:r w:rsidR="00C73285">
        <w:rPr>
          <w:rFonts w:ascii="Times New Roman" w:hAnsi="Times New Roman" w:cs="Times New Roman"/>
        </w:rPr>
        <w:t>NSD2</w:t>
      </w:r>
      <w:r w:rsidR="00A80820">
        <w:rPr>
          <w:rFonts w:ascii="Times New Roman" w:hAnsi="Times New Roman" w:cs="Times New Roman"/>
        </w:rPr>
        <w:t>(</w:t>
      </w:r>
      <w:r w:rsidR="00A80820" w:rsidRPr="00024ADC">
        <w:rPr>
          <w:rFonts w:ascii="Times New Roman" w:hAnsi="Times New Roman" w:cs="Times New Roman"/>
        </w:rPr>
        <w:t>ab75359</w:t>
      </w:r>
      <w:r w:rsidR="00A80820">
        <w:rPr>
          <w:rFonts w:ascii="Times New Roman" w:hAnsi="Times New Roman" w:cs="Times New Roman"/>
        </w:rPr>
        <w:t>, Abcam); anti-BRD4 (</w:t>
      </w:r>
      <w:r w:rsidR="00C47CE7" w:rsidRPr="00C47CE7">
        <w:rPr>
          <w:rFonts w:ascii="Times New Roman" w:hAnsi="Times New Roman" w:cs="Times New Roman"/>
        </w:rPr>
        <w:t>ab243862</w:t>
      </w:r>
      <w:r w:rsidR="00A80820">
        <w:rPr>
          <w:rFonts w:ascii="Times New Roman" w:hAnsi="Times New Roman" w:cs="Times New Roman"/>
        </w:rPr>
        <w:t>, Abcam)</w:t>
      </w:r>
      <w:r w:rsidR="00C73285">
        <w:rPr>
          <w:rFonts w:ascii="Times New Roman" w:hAnsi="Times New Roman" w:cs="Times New Roman"/>
        </w:rPr>
        <w:t xml:space="preserve">, </w:t>
      </w:r>
      <w:r w:rsidR="00C73285" w:rsidRPr="00DF1898">
        <w:rPr>
          <w:rFonts w:ascii="Times New Roman" w:hAnsi="Times New Roman" w:cs="Times New Roman"/>
        </w:rPr>
        <w:t>anti-</w:t>
      </w:r>
      <w:r w:rsidR="00C73285">
        <w:rPr>
          <w:rFonts w:ascii="Times New Roman" w:hAnsi="Times New Roman" w:cs="Times New Roman"/>
        </w:rPr>
        <w:t>H3K27ac</w:t>
      </w:r>
      <w:r w:rsidR="00A80820">
        <w:rPr>
          <w:rFonts w:ascii="Times New Roman" w:hAnsi="Times New Roman" w:cs="Times New Roman"/>
        </w:rPr>
        <w:t xml:space="preserve"> (</w:t>
      </w:r>
      <w:r w:rsidR="00A80820" w:rsidRPr="00A80820">
        <w:rPr>
          <w:rFonts w:ascii="Times New Roman" w:hAnsi="Times New Roman" w:cs="Times New Roman"/>
        </w:rPr>
        <w:t>ab4729</w:t>
      </w:r>
      <w:r w:rsidR="00A80820">
        <w:rPr>
          <w:rFonts w:ascii="Times New Roman" w:hAnsi="Times New Roman" w:cs="Times New Roman"/>
        </w:rPr>
        <w:t>, Abcam)</w:t>
      </w:r>
      <w:r w:rsidR="00C73285">
        <w:rPr>
          <w:rFonts w:ascii="Times New Roman" w:hAnsi="Times New Roman" w:cs="Times New Roman"/>
        </w:rPr>
        <w:t xml:space="preserve">, </w:t>
      </w:r>
      <w:r w:rsidR="00A80820">
        <w:rPr>
          <w:rFonts w:ascii="Times New Roman" w:hAnsi="Times New Roman" w:cs="Times New Roman"/>
        </w:rPr>
        <w:t>anti-</w:t>
      </w:r>
      <w:r w:rsidR="00A80820" w:rsidRPr="00A80820">
        <w:rPr>
          <w:rFonts w:ascii="Times New Roman" w:hAnsi="Times New Roman" w:cs="Times New Roman"/>
        </w:rPr>
        <w:t>H3K27me3 (07-449 Millipore)</w:t>
      </w:r>
      <w:r w:rsidR="00A80820">
        <w:rPr>
          <w:rFonts w:ascii="Times New Roman" w:hAnsi="Times New Roman" w:cs="Times New Roman"/>
        </w:rPr>
        <w:t>, anti-</w:t>
      </w:r>
      <w:r w:rsidR="00A80820" w:rsidRPr="00A80820">
        <w:rPr>
          <w:rFonts w:ascii="Times New Roman" w:hAnsi="Times New Roman" w:cs="Times New Roman"/>
        </w:rPr>
        <w:t xml:space="preserve">H3K36me2 (07-369, Millipore) </w:t>
      </w:r>
      <w:r>
        <w:rPr>
          <w:rFonts w:ascii="Times New Roman" w:hAnsi="Times New Roman" w:cs="Times New Roman"/>
        </w:rPr>
        <w:t>and</w:t>
      </w:r>
      <w:r w:rsidRPr="00DF1898">
        <w:rPr>
          <w:rFonts w:ascii="Times New Roman" w:hAnsi="Times New Roman" w:cs="Times New Roman"/>
        </w:rPr>
        <w:t xml:space="preserve"> normal rabbit-IgG antibody</w:t>
      </w:r>
      <w:r>
        <w:rPr>
          <w:rFonts w:ascii="Times New Roman" w:hAnsi="Times New Roman" w:cs="Times New Roman"/>
        </w:rPr>
        <w:t xml:space="preserve"> as negative control</w:t>
      </w:r>
      <w:r w:rsidRPr="00DF1898">
        <w:rPr>
          <w:rFonts w:ascii="Times New Roman" w:hAnsi="Times New Roman" w:cs="Times New Roman"/>
        </w:rPr>
        <w:t xml:space="preserve">. </w:t>
      </w:r>
      <w:proofErr w:type="spellStart"/>
      <w:r w:rsidRPr="00DF1898">
        <w:rPr>
          <w:rFonts w:ascii="Times New Roman" w:hAnsi="Times New Roman" w:cs="Times New Roman"/>
        </w:rPr>
        <w:t>ChIP</w:t>
      </w:r>
      <w:proofErr w:type="spellEnd"/>
      <w:r w:rsidRPr="00DF1898">
        <w:rPr>
          <w:rFonts w:ascii="Times New Roman" w:hAnsi="Times New Roman" w:cs="Times New Roman"/>
        </w:rPr>
        <w:t>-enriched DNA was measured using real-time PCR, and the primer sets were designed as follows:</w:t>
      </w:r>
    </w:p>
    <w:p w14:paraId="7BDB28E3" w14:textId="77777777" w:rsidR="000D7F4D" w:rsidRDefault="000D7F4D" w:rsidP="00DF1898">
      <w:pPr>
        <w:spacing w:line="360" w:lineRule="auto"/>
        <w:jc w:val="both"/>
        <w:rPr>
          <w:rFonts w:ascii="Times New Roman" w:hAnsi="Times New Roman" w:cs="Times New Roman"/>
        </w:rPr>
      </w:pPr>
    </w:p>
    <w:tbl>
      <w:tblPr>
        <w:tblStyle w:val="TableGrid"/>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3044"/>
        <w:gridCol w:w="3335"/>
      </w:tblGrid>
      <w:tr w:rsidR="00D077F2" w14:paraId="67EF241C" w14:textId="77777777" w:rsidTr="003F536F">
        <w:tc>
          <w:tcPr>
            <w:tcW w:w="2263" w:type="dxa"/>
          </w:tcPr>
          <w:p w14:paraId="50C7FEBE" w14:textId="77777777" w:rsidR="00D077F2" w:rsidRDefault="00D077F2" w:rsidP="00D077F2">
            <w:pPr>
              <w:spacing w:line="360" w:lineRule="auto"/>
              <w:jc w:val="both"/>
              <w:rPr>
                <w:rFonts w:ascii="Times New Roman" w:hAnsi="Times New Roman" w:cs="Times New Roman"/>
              </w:rPr>
            </w:pPr>
          </w:p>
        </w:tc>
        <w:tc>
          <w:tcPr>
            <w:tcW w:w="3044" w:type="dxa"/>
          </w:tcPr>
          <w:p w14:paraId="23849B1D" w14:textId="4FC8B379" w:rsidR="00D077F2" w:rsidRDefault="00D077F2" w:rsidP="00D077F2">
            <w:pPr>
              <w:spacing w:line="360" w:lineRule="auto"/>
              <w:jc w:val="both"/>
              <w:rPr>
                <w:rFonts w:ascii="Times New Roman" w:hAnsi="Times New Roman" w:cs="Times New Roman"/>
              </w:rPr>
            </w:pPr>
            <w:proofErr w:type="spellStart"/>
            <w:r w:rsidRPr="00F46526">
              <w:rPr>
                <w:rFonts w:ascii="Times New Roman" w:hAnsi="Times New Roman" w:cs="Times New Roman"/>
                <w:bCs/>
                <w:sz w:val="20"/>
                <w:szCs w:val="20"/>
              </w:rPr>
              <w:t>Fwd</w:t>
            </w:r>
            <w:proofErr w:type="spellEnd"/>
          </w:p>
        </w:tc>
        <w:tc>
          <w:tcPr>
            <w:tcW w:w="3335" w:type="dxa"/>
          </w:tcPr>
          <w:p w14:paraId="313F6414" w14:textId="619A1381" w:rsidR="00D077F2" w:rsidRDefault="00D077F2" w:rsidP="00D077F2">
            <w:pPr>
              <w:spacing w:line="360" w:lineRule="auto"/>
              <w:jc w:val="both"/>
              <w:rPr>
                <w:rFonts w:ascii="Times New Roman" w:hAnsi="Times New Roman" w:cs="Times New Roman"/>
              </w:rPr>
            </w:pPr>
            <w:r w:rsidRPr="00F46526">
              <w:rPr>
                <w:rFonts w:ascii="Times New Roman" w:hAnsi="Times New Roman" w:cs="Times New Roman"/>
                <w:bCs/>
                <w:sz w:val="20"/>
                <w:szCs w:val="20"/>
              </w:rPr>
              <w:t>Rev</w:t>
            </w:r>
          </w:p>
        </w:tc>
      </w:tr>
      <w:tr w:rsidR="00D077F2" w14:paraId="53390A76" w14:textId="77777777" w:rsidTr="003F536F">
        <w:tc>
          <w:tcPr>
            <w:tcW w:w="2263" w:type="dxa"/>
          </w:tcPr>
          <w:p w14:paraId="5C494600" w14:textId="58B82034" w:rsidR="00D077F2" w:rsidRPr="00D077F2" w:rsidRDefault="00D077F2" w:rsidP="00D077F2">
            <w:pPr>
              <w:spacing w:line="360" w:lineRule="auto"/>
              <w:rPr>
                <w:rFonts w:ascii="Times New Roman" w:hAnsi="Times New Roman" w:cs="Times New Roman"/>
                <w:sz w:val="22"/>
                <w:szCs w:val="22"/>
              </w:rPr>
            </w:pPr>
            <w:r w:rsidRPr="00D077F2">
              <w:rPr>
                <w:rFonts w:ascii="Times New Roman" w:hAnsi="Times New Roman" w:cs="Times New Roman" w:hint="eastAsia"/>
                <w:bCs/>
                <w:sz w:val="20"/>
                <w:szCs w:val="20"/>
              </w:rPr>
              <w:t>H</w:t>
            </w:r>
            <w:r w:rsidRPr="00D077F2">
              <w:rPr>
                <w:rFonts w:ascii="Times New Roman" w:hAnsi="Times New Roman" w:cs="Times New Roman"/>
                <w:bCs/>
                <w:sz w:val="20"/>
                <w:szCs w:val="20"/>
              </w:rPr>
              <w:t>JURP</w:t>
            </w:r>
            <w:r w:rsidRPr="00D077F2">
              <w:rPr>
                <w:rFonts w:ascii="Times New Roman" w:hAnsi="Times New Roman" w:cs="Times New Roman"/>
                <w:sz w:val="22"/>
                <w:szCs w:val="22"/>
              </w:rPr>
              <w:t xml:space="preserve"> </w:t>
            </w:r>
            <w:r w:rsidRPr="00D077F2">
              <w:rPr>
                <w:rFonts w:ascii="Times New Roman" w:hAnsi="Times New Roman" w:cs="Times New Roman"/>
                <w:bCs/>
                <w:sz w:val="20"/>
                <w:szCs w:val="20"/>
              </w:rPr>
              <w:t>Promoter-1</w:t>
            </w:r>
            <w:r>
              <w:rPr>
                <w:rFonts w:ascii="Times New Roman" w:hAnsi="Times New Roman" w:cs="Times New Roman"/>
                <w:bCs/>
                <w:sz w:val="20"/>
                <w:szCs w:val="20"/>
              </w:rPr>
              <w:t xml:space="preserve"> </w:t>
            </w:r>
            <w:r w:rsidRPr="00D077F2">
              <w:rPr>
                <w:rFonts w:ascii="Times New Roman" w:hAnsi="Times New Roman" w:cs="Times New Roman"/>
                <w:bCs/>
                <w:sz w:val="20"/>
                <w:szCs w:val="20"/>
              </w:rPr>
              <w:t>(P1)</w:t>
            </w:r>
          </w:p>
        </w:tc>
        <w:tc>
          <w:tcPr>
            <w:tcW w:w="3044" w:type="dxa"/>
          </w:tcPr>
          <w:p w14:paraId="020F4333" w14:textId="7A45B494" w:rsidR="00D077F2" w:rsidRPr="00D077F2" w:rsidRDefault="00D077F2" w:rsidP="00D077F2">
            <w:pPr>
              <w:spacing w:line="360" w:lineRule="auto"/>
              <w:rPr>
                <w:rFonts w:ascii="Times New Roman" w:hAnsi="Times New Roman" w:cs="Times New Roman"/>
                <w:bCs/>
                <w:sz w:val="20"/>
                <w:szCs w:val="20"/>
              </w:rPr>
            </w:pPr>
            <w:r w:rsidRPr="00D077F2">
              <w:rPr>
                <w:rFonts w:ascii="Times New Roman" w:hAnsi="Times New Roman" w:cs="Times New Roman"/>
                <w:bCs/>
                <w:sz w:val="20"/>
                <w:szCs w:val="20"/>
              </w:rPr>
              <w:t>GCAACCCAGAACTGCTTGTG</w:t>
            </w:r>
          </w:p>
        </w:tc>
        <w:tc>
          <w:tcPr>
            <w:tcW w:w="3335" w:type="dxa"/>
          </w:tcPr>
          <w:p w14:paraId="1E919CCC" w14:textId="72B956D7" w:rsidR="00D077F2" w:rsidRPr="00D077F2" w:rsidRDefault="00D077F2" w:rsidP="00D077F2">
            <w:pPr>
              <w:spacing w:line="360" w:lineRule="auto"/>
              <w:rPr>
                <w:rFonts w:ascii="Times New Roman" w:hAnsi="Times New Roman" w:cs="Times New Roman"/>
                <w:bCs/>
                <w:sz w:val="20"/>
                <w:szCs w:val="20"/>
              </w:rPr>
            </w:pPr>
            <w:r w:rsidRPr="00D077F2">
              <w:rPr>
                <w:rFonts w:ascii="Times New Roman" w:hAnsi="Times New Roman" w:cs="Times New Roman"/>
                <w:bCs/>
                <w:sz w:val="20"/>
                <w:szCs w:val="20"/>
              </w:rPr>
              <w:t>ATGACAGAACACCGGCCTTT</w:t>
            </w:r>
          </w:p>
        </w:tc>
      </w:tr>
      <w:tr w:rsidR="00D077F2" w14:paraId="15E060FE" w14:textId="77777777" w:rsidTr="003F536F">
        <w:tc>
          <w:tcPr>
            <w:tcW w:w="2263" w:type="dxa"/>
          </w:tcPr>
          <w:p w14:paraId="4E53453B" w14:textId="2AB84AA7" w:rsidR="00D077F2" w:rsidRDefault="00D077F2" w:rsidP="00D077F2">
            <w:pPr>
              <w:spacing w:line="360" w:lineRule="auto"/>
              <w:jc w:val="both"/>
              <w:rPr>
                <w:rFonts w:ascii="Times New Roman" w:hAnsi="Times New Roman" w:cs="Times New Roman"/>
              </w:rPr>
            </w:pPr>
            <w:r w:rsidRPr="00D077F2">
              <w:rPr>
                <w:rFonts w:ascii="Times New Roman" w:hAnsi="Times New Roman" w:cs="Times New Roman" w:hint="eastAsia"/>
                <w:bCs/>
                <w:sz w:val="20"/>
                <w:szCs w:val="20"/>
              </w:rPr>
              <w:t>H</w:t>
            </w:r>
            <w:r w:rsidRPr="00D077F2">
              <w:rPr>
                <w:rFonts w:ascii="Times New Roman" w:hAnsi="Times New Roman" w:cs="Times New Roman"/>
                <w:bCs/>
                <w:sz w:val="20"/>
                <w:szCs w:val="20"/>
              </w:rPr>
              <w:t>JURP</w:t>
            </w:r>
            <w:r w:rsidRPr="00D077F2">
              <w:rPr>
                <w:rFonts w:ascii="Times New Roman" w:hAnsi="Times New Roman" w:cs="Times New Roman"/>
                <w:sz w:val="22"/>
                <w:szCs w:val="22"/>
              </w:rPr>
              <w:t xml:space="preserve"> </w:t>
            </w:r>
            <w:r w:rsidRPr="00D077F2">
              <w:rPr>
                <w:rFonts w:ascii="Times New Roman" w:hAnsi="Times New Roman" w:cs="Times New Roman"/>
                <w:bCs/>
                <w:sz w:val="20"/>
                <w:szCs w:val="20"/>
              </w:rPr>
              <w:t>Promoter-</w:t>
            </w:r>
            <w:r>
              <w:rPr>
                <w:rFonts w:ascii="Times New Roman" w:hAnsi="Times New Roman" w:cs="Times New Roman"/>
                <w:bCs/>
                <w:sz w:val="20"/>
                <w:szCs w:val="20"/>
              </w:rPr>
              <w:t xml:space="preserve">2 </w:t>
            </w:r>
            <w:r w:rsidRPr="00D077F2">
              <w:rPr>
                <w:rFonts w:ascii="Times New Roman" w:hAnsi="Times New Roman" w:cs="Times New Roman"/>
                <w:bCs/>
                <w:sz w:val="20"/>
                <w:szCs w:val="20"/>
              </w:rPr>
              <w:t>(P</w:t>
            </w:r>
            <w:r>
              <w:rPr>
                <w:rFonts w:ascii="Times New Roman" w:hAnsi="Times New Roman" w:cs="Times New Roman"/>
                <w:bCs/>
                <w:sz w:val="20"/>
                <w:szCs w:val="20"/>
              </w:rPr>
              <w:t>2</w:t>
            </w:r>
            <w:r w:rsidRPr="00D077F2">
              <w:rPr>
                <w:rFonts w:ascii="Times New Roman" w:hAnsi="Times New Roman" w:cs="Times New Roman"/>
                <w:bCs/>
                <w:sz w:val="20"/>
                <w:szCs w:val="20"/>
              </w:rPr>
              <w:t>)</w:t>
            </w:r>
          </w:p>
        </w:tc>
        <w:tc>
          <w:tcPr>
            <w:tcW w:w="3044" w:type="dxa"/>
          </w:tcPr>
          <w:p w14:paraId="6B93C5A4" w14:textId="7498BE15" w:rsidR="00D077F2" w:rsidRPr="00D077F2" w:rsidRDefault="00D077F2" w:rsidP="00D077F2">
            <w:pPr>
              <w:spacing w:line="360" w:lineRule="auto"/>
              <w:rPr>
                <w:rFonts w:ascii="Arial" w:eastAsia="DengXian" w:hAnsi="Arial" w:cs="Arial"/>
                <w:color w:val="222222"/>
                <w:sz w:val="26"/>
                <w:szCs w:val="26"/>
              </w:rPr>
            </w:pPr>
            <w:r w:rsidRPr="00D077F2">
              <w:rPr>
                <w:rFonts w:ascii="Times New Roman" w:hAnsi="Times New Roman" w:cs="Times New Roman"/>
                <w:bCs/>
                <w:sz w:val="20"/>
                <w:szCs w:val="20"/>
              </w:rPr>
              <w:t>ATTTTTCATTCCCGCCTGCC</w:t>
            </w:r>
          </w:p>
        </w:tc>
        <w:tc>
          <w:tcPr>
            <w:tcW w:w="3335" w:type="dxa"/>
          </w:tcPr>
          <w:p w14:paraId="1F122349" w14:textId="65E3F0C6" w:rsidR="00D077F2" w:rsidRPr="00D077F2" w:rsidRDefault="00D077F2" w:rsidP="00D077F2">
            <w:pPr>
              <w:spacing w:line="360" w:lineRule="auto"/>
              <w:rPr>
                <w:rFonts w:ascii="Arial" w:eastAsia="DengXian" w:hAnsi="Arial" w:cs="Arial"/>
                <w:color w:val="222222"/>
                <w:sz w:val="26"/>
                <w:szCs w:val="26"/>
              </w:rPr>
            </w:pPr>
            <w:r w:rsidRPr="00D077F2">
              <w:rPr>
                <w:rFonts w:ascii="Times New Roman" w:hAnsi="Times New Roman" w:cs="Times New Roman"/>
                <w:bCs/>
                <w:sz w:val="20"/>
                <w:szCs w:val="20"/>
              </w:rPr>
              <w:t>TCCCAATGTAAGACGCAGGG</w:t>
            </w:r>
          </w:p>
        </w:tc>
      </w:tr>
      <w:tr w:rsidR="00D077F2" w14:paraId="05393690" w14:textId="77777777" w:rsidTr="003F536F">
        <w:tc>
          <w:tcPr>
            <w:tcW w:w="2263" w:type="dxa"/>
          </w:tcPr>
          <w:p w14:paraId="4DA15976" w14:textId="70957EE8" w:rsidR="00D077F2" w:rsidRPr="00D077F2" w:rsidRDefault="00D077F2" w:rsidP="00D077F2">
            <w:pPr>
              <w:spacing w:line="360" w:lineRule="auto"/>
              <w:jc w:val="both"/>
              <w:rPr>
                <w:rFonts w:ascii="Times New Roman" w:hAnsi="Times New Roman" w:cs="Times New Roman"/>
                <w:bCs/>
                <w:sz w:val="20"/>
                <w:szCs w:val="20"/>
              </w:rPr>
            </w:pPr>
            <w:r w:rsidRPr="00D077F2">
              <w:rPr>
                <w:rFonts w:ascii="Times New Roman" w:hAnsi="Times New Roman" w:cs="Times New Roman" w:hint="eastAsia"/>
                <w:bCs/>
                <w:sz w:val="20"/>
                <w:szCs w:val="20"/>
              </w:rPr>
              <w:t>H</w:t>
            </w:r>
            <w:r w:rsidRPr="00D077F2">
              <w:rPr>
                <w:rFonts w:ascii="Times New Roman" w:hAnsi="Times New Roman" w:cs="Times New Roman"/>
                <w:bCs/>
                <w:sz w:val="20"/>
                <w:szCs w:val="20"/>
              </w:rPr>
              <w:t>JURP</w:t>
            </w:r>
            <w:r w:rsidRPr="00D077F2">
              <w:rPr>
                <w:rFonts w:ascii="Times New Roman" w:hAnsi="Times New Roman" w:cs="Times New Roman"/>
                <w:sz w:val="22"/>
                <w:szCs w:val="22"/>
              </w:rPr>
              <w:t xml:space="preserve"> </w:t>
            </w:r>
            <w:r>
              <w:rPr>
                <w:rFonts w:ascii="Times New Roman" w:hAnsi="Times New Roman" w:cs="Times New Roman"/>
                <w:bCs/>
                <w:sz w:val="20"/>
                <w:szCs w:val="20"/>
              </w:rPr>
              <w:t>SE</w:t>
            </w:r>
            <w:r w:rsidRPr="00D077F2">
              <w:rPr>
                <w:rFonts w:ascii="Times New Roman" w:hAnsi="Times New Roman" w:cs="Times New Roman"/>
                <w:bCs/>
                <w:sz w:val="20"/>
                <w:szCs w:val="20"/>
              </w:rPr>
              <w:t>-</w:t>
            </w:r>
            <w:r>
              <w:rPr>
                <w:rFonts w:ascii="Times New Roman" w:hAnsi="Times New Roman" w:cs="Times New Roman"/>
                <w:bCs/>
                <w:sz w:val="20"/>
                <w:szCs w:val="20"/>
              </w:rPr>
              <w:t xml:space="preserve">1 </w:t>
            </w:r>
            <w:r w:rsidRPr="00D077F2">
              <w:rPr>
                <w:rFonts w:ascii="Times New Roman" w:hAnsi="Times New Roman" w:cs="Times New Roman"/>
                <w:bCs/>
                <w:sz w:val="20"/>
                <w:szCs w:val="20"/>
              </w:rPr>
              <w:t>(</w:t>
            </w:r>
            <w:r>
              <w:rPr>
                <w:rFonts w:ascii="Times New Roman" w:hAnsi="Times New Roman" w:cs="Times New Roman"/>
                <w:bCs/>
                <w:sz w:val="20"/>
                <w:szCs w:val="20"/>
              </w:rPr>
              <w:t>E1</w:t>
            </w:r>
            <w:r w:rsidRPr="00D077F2">
              <w:rPr>
                <w:rFonts w:ascii="Times New Roman" w:hAnsi="Times New Roman" w:cs="Times New Roman"/>
                <w:bCs/>
                <w:sz w:val="20"/>
                <w:szCs w:val="20"/>
              </w:rPr>
              <w:t>)</w:t>
            </w:r>
          </w:p>
        </w:tc>
        <w:tc>
          <w:tcPr>
            <w:tcW w:w="3044" w:type="dxa"/>
          </w:tcPr>
          <w:tbl>
            <w:tblPr>
              <w:tblW w:w="3960" w:type="dxa"/>
              <w:tblLayout w:type="fixed"/>
              <w:tblLook w:val="04A0" w:firstRow="1" w:lastRow="0" w:firstColumn="1" w:lastColumn="0" w:noHBand="0" w:noVBand="1"/>
            </w:tblPr>
            <w:tblGrid>
              <w:gridCol w:w="3960"/>
            </w:tblGrid>
            <w:tr w:rsidR="00327A84" w14:paraId="36CB4BB1" w14:textId="77777777" w:rsidTr="00327A84">
              <w:trPr>
                <w:trHeight w:val="340"/>
              </w:trPr>
              <w:tc>
                <w:tcPr>
                  <w:tcW w:w="3960" w:type="dxa"/>
                  <w:tcBorders>
                    <w:top w:val="nil"/>
                    <w:left w:val="nil"/>
                    <w:bottom w:val="nil"/>
                    <w:right w:val="nil"/>
                  </w:tcBorders>
                  <w:shd w:val="clear" w:color="auto" w:fill="auto"/>
                  <w:noWrap/>
                  <w:vAlign w:val="bottom"/>
                  <w:hideMark/>
                </w:tcPr>
                <w:p w14:paraId="4639E9CE" w14:textId="77777777" w:rsidR="00327A84" w:rsidRDefault="00327A84" w:rsidP="00D82B14">
                  <w:pPr>
                    <w:spacing w:line="360" w:lineRule="auto"/>
                    <w:rPr>
                      <w:rFonts w:ascii="Arial" w:eastAsia="DengXian" w:hAnsi="Arial" w:cs="Arial"/>
                      <w:color w:val="222222"/>
                      <w:sz w:val="26"/>
                      <w:szCs w:val="26"/>
                    </w:rPr>
                  </w:pPr>
                  <w:r w:rsidRPr="00327A84">
                    <w:rPr>
                      <w:rFonts w:ascii="Times New Roman" w:hAnsi="Times New Roman" w:cs="Times New Roman"/>
                      <w:bCs/>
                      <w:sz w:val="20"/>
                      <w:szCs w:val="20"/>
                    </w:rPr>
                    <w:t>GGACTCACGCACAGGCTATT</w:t>
                  </w:r>
                </w:p>
              </w:tc>
            </w:tr>
          </w:tbl>
          <w:p w14:paraId="41F1D04B" w14:textId="77777777" w:rsidR="00D077F2" w:rsidRPr="00D077F2" w:rsidRDefault="00D077F2" w:rsidP="00D077F2">
            <w:pPr>
              <w:spacing w:line="360" w:lineRule="auto"/>
              <w:rPr>
                <w:rFonts w:ascii="Times New Roman" w:hAnsi="Times New Roman" w:cs="Times New Roman"/>
                <w:bCs/>
                <w:sz w:val="20"/>
                <w:szCs w:val="20"/>
              </w:rPr>
            </w:pPr>
          </w:p>
        </w:tc>
        <w:tc>
          <w:tcPr>
            <w:tcW w:w="3335" w:type="dxa"/>
          </w:tcPr>
          <w:p w14:paraId="74D0B192" w14:textId="3CEA549B" w:rsidR="00D077F2" w:rsidRPr="00D077F2" w:rsidRDefault="00327A84" w:rsidP="00327A84">
            <w:pPr>
              <w:spacing w:line="360" w:lineRule="auto"/>
              <w:rPr>
                <w:rFonts w:ascii="Times New Roman" w:hAnsi="Times New Roman" w:cs="Times New Roman"/>
                <w:bCs/>
                <w:sz w:val="20"/>
                <w:szCs w:val="20"/>
              </w:rPr>
            </w:pPr>
            <w:r w:rsidRPr="00327A84">
              <w:rPr>
                <w:rFonts w:ascii="Times New Roman" w:hAnsi="Times New Roman" w:cs="Times New Roman"/>
                <w:bCs/>
                <w:sz w:val="20"/>
                <w:szCs w:val="20"/>
              </w:rPr>
              <w:t>GTGGTCTGGTGGCTGAGTAT</w:t>
            </w:r>
          </w:p>
        </w:tc>
      </w:tr>
      <w:tr w:rsidR="00D077F2" w14:paraId="02B9C36D" w14:textId="77777777" w:rsidTr="003F536F">
        <w:tc>
          <w:tcPr>
            <w:tcW w:w="2263" w:type="dxa"/>
          </w:tcPr>
          <w:p w14:paraId="7EEEE3FD" w14:textId="32328F81" w:rsidR="00D077F2" w:rsidRPr="00D077F2" w:rsidRDefault="00D077F2" w:rsidP="00D077F2">
            <w:pPr>
              <w:spacing w:line="360" w:lineRule="auto"/>
              <w:jc w:val="both"/>
              <w:rPr>
                <w:rFonts w:ascii="Times New Roman" w:hAnsi="Times New Roman" w:cs="Times New Roman"/>
                <w:bCs/>
                <w:sz w:val="20"/>
                <w:szCs w:val="20"/>
              </w:rPr>
            </w:pPr>
            <w:r w:rsidRPr="00D077F2">
              <w:rPr>
                <w:rFonts w:ascii="Times New Roman" w:hAnsi="Times New Roman" w:cs="Times New Roman" w:hint="eastAsia"/>
                <w:bCs/>
                <w:sz w:val="20"/>
                <w:szCs w:val="20"/>
              </w:rPr>
              <w:t>H</w:t>
            </w:r>
            <w:r w:rsidRPr="00D077F2">
              <w:rPr>
                <w:rFonts w:ascii="Times New Roman" w:hAnsi="Times New Roman" w:cs="Times New Roman"/>
                <w:bCs/>
                <w:sz w:val="20"/>
                <w:szCs w:val="20"/>
              </w:rPr>
              <w:t>JURP</w:t>
            </w:r>
            <w:r w:rsidRPr="00D077F2">
              <w:rPr>
                <w:rFonts w:ascii="Times New Roman" w:hAnsi="Times New Roman" w:cs="Times New Roman"/>
                <w:sz w:val="22"/>
                <w:szCs w:val="22"/>
              </w:rPr>
              <w:t xml:space="preserve"> </w:t>
            </w:r>
            <w:r>
              <w:rPr>
                <w:rFonts w:ascii="Times New Roman" w:hAnsi="Times New Roman" w:cs="Times New Roman"/>
                <w:bCs/>
                <w:sz w:val="20"/>
                <w:szCs w:val="20"/>
              </w:rPr>
              <w:t>SE</w:t>
            </w:r>
            <w:r w:rsidRPr="00D077F2">
              <w:rPr>
                <w:rFonts w:ascii="Times New Roman" w:hAnsi="Times New Roman" w:cs="Times New Roman"/>
                <w:bCs/>
                <w:sz w:val="20"/>
                <w:szCs w:val="20"/>
              </w:rPr>
              <w:t>-</w:t>
            </w:r>
            <w:r>
              <w:rPr>
                <w:rFonts w:ascii="Times New Roman" w:hAnsi="Times New Roman" w:cs="Times New Roman"/>
                <w:bCs/>
                <w:sz w:val="20"/>
                <w:szCs w:val="20"/>
              </w:rPr>
              <w:t xml:space="preserve">2 </w:t>
            </w:r>
            <w:r w:rsidRPr="00D077F2">
              <w:rPr>
                <w:rFonts w:ascii="Times New Roman" w:hAnsi="Times New Roman" w:cs="Times New Roman"/>
                <w:bCs/>
                <w:sz w:val="20"/>
                <w:szCs w:val="20"/>
              </w:rPr>
              <w:t>(</w:t>
            </w:r>
            <w:r>
              <w:rPr>
                <w:rFonts w:ascii="Times New Roman" w:hAnsi="Times New Roman" w:cs="Times New Roman"/>
                <w:bCs/>
                <w:sz w:val="20"/>
                <w:szCs w:val="20"/>
              </w:rPr>
              <w:t>E2</w:t>
            </w:r>
            <w:r w:rsidRPr="00D077F2">
              <w:rPr>
                <w:rFonts w:ascii="Times New Roman" w:hAnsi="Times New Roman" w:cs="Times New Roman"/>
                <w:bCs/>
                <w:sz w:val="20"/>
                <w:szCs w:val="20"/>
              </w:rPr>
              <w:t>)</w:t>
            </w:r>
          </w:p>
        </w:tc>
        <w:tc>
          <w:tcPr>
            <w:tcW w:w="3044" w:type="dxa"/>
          </w:tcPr>
          <w:p w14:paraId="2DAD4B29" w14:textId="35E99BE1" w:rsidR="00D077F2" w:rsidRPr="00D077F2" w:rsidRDefault="00327A84" w:rsidP="00D077F2">
            <w:pPr>
              <w:spacing w:line="360" w:lineRule="auto"/>
              <w:rPr>
                <w:rFonts w:ascii="Times New Roman" w:hAnsi="Times New Roman" w:cs="Times New Roman"/>
                <w:bCs/>
                <w:sz w:val="20"/>
                <w:szCs w:val="20"/>
              </w:rPr>
            </w:pPr>
            <w:r w:rsidRPr="00327A84">
              <w:rPr>
                <w:rFonts w:ascii="Times New Roman" w:hAnsi="Times New Roman" w:cs="Times New Roman"/>
                <w:bCs/>
                <w:sz w:val="20"/>
                <w:szCs w:val="20"/>
              </w:rPr>
              <w:t>CAGACCAGCATTTCATCGCC</w:t>
            </w:r>
          </w:p>
        </w:tc>
        <w:tc>
          <w:tcPr>
            <w:tcW w:w="3335" w:type="dxa"/>
          </w:tcPr>
          <w:p w14:paraId="6C292D3F" w14:textId="04BC8618" w:rsidR="00D077F2" w:rsidRPr="00D077F2" w:rsidRDefault="00327A84" w:rsidP="00327A84">
            <w:pPr>
              <w:spacing w:line="360" w:lineRule="auto"/>
              <w:rPr>
                <w:rFonts w:ascii="Times New Roman" w:hAnsi="Times New Roman" w:cs="Times New Roman"/>
                <w:bCs/>
                <w:sz w:val="20"/>
                <w:szCs w:val="20"/>
              </w:rPr>
            </w:pPr>
            <w:r w:rsidRPr="00327A84">
              <w:rPr>
                <w:rFonts w:ascii="Times New Roman" w:hAnsi="Times New Roman" w:cs="Times New Roman"/>
                <w:bCs/>
                <w:sz w:val="20"/>
                <w:szCs w:val="20"/>
              </w:rPr>
              <w:t>ACCAAACCACTCCTTCTATGGC</w:t>
            </w:r>
          </w:p>
        </w:tc>
      </w:tr>
      <w:tr w:rsidR="00C55F8A" w14:paraId="29EFADD5" w14:textId="77777777" w:rsidTr="003F536F">
        <w:tc>
          <w:tcPr>
            <w:tcW w:w="2263" w:type="dxa"/>
          </w:tcPr>
          <w:p w14:paraId="050B97E5" w14:textId="1EF5C996" w:rsidR="00C55F8A" w:rsidRPr="00D077F2" w:rsidRDefault="00C55F8A" w:rsidP="00C55F8A">
            <w:pPr>
              <w:spacing w:line="360" w:lineRule="auto"/>
              <w:jc w:val="both"/>
              <w:rPr>
                <w:rFonts w:ascii="Times New Roman" w:hAnsi="Times New Roman" w:cs="Times New Roman"/>
                <w:bCs/>
                <w:sz w:val="20"/>
                <w:szCs w:val="20"/>
              </w:rPr>
            </w:pPr>
            <w:r w:rsidRPr="00D077F2">
              <w:rPr>
                <w:rFonts w:ascii="Times New Roman" w:hAnsi="Times New Roman" w:cs="Times New Roman" w:hint="eastAsia"/>
                <w:bCs/>
                <w:sz w:val="20"/>
                <w:szCs w:val="20"/>
              </w:rPr>
              <w:t>H</w:t>
            </w:r>
            <w:r w:rsidRPr="00D077F2">
              <w:rPr>
                <w:rFonts w:ascii="Times New Roman" w:hAnsi="Times New Roman" w:cs="Times New Roman"/>
                <w:bCs/>
                <w:sz w:val="20"/>
                <w:szCs w:val="20"/>
              </w:rPr>
              <w:t>JURP</w:t>
            </w:r>
            <w:r w:rsidRPr="00D077F2">
              <w:rPr>
                <w:rFonts w:ascii="Times New Roman" w:hAnsi="Times New Roman" w:cs="Times New Roman"/>
                <w:sz w:val="22"/>
                <w:szCs w:val="22"/>
              </w:rPr>
              <w:t xml:space="preserve"> </w:t>
            </w:r>
            <w:r>
              <w:rPr>
                <w:rFonts w:ascii="Times New Roman" w:hAnsi="Times New Roman" w:cs="Times New Roman"/>
                <w:bCs/>
                <w:sz w:val="20"/>
                <w:szCs w:val="20"/>
              </w:rPr>
              <w:t>SE</w:t>
            </w:r>
            <w:r w:rsidRPr="00D077F2">
              <w:rPr>
                <w:rFonts w:ascii="Times New Roman" w:hAnsi="Times New Roman" w:cs="Times New Roman"/>
                <w:bCs/>
                <w:sz w:val="20"/>
                <w:szCs w:val="20"/>
              </w:rPr>
              <w:t>-</w:t>
            </w:r>
            <w:r>
              <w:rPr>
                <w:rFonts w:ascii="Times New Roman" w:hAnsi="Times New Roman" w:cs="Times New Roman"/>
                <w:bCs/>
                <w:sz w:val="20"/>
                <w:szCs w:val="20"/>
              </w:rPr>
              <w:t xml:space="preserve">3 </w:t>
            </w:r>
            <w:r w:rsidRPr="00D077F2">
              <w:rPr>
                <w:rFonts w:ascii="Times New Roman" w:hAnsi="Times New Roman" w:cs="Times New Roman"/>
                <w:bCs/>
                <w:sz w:val="20"/>
                <w:szCs w:val="20"/>
              </w:rPr>
              <w:t>(</w:t>
            </w:r>
            <w:r>
              <w:rPr>
                <w:rFonts w:ascii="Times New Roman" w:hAnsi="Times New Roman" w:cs="Times New Roman"/>
                <w:bCs/>
                <w:sz w:val="20"/>
                <w:szCs w:val="20"/>
              </w:rPr>
              <w:t>E3</w:t>
            </w:r>
            <w:r w:rsidRPr="00D077F2">
              <w:rPr>
                <w:rFonts w:ascii="Times New Roman" w:hAnsi="Times New Roman" w:cs="Times New Roman"/>
                <w:bCs/>
                <w:sz w:val="20"/>
                <w:szCs w:val="20"/>
              </w:rPr>
              <w:t>)</w:t>
            </w:r>
          </w:p>
        </w:tc>
        <w:tc>
          <w:tcPr>
            <w:tcW w:w="3044" w:type="dxa"/>
          </w:tcPr>
          <w:tbl>
            <w:tblPr>
              <w:tblW w:w="3900" w:type="dxa"/>
              <w:tblLayout w:type="fixed"/>
              <w:tblLook w:val="04A0" w:firstRow="1" w:lastRow="0" w:firstColumn="1" w:lastColumn="0" w:noHBand="0" w:noVBand="1"/>
            </w:tblPr>
            <w:tblGrid>
              <w:gridCol w:w="3900"/>
            </w:tblGrid>
            <w:tr w:rsidR="00C55F8A" w:rsidRPr="009851D2" w14:paraId="6BB95DBF" w14:textId="77777777" w:rsidTr="00286463">
              <w:trPr>
                <w:trHeight w:val="340"/>
              </w:trPr>
              <w:tc>
                <w:tcPr>
                  <w:tcW w:w="3900" w:type="dxa"/>
                  <w:tcBorders>
                    <w:top w:val="nil"/>
                    <w:left w:val="nil"/>
                    <w:bottom w:val="nil"/>
                    <w:right w:val="nil"/>
                  </w:tcBorders>
                  <w:shd w:val="clear" w:color="auto" w:fill="auto"/>
                  <w:noWrap/>
                  <w:vAlign w:val="bottom"/>
                  <w:hideMark/>
                </w:tcPr>
                <w:p w14:paraId="5643379D" w14:textId="77777777" w:rsidR="00C55F8A" w:rsidRPr="009851D2" w:rsidRDefault="00C55F8A" w:rsidP="00D82B14">
                  <w:pPr>
                    <w:spacing w:line="360" w:lineRule="auto"/>
                    <w:rPr>
                      <w:rFonts w:ascii="Times New Roman" w:hAnsi="Times New Roman" w:cs="Times New Roman"/>
                      <w:bCs/>
                      <w:sz w:val="20"/>
                      <w:szCs w:val="20"/>
                    </w:rPr>
                  </w:pPr>
                  <w:r w:rsidRPr="009851D2">
                    <w:rPr>
                      <w:rFonts w:ascii="Times New Roman" w:hAnsi="Times New Roman" w:cs="Times New Roman"/>
                      <w:bCs/>
                      <w:sz w:val="20"/>
                      <w:szCs w:val="20"/>
                    </w:rPr>
                    <w:t>AACTCCTTCTGCTTGACGGG</w:t>
                  </w:r>
                </w:p>
              </w:tc>
            </w:tr>
          </w:tbl>
          <w:p w14:paraId="28CED2DB" w14:textId="77777777" w:rsidR="00C55F8A" w:rsidRPr="009851D2" w:rsidRDefault="00C55F8A" w:rsidP="009851D2">
            <w:pPr>
              <w:spacing w:line="360" w:lineRule="auto"/>
              <w:rPr>
                <w:rFonts w:ascii="Times New Roman" w:hAnsi="Times New Roman" w:cs="Times New Roman"/>
                <w:bCs/>
                <w:sz w:val="20"/>
                <w:szCs w:val="20"/>
              </w:rPr>
            </w:pPr>
          </w:p>
        </w:tc>
        <w:tc>
          <w:tcPr>
            <w:tcW w:w="3335" w:type="dxa"/>
          </w:tcPr>
          <w:p w14:paraId="217BEAE9" w14:textId="414E4ED0" w:rsidR="00C55F8A" w:rsidRPr="009851D2" w:rsidRDefault="00C55F8A" w:rsidP="009851D2">
            <w:pPr>
              <w:spacing w:line="360" w:lineRule="auto"/>
              <w:rPr>
                <w:rFonts w:ascii="Times New Roman" w:hAnsi="Times New Roman" w:cs="Times New Roman"/>
                <w:bCs/>
                <w:sz w:val="20"/>
                <w:szCs w:val="20"/>
              </w:rPr>
            </w:pPr>
            <w:r w:rsidRPr="009851D2">
              <w:rPr>
                <w:rFonts w:ascii="Times New Roman" w:hAnsi="Times New Roman" w:cs="Times New Roman"/>
                <w:bCs/>
                <w:sz w:val="20"/>
                <w:szCs w:val="20"/>
              </w:rPr>
              <w:t>TTGACGTTGGGACAGAAGGG</w:t>
            </w:r>
          </w:p>
        </w:tc>
      </w:tr>
    </w:tbl>
    <w:p w14:paraId="565BC21F" w14:textId="77777777" w:rsidR="007A5C94" w:rsidRDefault="007A5C94" w:rsidP="007A5C94">
      <w:pPr>
        <w:spacing w:line="360" w:lineRule="auto"/>
        <w:jc w:val="both"/>
        <w:rPr>
          <w:rFonts w:ascii="Times New Roman" w:hAnsi="Times New Roman" w:cs="Times New Roman"/>
        </w:rPr>
      </w:pPr>
    </w:p>
    <w:p w14:paraId="573CE191" w14:textId="77777777" w:rsidR="007A5C94" w:rsidRDefault="007A5C94" w:rsidP="007A5C94">
      <w:pPr>
        <w:spacing w:line="360" w:lineRule="auto"/>
        <w:jc w:val="both"/>
        <w:rPr>
          <w:rFonts w:ascii="Times New Roman" w:hAnsi="Times New Roman" w:cs="Times New Roman"/>
        </w:rPr>
      </w:pPr>
    </w:p>
    <w:p w14:paraId="6C497BD1" w14:textId="4951F414" w:rsidR="007A5C94" w:rsidRPr="007A5C94" w:rsidRDefault="007A5C94" w:rsidP="007A5C94">
      <w:pPr>
        <w:spacing w:line="360" w:lineRule="auto"/>
        <w:jc w:val="both"/>
        <w:rPr>
          <w:rFonts w:ascii="Times New Roman" w:hAnsi="Times New Roman" w:cs="Times New Roman"/>
          <w:b/>
          <w:bCs/>
        </w:rPr>
      </w:pPr>
      <w:r>
        <w:rPr>
          <w:rFonts w:ascii="Times New Roman" w:hAnsi="Times New Roman" w:cs="Times New Roman"/>
          <w:b/>
          <w:bCs/>
        </w:rPr>
        <w:lastRenderedPageBreak/>
        <w:t>Detail information of p</w:t>
      </w:r>
      <w:r w:rsidRPr="007A5C94">
        <w:rPr>
          <w:rFonts w:ascii="Times New Roman" w:hAnsi="Times New Roman" w:cs="Times New Roman"/>
          <w:b/>
          <w:bCs/>
        </w:rPr>
        <w:t>ublic myeloma datasets used in this study</w:t>
      </w:r>
    </w:p>
    <w:p w14:paraId="629BB251" w14:textId="55A66A51" w:rsidR="007A5C94" w:rsidRDefault="00EC578C" w:rsidP="007A5C94">
      <w:pPr>
        <w:spacing w:line="360" w:lineRule="auto"/>
        <w:jc w:val="both"/>
        <w:rPr>
          <w:rFonts w:ascii="Times New Roman" w:hAnsi="Times New Roman" w:cs="Times New Roman"/>
        </w:rPr>
      </w:pPr>
      <w:r w:rsidRPr="007A5C94">
        <w:rPr>
          <w:rFonts w:ascii="Times New Roman" w:hAnsi="Times New Roman" w:cs="Times New Roman"/>
          <w:u w:val="single"/>
        </w:rPr>
        <w:t>HMCL (</w:t>
      </w:r>
      <w:proofErr w:type="spellStart"/>
      <w:r w:rsidRPr="007A5C94">
        <w:rPr>
          <w:rFonts w:ascii="Times New Roman" w:hAnsi="Times New Roman" w:cs="Times New Roman"/>
          <w:u w:val="single"/>
        </w:rPr>
        <w:t>aCGH</w:t>
      </w:r>
      <w:proofErr w:type="spellEnd"/>
      <w:r w:rsidRPr="007A5C94">
        <w:rPr>
          <w:rFonts w:ascii="Times New Roman" w:hAnsi="Times New Roman" w:cs="Times New Roman"/>
          <w:u w:val="single"/>
        </w:rPr>
        <w:t xml:space="preserve"> &amp; GEP):</w:t>
      </w:r>
      <w:r w:rsidRPr="00EC578C">
        <w:rPr>
          <w:rFonts w:ascii="Times New Roman" w:hAnsi="Times New Roman" w:cs="Times New Roman"/>
        </w:rPr>
        <w:t xml:space="preserve"> Supplementary Information of Keats JJ, Fonseca R, </w:t>
      </w:r>
      <w:proofErr w:type="spellStart"/>
      <w:r w:rsidRPr="00EC578C">
        <w:rPr>
          <w:rFonts w:ascii="Times New Roman" w:hAnsi="Times New Roman" w:cs="Times New Roman"/>
        </w:rPr>
        <w:t>Chesi</w:t>
      </w:r>
      <w:proofErr w:type="spellEnd"/>
      <w:r w:rsidRPr="00EC578C">
        <w:rPr>
          <w:rFonts w:ascii="Times New Roman" w:hAnsi="Times New Roman" w:cs="Times New Roman"/>
        </w:rPr>
        <w:t xml:space="preserve"> M, </w:t>
      </w:r>
      <w:proofErr w:type="spellStart"/>
      <w:r w:rsidRPr="00EC578C">
        <w:rPr>
          <w:rFonts w:ascii="Times New Roman" w:hAnsi="Times New Roman" w:cs="Times New Roman"/>
        </w:rPr>
        <w:t>Schop</w:t>
      </w:r>
      <w:proofErr w:type="spellEnd"/>
      <w:r w:rsidRPr="00EC578C">
        <w:rPr>
          <w:rFonts w:ascii="Times New Roman" w:hAnsi="Times New Roman" w:cs="Times New Roman"/>
        </w:rPr>
        <w:t xml:space="preserve"> R, Baker A, et al. (2007) Promiscuous Mutations Activate the Noncanonical NF-kB Pathway in Multiple Myeloma. Cancer Cell 12: 131–144. </w:t>
      </w:r>
    </w:p>
    <w:p w14:paraId="152E8575" w14:textId="09ECF5BB" w:rsidR="00EC578C" w:rsidRPr="00EC578C" w:rsidRDefault="00EC578C" w:rsidP="007A5C94">
      <w:pPr>
        <w:spacing w:line="360" w:lineRule="auto"/>
        <w:jc w:val="both"/>
        <w:rPr>
          <w:rFonts w:ascii="Times New Roman" w:hAnsi="Times New Roman" w:cs="Times New Roman"/>
        </w:rPr>
      </w:pPr>
      <w:r w:rsidRPr="007A5C94">
        <w:rPr>
          <w:rFonts w:ascii="Times New Roman" w:hAnsi="Times New Roman" w:cs="Times New Roman"/>
          <w:u w:val="single"/>
        </w:rPr>
        <w:t>Mayo (GEP, GSE6477):</w:t>
      </w:r>
      <w:r w:rsidRPr="00EC578C">
        <w:rPr>
          <w:rFonts w:ascii="Times New Roman" w:hAnsi="Times New Roman" w:cs="Times New Roman"/>
        </w:rPr>
        <w:t xml:space="preserve"> </w:t>
      </w:r>
      <w:proofErr w:type="spellStart"/>
      <w:r w:rsidRPr="00EC578C">
        <w:rPr>
          <w:rFonts w:ascii="Times New Roman" w:hAnsi="Times New Roman" w:cs="Times New Roman"/>
        </w:rPr>
        <w:t>Chng</w:t>
      </w:r>
      <w:proofErr w:type="spellEnd"/>
      <w:r w:rsidRPr="00EC578C">
        <w:rPr>
          <w:rFonts w:ascii="Times New Roman" w:hAnsi="Times New Roman" w:cs="Times New Roman"/>
        </w:rPr>
        <w:t xml:space="preserve"> WJ, Kumar S, </w:t>
      </w:r>
      <w:proofErr w:type="spellStart"/>
      <w:r w:rsidRPr="00EC578C">
        <w:rPr>
          <w:rFonts w:ascii="Times New Roman" w:hAnsi="Times New Roman" w:cs="Times New Roman"/>
        </w:rPr>
        <w:t>Vanwier</w:t>
      </w:r>
      <w:proofErr w:type="spellEnd"/>
      <w:r w:rsidRPr="00EC578C">
        <w:rPr>
          <w:rFonts w:ascii="Times New Roman" w:hAnsi="Times New Roman" w:cs="Times New Roman"/>
        </w:rPr>
        <w:t xml:space="preserve"> S, </w:t>
      </w:r>
      <w:proofErr w:type="spellStart"/>
      <w:r w:rsidRPr="00EC578C">
        <w:rPr>
          <w:rFonts w:ascii="Times New Roman" w:hAnsi="Times New Roman" w:cs="Times New Roman"/>
        </w:rPr>
        <w:t>Ahmann</w:t>
      </w:r>
      <w:proofErr w:type="spellEnd"/>
      <w:r w:rsidRPr="00EC578C">
        <w:rPr>
          <w:rFonts w:ascii="Times New Roman" w:hAnsi="Times New Roman" w:cs="Times New Roman"/>
        </w:rPr>
        <w:t xml:space="preserve"> G et al. Molecular dissection of </w:t>
      </w:r>
      <w:proofErr w:type="spellStart"/>
      <w:r w:rsidRPr="00EC578C">
        <w:rPr>
          <w:rFonts w:ascii="Times New Roman" w:hAnsi="Times New Roman" w:cs="Times New Roman"/>
        </w:rPr>
        <w:t>hyperdiploid</w:t>
      </w:r>
      <w:proofErr w:type="spellEnd"/>
      <w:r w:rsidRPr="00EC578C">
        <w:rPr>
          <w:rFonts w:ascii="Times New Roman" w:hAnsi="Times New Roman" w:cs="Times New Roman"/>
        </w:rPr>
        <w:t xml:space="preserve"> multiple myeloma by gene expression profiling. Cancer Res 2007 Apr 1;67(7):2982-9.</w:t>
      </w:r>
    </w:p>
    <w:p w14:paraId="34C28603" w14:textId="77777777" w:rsidR="00EC578C" w:rsidRPr="00EC578C" w:rsidRDefault="00EC578C" w:rsidP="007A5C94">
      <w:pPr>
        <w:spacing w:line="360" w:lineRule="auto"/>
        <w:jc w:val="both"/>
        <w:rPr>
          <w:rFonts w:ascii="Times New Roman" w:hAnsi="Times New Roman" w:cs="Times New Roman"/>
        </w:rPr>
      </w:pPr>
      <w:r w:rsidRPr="007A5C94">
        <w:rPr>
          <w:rFonts w:ascii="Times New Roman" w:hAnsi="Times New Roman" w:cs="Times New Roman"/>
          <w:u w:val="single"/>
        </w:rPr>
        <w:t>UAMS (GEP, GSE2658)</w:t>
      </w:r>
      <w:r w:rsidRPr="00EC578C">
        <w:rPr>
          <w:rFonts w:ascii="Times New Roman" w:hAnsi="Times New Roman" w:cs="Times New Roman"/>
        </w:rPr>
        <w:t xml:space="preserve">: Zhan F, Huang Y, </w:t>
      </w:r>
      <w:proofErr w:type="spellStart"/>
      <w:r w:rsidRPr="00EC578C">
        <w:rPr>
          <w:rFonts w:ascii="Times New Roman" w:hAnsi="Times New Roman" w:cs="Times New Roman"/>
        </w:rPr>
        <w:t>Colla</w:t>
      </w:r>
      <w:proofErr w:type="spellEnd"/>
      <w:r w:rsidRPr="00EC578C">
        <w:rPr>
          <w:rFonts w:ascii="Times New Roman" w:hAnsi="Times New Roman" w:cs="Times New Roman"/>
        </w:rPr>
        <w:t xml:space="preserve"> S, Stewart JP, </w:t>
      </w:r>
      <w:proofErr w:type="spellStart"/>
      <w:r w:rsidRPr="00EC578C">
        <w:rPr>
          <w:rFonts w:ascii="Times New Roman" w:hAnsi="Times New Roman" w:cs="Times New Roman"/>
        </w:rPr>
        <w:t>Hanamura</w:t>
      </w:r>
      <w:proofErr w:type="spellEnd"/>
      <w:r w:rsidRPr="00EC578C">
        <w:rPr>
          <w:rFonts w:ascii="Times New Roman" w:hAnsi="Times New Roman" w:cs="Times New Roman"/>
        </w:rPr>
        <w:t xml:space="preserve"> I, et al. (2006) The molecular classification of multiple myeloma. Blood 108: 2020–2028. </w:t>
      </w:r>
    </w:p>
    <w:p w14:paraId="259BF6E2" w14:textId="77777777" w:rsidR="00EC578C" w:rsidRPr="00EC578C" w:rsidRDefault="00EC578C" w:rsidP="007A5C94">
      <w:pPr>
        <w:spacing w:line="360" w:lineRule="auto"/>
        <w:jc w:val="both"/>
        <w:rPr>
          <w:rFonts w:ascii="Times New Roman" w:hAnsi="Times New Roman" w:cs="Times New Roman"/>
        </w:rPr>
      </w:pPr>
      <w:r w:rsidRPr="007A5C94">
        <w:rPr>
          <w:rFonts w:ascii="Times New Roman" w:hAnsi="Times New Roman" w:cs="Times New Roman"/>
          <w:u w:val="single"/>
        </w:rPr>
        <w:t>APEX (GEP, GSE9782):</w:t>
      </w:r>
      <w:r w:rsidRPr="00EC578C">
        <w:rPr>
          <w:rFonts w:ascii="Times New Roman" w:hAnsi="Times New Roman" w:cs="Times New Roman"/>
        </w:rPr>
        <w:t xml:space="preserve"> Mulligan G, </w:t>
      </w:r>
      <w:proofErr w:type="spellStart"/>
      <w:r w:rsidRPr="00EC578C">
        <w:rPr>
          <w:rFonts w:ascii="Times New Roman" w:hAnsi="Times New Roman" w:cs="Times New Roman"/>
        </w:rPr>
        <w:t>Mitsiades</w:t>
      </w:r>
      <w:proofErr w:type="spellEnd"/>
      <w:r w:rsidRPr="00EC578C">
        <w:rPr>
          <w:rFonts w:ascii="Times New Roman" w:hAnsi="Times New Roman" w:cs="Times New Roman"/>
        </w:rPr>
        <w:t xml:space="preserve"> C, Bryant B, Zhan F, </w:t>
      </w:r>
      <w:proofErr w:type="spellStart"/>
      <w:r w:rsidRPr="00EC578C">
        <w:rPr>
          <w:rFonts w:ascii="Times New Roman" w:hAnsi="Times New Roman" w:cs="Times New Roman"/>
        </w:rPr>
        <w:t>Chng</w:t>
      </w:r>
      <w:proofErr w:type="spellEnd"/>
      <w:r w:rsidRPr="00EC578C">
        <w:rPr>
          <w:rFonts w:ascii="Times New Roman" w:hAnsi="Times New Roman" w:cs="Times New Roman"/>
        </w:rPr>
        <w:t xml:space="preserve"> W-J, et al. (2007) Gene expression profiling and correlation with outcome in clinical trials of the proteasome inhibitor bortezomib. Blood 109: 3177–3188. </w:t>
      </w:r>
    </w:p>
    <w:p w14:paraId="6B5B151D" w14:textId="77777777" w:rsidR="00EC578C" w:rsidRPr="00EC578C" w:rsidRDefault="00EC578C" w:rsidP="007A5C94">
      <w:pPr>
        <w:spacing w:line="360" w:lineRule="auto"/>
        <w:jc w:val="both"/>
        <w:rPr>
          <w:rFonts w:ascii="Times New Roman" w:hAnsi="Times New Roman" w:cs="Times New Roman"/>
        </w:rPr>
      </w:pPr>
      <w:r w:rsidRPr="007A5C94">
        <w:rPr>
          <w:rFonts w:ascii="Times New Roman" w:hAnsi="Times New Roman" w:cs="Times New Roman"/>
          <w:u w:val="single"/>
        </w:rPr>
        <w:t>HOVON (GEP, GSE19784):</w:t>
      </w:r>
      <w:r w:rsidRPr="00EC578C">
        <w:rPr>
          <w:rFonts w:ascii="Times New Roman" w:hAnsi="Times New Roman" w:cs="Times New Roman"/>
        </w:rPr>
        <w:t xml:space="preserve"> </w:t>
      </w:r>
      <w:proofErr w:type="spellStart"/>
      <w:r w:rsidRPr="00EC578C">
        <w:rPr>
          <w:rFonts w:ascii="Times New Roman" w:hAnsi="Times New Roman" w:cs="Times New Roman"/>
        </w:rPr>
        <w:t>Broyl</w:t>
      </w:r>
      <w:proofErr w:type="spellEnd"/>
      <w:r w:rsidRPr="00EC578C">
        <w:rPr>
          <w:rFonts w:ascii="Times New Roman" w:hAnsi="Times New Roman" w:cs="Times New Roman"/>
        </w:rPr>
        <w:t xml:space="preserve"> A, Hose D, </w:t>
      </w:r>
      <w:proofErr w:type="spellStart"/>
      <w:r w:rsidRPr="00EC578C">
        <w:rPr>
          <w:rFonts w:ascii="Times New Roman" w:hAnsi="Times New Roman" w:cs="Times New Roman"/>
        </w:rPr>
        <w:t>Lokhorst</w:t>
      </w:r>
      <w:proofErr w:type="spellEnd"/>
      <w:r w:rsidRPr="00EC578C">
        <w:rPr>
          <w:rFonts w:ascii="Times New Roman" w:hAnsi="Times New Roman" w:cs="Times New Roman"/>
        </w:rPr>
        <w:t xml:space="preserve"> H, de Knegt Y, </w:t>
      </w:r>
      <w:proofErr w:type="spellStart"/>
      <w:r w:rsidRPr="00EC578C">
        <w:rPr>
          <w:rFonts w:ascii="Times New Roman" w:hAnsi="Times New Roman" w:cs="Times New Roman"/>
        </w:rPr>
        <w:t>Peeters</w:t>
      </w:r>
      <w:proofErr w:type="spellEnd"/>
      <w:r w:rsidRPr="00EC578C">
        <w:rPr>
          <w:rFonts w:ascii="Times New Roman" w:hAnsi="Times New Roman" w:cs="Times New Roman"/>
        </w:rPr>
        <w:t xml:space="preserve"> J, et al. (2010) Gene expression profiling for molecular classification of multiple myeloma in newly diagnosed patients. Blood 116: 2543–2553. </w:t>
      </w:r>
    </w:p>
    <w:p w14:paraId="2045F1A6" w14:textId="634107BF" w:rsidR="00EC578C" w:rsidRPr="00EC578C" w:rsidRDefault="00EC578C" w:rsidP="007A5C94">
      <w:pPr>
        <w:spacing w:line="360" w:lineRule="auto"/>
        <w:jc w:val="both"/>
        <w:rPr>
          <w:rFonts w:ascii="Times New Roman" w:hAnsi="Times New Roman" w:cs="Times New Roman"/>
        </w:rPr>
      </w:pPr>
      <w:r w:rsidRPr="007A5C94">
        <w:rPr>
          <w:rFonts w:ascii="Times New Roman" w:hAnsi="Times New Roman" w:cs="Times New Roman"/>
          <w:u w:val="single"/>
        </w:rPr>
        <w:t>MMRC (</w:t>
      </w:r>
      <w:proofErr w:type="spellStart"/>
      <w:r w:rsidRPr="007A5C94">
        <w:rPr>
          <w:rFonts w:ascii="Times New Roman" w:hAnsi="Times New Roman" w:cs="Times New Roman"/>
          <w:u w:val="single"/>
        </w:rPr>
        <w:t>aCGH</w:t>
      </w:r>
      <w:proofErr w:type="spellEnd"/>
      <w:r w:rsidRPr="007A5C94">
        <w:rPr>
          <w:rFonts w:ascii="Times New Roman" w:hAnsi="Times New Roman" w:cs="Times New Roman"/>
          <w:u w:val="single"/>
        </w:rPr>
        <w:t>: GSE26849; GEP: GSE26760</w:t>
      </w:r>
      <w:proofErr w:type="gramStart"/>
      <w:r w:rsidRPr="007A5C94">
        <w:rPr>
          <w:rFonts w:ascii="Times New Roman" w:hAnsi="Times New Roman" w:cs="Times New Roman"/>
          <w:u w:val="single"/>
        </w:rPr>
        <w:t>)</w:t>
      </w:r>
      <w:r w:rsidRPr="00EC578C">
        <w:rPr>
          <w:rFonts w:ascii="Times New Roman" w:hAnsi="Times New Roman" w:cs="Times New Roman"/>
        </w:rPr>
        <w:t xml:space="preserve"> </w:t>
      </w:r>
      <w:r w:rsidR="007A5C94">
        <w:rPr>
          <w:rFonts w:ascii="Times New Roman" w:hAnsi="Times New Roman" w:cs="Times New Roman"/>
        </w:rPr>
        <w:t>:</w:t>
      </w:r>
      <w:r w:rsidRPr="00EC578C">
        <w:rPr>
          <w:rFonts w:ascii="Times New Roman" w:hAnsi="Times New Roman" w:cs="Times New Roman"/>
        </w:rPr>
        <w:t>Chapman</w:t>
      </w:r>
      <w:proofErr w:type="gramEnd"/>
      <w:r w:rsidRPr="00EC578C">
        <w:rPr>
          <w:rFonts w:ascii="Times New Roman" w:hAnsi="Times New Roman" w:cs="Times New Roman"/>
        </w:rPr>
        <w:t xml:space="preserve"> MA, Lawrence MS, Keats JJ, </w:t>
      </w:r>
      <w:proofErr w:type="spellStart"/>
      <w:r w:rsidRPr="00EC578C">
        <w:rPr>
          <w:rFonts w:ascii="Times New Roman" w:hAnsi="Times New Roman" w:cs="Times New Roman"/>
        </w:rPr>
        <w:t>Cibulskis</w:t>
      </w:r>
      <w:proofErr w:type="spellEnd"/>
      <w:r w:rsidRPr="00EC578C">
        <w:rPr>
          <w:rFonts w:ascii="Times New Roman" w:hAnsi="Times New Roman" w:cs="Times New Roman"/>
        </w:rPr>
        <w:t xml:space="preserve"> K et al. Initial genome sequencing and analysis of multiple myeloma. Nature 2011 Mar 24;471(7339):467-72.</w:t>
      </w:r>
    </w:p>
    <w:p w14:paraId="7B462DEB" w14:textId="47008050" w:rsidR="00EC578C" w:rsidRDefault="00EC578C" w:rsidP="007A5C94">
      <w:pPr>
        <w:spacing w:line="360" w:lineRule="auto"/>
        <w:jc w:val="both"/>
        <w:rPr>
          <w:rFonts w:ascii="Times New Roman" w:hAnsi="Times New Roman" w:cs="Times New Roman"/>
        </w:rPr>
      </w:pPr>
      <w:proofErr w:type="spellStart"/>
      <w:r w:rsidRPr="007A5C94">
        <w:rPr>
          <w:rFonts w:ascii="Times New Roman" w:hAnsi="Times New Roman" w:cs="Times New Roman"/>
          <w:u w:val="single"/>
        </w:rPr>
        <w:t>CoMMpass</w:t>
      </w:r>
      <w:proofErr w:type="spellEnd"/>
      <w:r w:rsidRPr="00EC578C">
        <w:rPr>
          <w:rFonts w:ascii="Times New Roman" w:hAnsi="Times New Roman" w:cs="Times New Roman"/>
        </w:rPr>
        <w:t xml:space="preserve"> (</w:t>
      </w:r>
      <w:hyperlink r:id="rId4" w:history="1">
        <w:r w:rsidRPr="004E466A">
          <w:rPr>
            <w:rStyle w:val="Hyperlink"/>
            <w:rFonts w:ascii="Times New Roman" w:hAnsi="Times New Roman" w:cs="Times New Roman"/>
          </w:rPr>
          <w:t>https://research.themmrf.org</w:t>
        </w:r>
      </w:hyperlink>
      <w:r w:rsidRPr="00EC578C">
        <w:rPr>
          <w:rFonts w:ascii="Times New Roman" w:hAnsi="Times New Roman" w:cs="Times New Roman"/>
        </w:rPr>
        <w:t>)</w:t>
      </w:r>
    </w:p>
    <w:p w14:paraId="41ED009D" w14:textId="77777777" w:rsidR="005A76B0" w:rsidRDefault="005A76B0" w:rsidP="00D33C3E">
      <w:pPr>
        <w:spacing w:line="360" w:lineRule="auto"/>
        <w:jc w:val="both"/>
        <w:rPr>
          <w:rFonts w:ascii="Times New Roman" w:hAnsi="Times New Roman" w:cs="Times New Roman"/>
        </w:rPr>
      </w:pPr>
    </w:p>
    <w:p w14:paraId="1B1BD324" w14:textId="77777777" w:rsidR="005A76B0" w:rsidRDefault="005A76B0" w:rsidP="00D33C3E">
      <w:pPr>
        <w:spacing w:line="360" w:lineRule="auto"/>
        <w:jc w:val="both"/>
        <w:rPr>
          <w:rFonts w:ascii="Times New Roman" w:hAnsi="Times New Roman" w:cs="Times New Roman"/>
        </w:rPr>
      </w:pPr>
    </w:p>
    <w:p w14:paraId="6559A8EA" w14:textId="77777777" w:rsidR="005A76B0" w:rsidRDefault="005A76B0" w:rsidP="00D33C3E">
      <w:pPr>
        <w:spacing w:line="360" w:lineRule="auto"/>
        <w:jc w:val="both"/>
        <w:rPr>
          <w:rFonts w:ascii="Times New Roman" w:hAnsi="Times New Roman" w:cs="Times New Roman"/>
        </w:rPr>
      </w:pPr>
    </w:p>
    <w:p w14:paraId="36B549DF" w14:textId="77777777" w:rsidR="005A76B0" w:rsidRDefault="005A76B0" w:rsidP="00D33C3E">
      <w:pPr>
        <w:spacing w:line="360" w:lineRule="auto"/>
        <w:jc w:val="both"/>
        <w:rPr>
          <w:rFonts w:ascii="Times New Roman" w:hAnsi="Times New Roman" w:cs="Times New Roman"/>
        </w:rPr>
      </w:pPr>
    </w:p>
    <w:p w14:paraId="1C665553" w14:textId="77777777" w:rsidR="005A76B0" w:rsidRDefault="005A76B0" w:rsidP="00D33C3E">
      <w:pPr>
        <w:spacing w:line="360" w:lineRule="auto"/>
        <w:jc w:val="both"/>
        <w:rPr>
          <w:rFonts w:ascii="Times New Roman" w:hAnsi="Times New Roman" w:cs="Times New Roman"/>
        </w:rPr>
      </w:pPr>
    </w:p>
    <w:p w14:paraId="75D6E086" w14:textId="77777777" w:rsidR="005A76B0" w:rsidRDefault="005A76B0" w:rsidP="00D33C3E">
      <w:pPr>
        <w:spacing w:line="360" w:lineRule="auto"/>
        <w:jc w:val="both"/>
        <w:rPr>
          <w:rFonts w:ascii="Times New Roman" w:hAnsi="Times New Roman" w:cs="Times New Roman"/>
        </w:rPr>
      </w:pPr>
    </w:p>
    <w:p w14:paraId="26B145C0" w14:textId="77777777" w:rsidR="005A76B0" w:rsidRDefault="005A76B0" w:rsidP="00D33C3E">
      <w:pPr>
        <w:spacing w:line="360" w:lineRule="auto"/>
        <w:jc w:val="both"/>
        <w:rPr>
          <w:rFonts w:ascii="Times New Roman" w:hAnsi="Times New Roman" w:cs="Times New Roman"/>
        </w:rPr>
      </w:pPr>
    </w:p>
    <w:p w14:paraId="628687D4" w14:textId="77777777" w:rsidR="005A76B0" w:rsidRDefault="005A76B0" w:rsidP="00D33C3E">
      <w:pPr>
        <w:spacing w:line="360" w:lineRule="auto"/>
        <w:jc w:val="both"/>
        <w:rPr>
          <w:rFonts w:ascii="Times New Roman" w:hAnsi="Times New Roman" w:cs="Times New Roman"/>
        </w:rPr>
      </w:pPr>
    </w:p>
    <w:p w14:paraId="0266AE1C" w14:textId="77777777" w:rsidR="005A76B0" w:rsidRDefault="005A76B0" w:rsidP="00D33C3E">
      <w:pPr>
        <w:spacing w:line="360" w:lineRule="auto"/>
        <w:jc w:val="both"/>
        <w:rPr>
          <w:rFonts w:ascii="Times New Roman" w:hAnsi="Times New Roman" w:cs="Times New Roman"/>
        </w:rPr>
      </w:pPr>
    </w:p>
    <w:p w14:paraId="7704EDD6" w14:textId="77777777" w:rsidR="005A76B0" w:rsidRDefault="005A76B0" w:rsidP="00D33C3E">
      <w:pPr>
        <w:spacing w:line="360" w:lineRule="auto"/>
        <w:jc w:val="both"/>
        <w:rPr>
          <w:rFonts w:ascii="Times New Roman" w:hAnsi="Times New Roman" w:cs="Times New Roman"/>
        </w:rPr>
      </w:pPr>
    </w:p>
    <w:p w14:paraId="12244C27" w14:textId="77777777" w:rsidR="005A76B0" w:rsidRDefault="005A76B0" w:rsidP="00D33C3E">
      <w:pPr>
        <w:spacing w:line="360" w:lineRule="auto"/>
        <w:jc w:val="both"/>
        <w:rPr>
          <w:rFonts w:ascii="Times New Roman" w:hAnsi="Times New Roman" w:cs="Times New Roman"/>
        </w:rPr>
      </w:pPr>
    </w:p>
    <w:sectPr w:rsidR="005A76B0" w:rsidSect="00B629F7">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B4"/>
    <w:rsid w:val="00005A11"/>
    <w:rsid w:val="0001130F"/>
    <w:rsid w:val="00013BE2"/>
    <w:rsid w:val="00016C36"/>
    <w:rsid w:val="00024ADC"/>
    <w:rsid w:val="00036C21"/>
    <w:rsid w:val="000440A6"/>
    <w:rsid w:val="0005634D"/>
    <w:rsid w:val="000867C2"/>
    <w:rsid w:val="000B20D2"/>
    <w:rsid w:val="000C0DA4"/>
    <w:rsid w:val="000C20EF"/>
    <w:rsid w:val="000D7F4D"/>
    <w:rsid w:val="00124A74"/>
    <w:rsid w:val="00136BDC"/>
    <w:rsid w:val="00142D0E"/>
    <w:rsid w:val="001459A2"/>
    <w:rsid w:val="00147C59"/>
    <w:rsid w:val="001772FC"/>
    <w:rsid w:val="001B4B43"/>
    <w:rsid w:val="001C6214"/>
    <w:rsid w:val="0025532F"/>
    <w:rsid w:val="002561C8"/>
    <w:rsid w:val="00262246"/>
    <w:rsid w:val="00264700"/>
    <w:rsid w:val="00265704"/>
    <w:rsid w:val="002661F1"/>
    <w:rsid w:val="00271B1E"/>
    <w:rsid w:val="002803C3"/>
    <w:rsid w:val="00291AAA"/>
    <w:rsid w:val="002A33A9"/>
    <w:rsid w:val="002B5351"/>
    <w:rsid w:val="002E63A1"/>
    <w:rsid w:val="003005C0"/>
    <w:rsid w:val="00327A84"/>
    <w:rsid w:val="0033650C"/>
    <w:rsid w:val="00343F73"/>
    <w:rsid w:val="003977C1"/>
    <w:rsid w:val="003A3544"/>
    <w:rsid w:val="003C22D7"/>
    <w:rsid w:val="003E7465"/>
    <w:rsid w:val="003F3E27"/>
    <w:rsid w:val="003F536F"/>
    <w:rsid w:val="0042280A"/>
    <w:rsid w:val="00450ACC"/>
    <w:rsid w:val="00463E54"/>
    <w:rsid w:val="004838CE"/>
    <w:rsid w:val="00485465"/>
    <w:rsid w:val="004D03CD"/>
    <w:rsid w:val="00530C1D"/>
    <w:rsid w:val="0054618F"/>
    <w:rsid w:val="00557F28"/>
    <w:rsid w:val="005742D1"/>
    <w:rsid w:val="00576D58"/>
    <w:rsid w:val="00580487"/>
    <w:rsid w:val="005A76B0"/>
    <w:rsid w:val="005E5CE6"/>
    <w:rsid w:val="00612F1A"/>
    <w:rsid w:val="00632A89"/>
    <w:rsid w:val="0063556C"/>
    <w:rsid w:val="00656D8A"/>
    <w:rsid w:val="00672FC9"/>
    <w:rsid w:val="00676FDB"/>
    <w:rsid w:val="0067705A"/>
    <w:rsid w:val="006B6D1F"/>
    <w:rsid w:val="006C357F"/>
    <w:rsid w:val="006C5E38"/>
    <w:rsid w:val="006C7B4A"/>
    <w:rsid w:val="006F4235"/>
    <w:rsid w:val="007028E3"/>
    <w:rsid w:val="00702CB6"/>
    <w:rsid w:val="00740258"/>
    <w:rsid w:val="007A5C94"/>
    <w:rsid w:val="007B157F"/>
    <w:rsid w:val="007B3A36"/>
    <w:rsid w:val="007C1268"/>
    <w:rsid w:val="007C4335"/>
    <w:rsid w:val="007E0431"/>
    <w:rsid w:val="007F031C"/>
    <w:rsid w:val="008019CF"/>
    <w:rsid w:val="0082228C"/>
    <w:rsid w:val="00843B8F"/>
    <w:rsid w:val="00863530"/>
    <w:rsid w:val="008A481D"/>
    <w:rsid w:val="008C3089"/>
    <w:rsid w:val="008C4103"/>
    <w:rsid w:val="008F3CCB"/>
    <w:rsid w:val="00911ACB"/>
    <w:rsid w:val="00912423"/>
    <w:rsid w:val="00957721"/>
    <w:rsid w:val="009851D2"/>
    <w:rsid w:val="009A1EFC"/>
    <w:rsid w:val="009E4738"/>
    <w:rsid w:val="009E4E2D"/>
    <w:rsid w:val="009F1E08"/>
    <w:rsid w:val="009F321B"/>
    <w:rsid w:val="00A23B07"/>
    <w:rsid w:val="00A33252"/>
    <w:rsid w:val="00A43297"/>
    <w:rsid w:val="00A7177C"/>
    <w:rsid w:val="00A80820"/>
    <w:rsid w:val="00A82A76"/>
    <w:rsid w:val="00A941CC"/>
    <w:rsid w:val="00AA047B"/>
    <w:rsid w:val="00AA44F4"/>
    <w:rsid w:val="00AB5AF6"/>
    <w:rsid w:val="00B05AE5"/>
    <w:rsid w:val="00B13046"/>
    <w:rsid w:val="00B23219"/>
    <w:rsid w:val="00B23C0A"/>
    <w:rsid w:val="00B352B8"/>
    <w:rsid w:val="00B629F7"/>
    <w:rsid w:val="00B65025"/>
    <w:rsid w:val="00BA4E34"/>
    <w:rsid w:val="00BC564E"/>
    <w:rsid w:val="00BE061C"/>
    <w:rsid w:val="00BE0FAC"/>
    <w:rsid w:val="00BE37F9"/>
    <w:rsid w:val="00C02AFE"/>
    <w:rsid w:val="00C10D81"/>
    <w:rsid w:val="00C4775E"/>
    <w:rsid w:val="00C47CE7"/>
    <w:rsid w:val="00C55F8A"/>
    <w:rsid w:val="00C60F12"/>
    <w:rsid w:val="00C61A2D"/>
    <w:rsid w:val="00C73285"/>
    <w:rsid w:val="00CB20B0"/>
    <w:rsid w:val="00CB770E"/>
    <w:rsid w:val="00CC2AEA"/>
    <w:rsid w:val="00CE61EE"/>
    <w:rsid w:val="00CE7757"/>
    <w:rsid w:val="00CF1B47"/>
    <w:rsid w:val="00D077F2"/>
    <w:rsid w:val="00D33C3E"/>
    <w:rsid w:val="00D60E9B"/>
    <w:rsid w:val="00D82B14"/>
    <w:rsid w:val="00DC219C"/>
    <w:rsid w:val="00DC24D5"/>
    <w:rsid w:val="00DD3E93"/>
    <w:rsid w:val="00DE1D91"/>
    <w:rsid w:val="00DF1898"/>
    <w:rsid w:val="00DF31A3"/>
    <w:rsid w:val="00E01289"/>
    <w:rsid w:val="00E164A6"/>
    <w:rsid w:val="00E25080"/>
    <w:rsid w:val="00E3341B"/>
    <w:rsid w:val="00E355B1"/>
    <w:rsid w:val="00E432B4"/>
    <w:rsid w:val="00E81A82"/>
    <w:rsid w:val="00E93E1B"/>
    <w:rsid w:val="00E95D72"/>
    <w:rsid w:val="00EC578C"/>
    <w:rsid w:val="00EC6426"/>
    <w:rsid w:val="00ED018E"/>
    <w:rsid w:val="00ED365E"/>
    <w:rsid w:val="00EE18AD"/>
    <w:rsid w:val="00EE6932"/>
    <w:rsid w:val="00F001BF"/>
    <w:rsid w:val="00F06D0D"/>
    <w:rsid w:val="00F13F9A"/>
    <w:rsid w:val="00F2324C"/>
    <w:rsid w:val="00F4410D"/>
    <w:rsid w:val="00F46526"/>
    <w:rsid w:val="00F713DC"/>
    <w:rsid w:val="00F83191"/>
    <w:rsid w:val="00F83FFF"/>
    <w:rsid w:val="00FA613B"/>
    <w:rsid w:val="00FC5E06"/>
    <w:rsid w:val="00FD2F83"/>
    <w:rsid w:val="00FE1D5A"/>
    <w:rsid w:val="00FE3F99"/>
    <w:rsid w:val="00FE7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B646"/>
  <w15:chartTrackingRefBased/>
  <w15:docId w15:val="{CCE104FF-A886-B946-B81A-E16ED8C8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F2"/>
    <w:rPr>
      <w:rFonts w:ascii="SimSun" w:eastAsia="SimSun" w:hAnsi="SimSun" w:cs="SimSun"/>
      <w:kern w:val="0"/>
      <w:sz w:val="24"/>
    </w:rPr>
  </w:style>
  <w:style w:type="paragraph" w:styleId="Heading1">
    <w:name w:val="heading 1"/>
    <w:basedOn w:val="Normal"/>
    <w:next w:val="Normal"/>
    <w:link w:val="Heading1Char"/>
    <w:uiPriority w:val="9"/>
    <w:qFormat/>
    <w:rsid w:val="00DF31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535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4F4"/>
    <w:rPr>
      <w:sz w:val="18"/>
      <w:szCs w:val="18"/>
    </w:rPr>
  </w:style>
  <w:style w:type="character" w:customStyle="1" w:styleId="BalloonTextChar">
    <w:name w:val="Balloon Text Char"/>
    <w:basedOn w:val="DefaultParagraphFont"/>
    <w:link w:val="BalloonText"/>
    <w:uiPriority w:val="99"/>
    <w:semiHidden/>
    <w:rsid w:val="00AA44F4"/>
    <w:rPr>
      <w:rFonts w:ascii="SimSun" w:eastAsia="SimSun"/>
      <w:kern w:val="0"/>
      <w:sz w:val="18"/>
      <w:szCs w:val="18"/>
    </w:rPr>
  </w:style>
  <w:style w:type="table" w:styleId="TableGrid">
    <w:name w:val="Table Grid"/>
    <w:basedOn w:val="TableNormal"/>
    <w:uiPriority w:val="39"/>
    <w:rsid w:val="00F46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5351"/>
    <w:rPr>
      <w:rFonts w:asciiTheme="majorHAnsi" w:eastAsiaTheme="majorEastAsia" w:hAnsiTheme="majorHAnsi" w:cstheme="majorBidi"/>
      <w:color w:val="2F5496" w:themeColor="accent1" w:themeShade="BF"/>
      <w:kern w:val="0"/>
      <w:sz w:val="26"/>
      <w:szCs w:val="26"/>
    </w:rPr>
  </w:style>
  <w:style w:type="character" w:customStyle="1" w:styleId="Heading1Char">
    <w:name w:val="Heading 1 Char"/>
    <w:basedOn w:val="DefaultParagraphFont"/>
    <w:link w:val="Heading1"/>
    <w:uiPriority w:val="9"/>
    <w:rsid w:val="00DF31A3"/>
    <w:rPr>
      <w:rFonts w:asciiTheme="majorHAnsi" w:eastAsiaTheme="majorEastAsia" w:hAnsiTheme="majorHAnsi" w:cstheme="majorBidi"/>
      <w:color w:val="2F5496" w:themeColor="accent1" w:themeShade="BF"/>
      <w:kern w:val="0"/>
      <w:sz w:val="32"/>
      <w:szCs w:val="32"/>
    </w:rPr>
  </w:style>
  <w:style w:type="paragraph" w:styleId="ListParagraph">
    <w:name w:val="List Paragraph"/>
    <w:basedOn w:val="Normal"/>
    <w:uiPriority w:val="34"/>
    <w:qFormat/>
    <w:rsid w:val="00BE37F9"/>
    <w:pPr>
      <w:ind w:left="720"/>
      <w:contextualSpacing/>
    </w:pPr>
  </w:style>
  <w:style w:type="character" w:styleId="Hyperlink">
    <w:name w:val="Hyperlink"/>
    <w:basedOn w:val="DefaultParagraphFont"/>
    <w:uiPriority w:val="99"/>
    <w:unhideWhenUsed/>
    <w:rsid w:val="00EC578C"/>
    <w:rPr>
      <w:color w:val="0563C1" w:themeColor="hyperlink"/>
      <w:u w:val="single"/>
    </w:rPr>
  </w:style>
  <w:style w:type="character" w:styleId="UnresolvedMention">
    <w:name w:val="Unresolved Mention"/>
    <w:basedOn w:val="DefaultParagraphFont"/>
    <w:uiPriority w:val="99"/>
    <w:semiHidden/>
    <w:unhideWhenUsed/>
    <w:rsid w:val="00EC5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632">
      <w:bodyDiv w:val="1"/>
      <w:marLeft w:val="0"/>
      <w:marRight w:val="0"/>
      <w:marTop w:val="0"/>
      <w:marBottom w:val="0"/>
      <w:divBdr>
        <w:top w:val="none" w:sz="0" w:space="0" w:color="auto"/>
        <w:left w:val="none" w:sz="0" w:space="0" w:color="auto"/>
        <w:bottom w:val="none" w:sz="0" w:space="0" w:color="auto"/>
        <w:right w:val="none" w:sz="0" w:space="0" w:color="auto"/>
      </w:divBdr>
    </w:div>
    <w:div w:id="39089217">
      <w:bodyDiv w:val="1"/>
      <w:marLeft w:val="0"/>
      <w:marRight w:val="0"/>
      <w:marTop w:val="0"/>
      <w:marBottom w:val="0"/>
      <w:divBdr>
        <w:top w:val="none" w:sz="0" w:space="0" w:color="auto"/>
        <w:left w:val="none" w:sz="0" w:space="0" w:color="auto"/>
        <w:bottom w:val="none" w:sz="0" w:space="0" w:color="auto"/>
        <w:right w:val="none" w:sz="0" w:space="0" w:color="auto"/>
      </w:divBdr>
    </w:div>
    <w:div w:id="192233723">
      <w:bodyDiv w:val="1"/>
      <w:marLeft w:val="0"/>
      <w:marRight w:val="0"/>
      <w:marTop w:val="0"/>
      <w:marBottom w:val="0"/>
      <w:divBdr>
        <w:top w:val="none" w:sz="0" w:space="0" w:color="auto"/>
        <w:left w:val="none" w:sz="0" w:space="0" w:color="auto"/>
        <w:bottom w:val="none" w:sz="0" w:space="0" w:color="auto"/>
        <w:right w:val="none" w:sz="0" w:space="0" w:color="auto"/>
      </w:divBdr>
    </w:div>
    <w:div w:id="277881953">
      <w:bodyDiv w:val="1"/>
      <w:marLeft w:val="0"/>
      <w:marRight w:val="0"/>
      <w:marTop w:val="0"/>
      <w:marBottom w:val="0"/>
      <w:divBdr>
        <w:top w:val="none" w:sz="0" w:space="0" w:color="auto"/>
        <w:left w:val="none" w:sz="0" w:space="0" w:color="auto"/>
        <w:bottom w:val="none" w:sz="0" w:space="0" w:color="auto"/>
        <w:right w:val="none" w:sz="0" w:space="0" w:color="auto"/>
      </w:divBdr>
    </w:div>
    <w:div w:id="376129034">
      <w:bodyDiv w:val="1"/>
      <w:marLeft w:val="0"/>
      <w:marRight w:val="0"/>
      <w:marTop w:val="0"/>
      <w:marBottom w:val="0"/>
      <w:divBdr>
        <w:top w:val="none" w:sz="0" w:space="0" w:color="auto"/>
        <w:left w:val="none" w:sz="0" w:space="0" w:color="auto"/>
        <w:bottom w:val="none" w:sz="0" w:space="0" w:color="auto"/>
        <w:right w:val="none" w:sz="0" w:space="0" w:color="auto"/>
      </w:divBdr>
    </w:div>
    <w:div w:id="497699040">
      <w:bodyDiv w:val="1"/>
      <w:marLeft w:val="0"/>
      <w:marRight w:val="0"/>
      <w:marTop w:val="0"/>
      <w:marBottom w:val="0"/>
      <w:divBdr>
        <w:top w:val="none" w:sz="0" w:space="0" w:color="auto"/>
        <w:left w:val="none" w:sz="0" w:space="0" w:color="auto"/>
        <w:bottom w:val="none" w:sz="0" w:space="0" w:color="auto"/>
        <w:right w:val="none" w:sz="0" w:space="0" w:color="auto"/>
      </w:divBdr>
      <w:divsChild>
        <w:div w:id="1396276450">
          <w:marLeft w:val="0"/>
          <w:marRight w:val="0"/>
          <w:marTop w:val="0"/>
          <w:marBottom w:val="0"/>
          <w:divBdr>
            <w:top w:val="none" w:sz="0" w:space="0" w:color="auto"/>
            <w:left w:val="none" w:sz="0" w:space="0" w:color="auto"/>
            <w:bottom w:val="none" w:sz="0" w:space="0" w:color="auto"/>
            <w:right w:val="none" w:sz="0" w:space="0" w:color="auto"/>
          </w:divBdr>
          <w:divsChild>
            <w:div w:id="7548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6898">
      <w:bodyDiv w:val="1"/>
      <w:marLeft w:val="0"/>
      <w:marRight w:val="0"/>
      <w:marTop w:val="0"/>
      <w:marBottom w:val="0"/>
      <w:divBdr>
        <w:top w:val="none" w:sz="0" w:space="0" w:color="auto"/>
        <w:left w:val="none" w:sz="0" w:space="0" w:color="auto"/>
        <w:bottom w:val="none" w:sz="0" w:space="0" w:color="auto"/>
        <w:right w:val="none" w:sz="0" w:space="0" w:color="auto"/>
      </w:divBdr>
    </w:div>
    <w:div w:id="662247599">
      <w:bodyDiv w:val="1"/>
      <w:marLeft w:val="0"/>
      <w:marRight w:val="0"/>
      <w:marTop w:val="0"/>
      <w:marBottom w:val="0"/>
      <w:divBdr>
        <w:top w:val="none" w:sz="0" w:space="0" w:color="auto"/>
        <w:left w:val="none" w:sz="0" w:space="0" w:color="auto"/>
        <w:bottom w:val="none" w:sz="0" w:space="0" w:color="auto"/>
        <w:right w:val="none" w:sz="0" w:space="0" w:color="auto"/>
      </w:divBdr>
    </w:div>
    <w:div w:id="767847304">
      <w:bodyDiv w:val="1"/>
      <w:marLeft w:val="0"/>
      <w:marRight w:val="0"/>
      <w:marTop w:val="0"/>
      <w:marBottom w:val="0"/>
      <w:divBdr>
        <w:top w:val="none" w:sz="0" w:space="0" w:color="auto"/>
        <w:left w:val="none" w:sz="0" w:space="0" w:color="auto"/>
        <w:bottom w:val="none" w:sz="0" w:space="0" w:color="auto"/>
        <w:right w:val="none" w:sz="0" w:space="0" w:color="auto"/>
      </w:divBdr>
    </w:div>
    <w:div w:id="1402170089">
      <w:bodyDiv w:val="1"/>
      <w:marLeft w:val="0"/>
      <w:marRight w:val="0"/>
      <w:marTop w:val="0"/>
      <w:marBottom w:val="0"/>
      <w:divBdr>
        <w:top w:val="none" w:sz="0" w:space="0" w:color="auto"/>
        <w:left w:val="none" w:sz="0" w:space="0" w:color="auto"/>
        <w:bottom w:val="none" w:sz="0" w:space="0" w:color="auto"/>
        <w:right w:val="none" w:sz="0" w:space="0" w:color="auto"/>
      </w:divBdr>
    </w:div>
    <w:div w:id="1422944997">
      <w:bodyDiv w:val="1"/>
      <w:marLeft w:val="0"/>
      <w:marRight w:val="0"/>
      <w:marTop w:val="0"/>
      <w:marBottom w:val="0"/>
      <w:divBdr>
        <w:top w:val="none" w:sz="0" w:space="0" w:color="auto"/>
        <w:left w:val="none" w:sz="0" w:space="0" w:color="auto"/>
        <w:bottom w:val="none" w:sz="0" w:space="0" w:color="auto"/>
        <w:right w:val="none" w:sz="0" w:space="0" w:color="auto"/>
      </w:divBdr>
    </w:div>
    <w:div w:id="1808471739">
      <w:bodyDiv w:val="1"/>
      <w:marLeft w:val="0"/>
      <w:marRight w:val="0"/>
      <w:marTop w:val="0"/>
      <w:marBottom w:val="0"/>
      <w:divBdr>
        <w:top w:val="none" w:sz="0" w:space="0" w:color="auto"/>
        <w:left w:val="none" w:sz="0" w:space="0" w:color="auto"/>
        <w:bottom w:val="none" w:sz="0" w:space="0" w:color="auto"/>
        <w:right w:val="none" w:sz="0" w:space="0" w:color="auto"/>
      </w:divBdr>
    </w:div>
    <w:div w:id="1845047402">
      <w:bodyDiv w:val="1"/>
      <w:marLeft w:val="0"/>
      <w:marRight w:val="0"/>
      <w:marTop w:val="0"/>
      <w:marBottom w:val="0"/>
      <w:divBdr>
        <w:top w:val="none" w:sz="0" w:space="0" w:color="auto"/>
        <w:left w:val="none" w:sz="0" w:space="0" w:color="auto"/>
        <w:bottom w:val="none" w:sz="0" w:space="0" w:color="auto"/>
        <w:right w:val="none" w:sz="0" w:space="0" w:color="auto"/>
      </w:divBdr>
    </w:div>
    <w:div w:id="1893154231">
      <w:bodyDiv w:val="1"/>
      <w:marLeft w:val="0"/>
      <w:marRight w:val="0"/>
      <w:marTop w:val="0"/>
      <w:marBottom w:val="0"/>
      <w:divBdr>
        <w:top w:val="none" w:sz="0" w:space="0" w:color="auto"/>
        <w:left w:val="none" w:sz="0" w:space="0" w:color="auto"/>
        <w:bottom w:val="none" w:sz="0" w:space="0" w:color="auto"/>
        <w:right w:val="none" w:sz="0" w:space="0" w:color="auto"/>
      </w:divBdr>
    </w:div>
    <w:div w:id="19510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search.themmrf.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8BDD685-6769-0346-A0EB-C27C2D1E3859}">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278</TotalTime>
  <Pages>4</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311</cp:revision>
  <dcterms:created xsi:type="dcterms:W3CDTF">2020-12-05T15:09:00Z</dcterms:created>
  <dcterms:modified xsi:type="dcterms:W3CDTF">2021-10-05T15:35:00Z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documentId_842</vt:lpwstr>
  </property>
  <property fmtid="{D5CDD505-2E9C-101B-9397-08002B2CF9AE}" pid="3" name="grammarly_documentContext">
    <vt:lpwstr>{"goals":[],"domain":"general","emotions":[],"dialect":"australian"}</vt:lpwstr>
  </property>
</Properties>
</file>