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0B19" w14:textId="77777777" w:rsidR="001400B4" w:rsidRPr="00C81A61" w:rsidRDefault="001400B4" w:rsidP="00C81A61">
      <w:pPr>
        <w:spacing w:line="360" w:lineRule="auto"/>
        <w:rPr>
          <w:rFonts w:ascii="Arial" w:hAnsi="Arial" w:cs="Arial"/>
          <w:b/>
        </w:rPr>
      </w:pPr>
      <w:r w:rsidRPr="00C81A61">
        <w:rPr>
          <w:rFonts w:ascii="Arial" w:hAnsi="Arial" w:cs="Arial"/>
          <w:b/>
        </w:rPr>
        <w:t>Supplementary information</w:t>
      </w:r>
    </w:p>
    <w:p w14:paraId="32487EAC" w14:textId="77777777" w:rsidR="001400B4" w:rsidRPr="00C81A61" w:rsidRDefault="001400B4" w:rsidP="00C81A61">
      <w:pPr>
        <w:spacing w:line="360" w:lineRule="auto"/>
        <w:rPr>
          <w:rFonts w:ascii="Arial" w:hAnsi="Arial" w:cs="Arial"/>
          <w:b/>
        </w:rPr>
      </w:pPr>
      <w:r w:rsidRPr="00C81A61">
        <w:rPr>
          <w:rFonts w:ascii="Arial" w:hAnsi="Arial" w:cs="Arial"/>
          <w:b/>
        </w:rPr>
        <w:t xml:space="preserve"> </w:t>
      </w:r>
    </w:p>
    <w:p w14:paraId="149F5739" w14:textId="77777777" w:rsidR="008F769C" w:rsidRPr="005C26DB" w:rsidRDefault="008F769C" w:rsidP="008F769C">
      <w:pPr>
        <w:spacing w:line="360" w:lineRule="auto"/>
        <w:jc w:val="center"/>
        <w:rPr>
          <w:rFonts w:ascii="Arial" w:hAnsi="Arial" w:cs="Arial"/>
          <w:b/>
        </w:rPr>
      </w:pPr>
      <w:bookmarkStart w:id="0" w:name="_Hlk43115941"/>
      <w:r>
        <w:rPr>
          <w:rFonts w:ascii="Arial" w:hAnsi="Arial" w:cs="Arial"/>
          <w:b/>
        </w:rPr>
        <w:t>Tet2</w:t>
      </w:r>
      <w:r w:rsidRPr="005C26DB">
        <w:rPr>
          <w:rFonts w:ascii="Arial" w:hAnsi="Arial" w:cs="Arial"/>
          <w:b/>
        </w:rPr>
        <w:t xml:space="preserve"> inactivation enhances the anti-tumor activity of tumor-infiltrating lymphocytes </w:t>
      </w:r>
    </w:p>
    <w:p w14:paraId="3FE1D31D" w14:textId="77777777" w:rsidR="008F769C" w:rsidRPr="005C26DB" w:rsidRDefault="008F769C" w:rsidP="008F769C">
      <w:pPr>
        <w:spacing w:after="0" w:line="360" w:lineRule="auto"/>
        <w:jc w:val="center"/>
        <w:rPr>
          <w:rFonts w:ascii="Arial" w:hAnsi="Arial" w:cs="Arial"/>
          <w:vertAlign w:val="superscript"/>
        </w:rPr>
      </w:pPr>
      <w:bookmarkStart w:id="1" w:name="_Hlk44493546"/>
      <w:bookmarkEnd w:id="0"/>
      <w:r w:rsidRPr="005C26DB">
        <w:rPr>
          <w:rFonts w:ascii="Arial" w:hAnsi="Arial" w:cs="Arial"/>
        </w:rPr>
        <w:t>Minjung Lee</w:t>
      </w:r>
      <w:r w:rsidRPr="005C26DB">
        <w:rPr>
          <w:rFonts w:ascii="Arial" w:hAnsi="Arial" w:cs="Arial"/>
          <w:vertAlign w:val="superscript"/>
        </w:rPr>
        <w:t>1*</w:t>
      </w:r>
      <w:r w:rsidRPr="005C26DB">
        <w:rPr>
          <w:rFonts w:ascii="Arial" w:hAnsi="Arial" w:cs="Arial"/>
        </w:rPr>
        <w:t>, Jianfang Li</w:t>
      </w:r>
      <w:r w:rsidRPr="005C26DB">
        <w:rPr>
          <w:rFonts w:ascii="Arial" w:hAnsi="Arial" w:cs="Arial"/>
          <w:vertAlign w:val="superscript"/>
        </w:rPr>
        <w:t>1*</w:t>
      </w:r>
      <w:r w:rsidRPr="005C26DB">
        <w:rPr>
          <w:rFonts w:ascii="Arial" w:hAnsi="Arial" w:cs="Arial"/>
        </w:rPr>
        <w:t>, Jia Li</w:t>
      </w:r>
      <w:r w:rsidRPr="005C26DB">
        <w:rPr>
          <w:rFonts w:ascii="Arial" w:hAnsi="Arial" w:cs="Arial"/>
          <w:vertAlign w:val="superscript"/>
        </w:rPr>
        <w:t>1</w:t>
      </w:r>
      <w:r w:rsidRPr="005C26DB">
        <w:rPr>
          <w:rFonts w:ascii="Arial" w:hAnsi="Arial" w:cs="Arial"/>
        </w:rPr>
        <w:t>, Shaohai Fang</w:t>
      </w:r>
      <w:r w:rsidRPr="005C26DB">
        <w:rPr>
          <w:rFonts w:ascii="Arial" w:hAnsi="Arial" w:cs="Arial"/>
          <w:vertAlign w:val="superscript"/>
        </w:rPr>
        <w:t>1</w:t>
      </w:r>
      <w:r w:rsidRPr="005C26DB">
        <w:rPr>
          <w:rFonts w:ascii="Arial" w:hAnsi="Arial" w:cs="Arial"/>
        </w:rPr>
        <w:t>, Joanna Zhang</w:t>
      </w:r>
      <w:r w:rsidRPr="005C26DB">
        <w:rPr>
          <w:rFonts w:ascii="Arial" w:hAnsi="Arial" w:cs="Arial"/>
          <w:vertAlign w:val="superscript"/>
        </w:rPr>
        <w:t>1,2</w:t>
      </w:r>
      <w:r w:rsidRPr="005C26DB">
        <w:rPr>
          <w:rFonts w:ascii="Arial" w:hAnsi="Arial" w:cs="Arial"/>
        </w:rPr>
        <w:t xml:space="preserve">, Anh </w:t>
      </w:r>
      <w:r>
        <w:rPr>
          <w:rFonts w:ascii="Arial" w:hAnsi="Arial" w:cs="Arial"/>
        </w:rPr>
        <w:t>Tran Tram</w:t>
      </w:r>
      <w:r w:rsidRPr="005C26DB">
        <w:rPr>
          <w:rFonts w:ascii="Arial" w:hAnsi="Arial" w:cs="Arial"/>
        </w:rPr>
        <w:t xml:space="preserve"> Vo</w:t>
      </w:r>
      <w:r w:rsidRPr="005C26DB">
        <w:rPr>
          <w:rFonts w:ascii="Arial" w:hAnsi="Arial" w:cs="Arial"/>
          <w:vertAlign w:val="superscript"/>
        </w:rPr>
        <w:t>1,3</w:t>
      </w:r>
      <w:r w:rsidRPr="005C26DB">
        <w:rPr>
          <w:rFonts w:ascii="Arial" w:hAnsi="Arial" w:cs="Arial"/>
        </w:rPr>
        <w:t>, Wei Han</w:t>
      </w:r>
      <w:r w:rsidRPr="005C26DB">
        <w:rPr>
          <w:rFonts w:ascii="Arial" w:hAnsi="Arial" w:cs="Arial"/>
          <w:vertAlign w:val="superscript"/>
        </w:rPr>
        <w:t>1</w:t>
      </w:r>
      <w:r w:rsidRPr="005C26DB">
        <w:rPr>
          <w:rFonts w:ascii="Arial" w:hAnsi="Arial" w:cs="Arial"/>
        </w:rPr>
        <w:t xml:space="preserve">, </w:t>
      </w:r>
      <w:proofErr w:type="spellStart"/>
      <w:r w:rsidRPr="005C26DB">
        <w:rPr>
          <w:rFonts w:ascii="Arial" w:hAnsi="Arial" w:cs="Arial"/>
        </w:rPr>
        <w:t>Hongxiang</w:t>
      </w:r>
      <w:proofErr w:type="spellEnd"/>
      <w:r w:rsidRPr="005C26DB">
        <w:rPr>
          <w:rFonts w:ascii="Arial" w:hAnsi="Arial" w:cs="Arial"/>
        </w:rPr>
        <w:t xml:space="preserve"> Zeng</w:t>
      </w:r>
      <w:r w:rsidRPr="005C26DB">
        <w:rPr>
          <w:rFonts w:ascii="Arial" w:hAnsi="Arial" w:cs="Arial"/>
          <w:vertAlign w:val="superscript"/>
        </w:rPr>
        <w:t>1</w:t>
      </w:r>
      <w:r w:rsidRPr="005C26DB">
        <w:rPr>
          <w:rFonts w:ascii="Arial" w:hAnsi="Arial" w:cs="Arial"/>
        </w:rPr>
        <w:t>, Sevinj Isgandarova</w:t>
      </w:r>
      <w:r w:rsidRPr="005C26DB">
        <w:rPr>
          <w:rFonts w:ascii="Arial" w:hAnsi="Arial" w:cs="Arial"/>
          <w:vertAlign w:val="superscript"/>
        </w:rPr>
        <w:t>4</w:t>
      </w:r>
      <w:r w:rsidRPr="005C26DB">
        <w:rPr>
          <w:rFonts w:ascii="Arial" w:hAnsi="Arial" w:cs="Arial"/>
        </w:rPr>
        <w:t>, Margarita Martinez-Moczygemba</w:t>
      </w:r>
      <w:r w:rsidRPr="005C26DB">
        <w:rPr>
          <w:rFonts w:ascii="Arial" w:hAnsi="Arial" w:cs="Arial"/>
          <w:vertAlign w:val="superscript"/>
        </w:rPr>
        <w:t>4,</w:t>
      </w:r>
      <w:r>
        <w:rPr>
          <w:rFonts w:ascii="Arial" w:hAnsi="Arial" w:cs="Arial"/>
          <w:vertAlign w:val="superscript"/>
        </w:rPr>
        <w:t>5,7</w:t>
      </w:r>
      <w:r w:rsidRPr="005C26DB">
        <w:rPr>
          <w:rFonts w:ascii="Arial" w:hAnsi="Arial" w:cs="Arial"/>
        </w:rPr>
        <w:t>, Yubin Zhou</w:t>
      </w:r>
      <w:r w:rsidRPr="001C2817">
        <w:rPr>
          <w:rFonts w:ascii="Arial" w:hAnsi="Arial" w:cs="Arial"/>
          <w:vertAlign w:val="superscript"/>
        </w:rPr>
        <w:t>5,</w:t>
      </w:r>
      <w:r>
        <w:rPr>
          <w:rFonts w:ascii="Arial" w:hAnsi="Arial" w:cs="Arial"/>
          <w:vertAlign w:val="superscript"/>
        </w:rPr>
        <w:t>6</w:t>
      </w:r>
      <w:r w:rsidRPr="005C26DB">
        <w:rPr>
          <w:rFonts w:ascii="Arial" w:hAnsi="Arial" w:cs="Arial"/>
        </w:rPr>
        <w:t>, Deqiang Sun</w:t>
      </w:r>
      <w:r w:rsidRPr="005C26DB">
        <w:rPr>
          <w:rFonts w:ascii="Arial" w:hAnsi="Arial" w:cs="Arial"/>
          <w:vertAlign w:val="superscript"/>
        </w:rPr>
        <w:t>1,5,</w:t>
      </w:r>
      <w:r>
        <w:rPr>
          <w:rFonts w:ascii="Arial" w:hAnsi="Arial" w:cs="Arial"/>
          <w:vertAlign w:val="superscript"/>
        </w:rPr>
        <w:t>7</w:t>
      </w:r>
      <w:r w:rsidRPr="005C26DB">
        <w:rPr>
          <w:rFonts w:ascii="Arial" w:hAnsi="Arial" w:cs="Arial"/>
          <w:vertAlign w:val="superscript"/>
        </w:rPr>
        <w:t>#</w:t>
      </w:r>
      <w:r w:rsidRPr="005C26DB">
        <w:rPr>
          <w:rFonts w:ascii="Arial" w:hAnsi="Arial" w:cs="Arial"/>
        </w:rPr>
        <w:t>, Yun Huang</w:t>
      </w:r>
      <w:r w:rsidRPr="005C26DB">
        <w:rPr>
          <w:rFonts w:ascii="Arial" w:hAnsi="Arial" w:cs="Arial"/>
          <w:vertAlign w:val="superscript"/>
        </w:rPr>
        <w:t>1,5</w:t>
      </w:r>
      <w:r>
        <w:rPr>
          <w:rFonts w:ascii="Arial" w:hAnsi="Arial" w:cs="Arial"/>
          <w:vertAlign w:val="superscript"/>
        </w:rPr>
        <w:t>,7</w:t>
      </w:r>
      <w:r w:rsidRPr="005C26DB">
        <w:rPr>
          <w:rFonts w:ascii="Arial" w:hAnsi="Arial" w:cs="Arial"/>
          <w:vertAlign w:val="superscript"/>
        </w:rPr>
        <w:t>,#</w:t>
      </w:r>
    </w:p>
    <w:p w14:paraId="556CDC38" w14:textId="77777777" w:rsidR="008F769C" w:rsidRPr="005C26DB" w:rsidRDefault="008F769C" w:rsidP="008F769C">
      <w:pPr>
        <w:spacing w:after="0" w:line="360" w:lineRule="auto"/>
        <w:jc w:val="center"/>
        <w:rPr>
          <w:rFonts w:ascii="Arial" w:hAnsi="Arial" w:cs="Arial"/>
        </w:rPr>
      </w:pPr>
    </w:p>
    <w:bookmarkEnd w:id="1"/>
    <w:p w14:paraId="4C4944A2" w14:textId="77777777" w:rsidR="008F769C" w:rsidRPr="00A455A1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455A1">
        <w:rPr>
          <w:rFonts w:ascii="Arial" w:hAnsi="Arial" w:cs="Arial"/>
        </w:rPr>
        <w:t>Center for Epigenetics &amp; Disease Prevention, Institute of Biosciences and Technology,</w:t>
      </w:r>
      <w:r>
        <w:rPr>
          <w:rFonts w:ascii="Arial" w:hAnsi="Arial" w:cs="Arial"/>
        </w:rPr>
        <w:t xml:space="preserve"> </w:t>
      </w:r>
      <w:r w:rsidRPr="00A455A1">
        <w:rPr>
          <w:rFonts w:ascii="Arial" w:hAnsi="Arial" w:cs="Arial"/>
        </w:rPr>
        <w:t xml:space="preserve">Texas A&amp;M University, Houston, TX 77030, USA </w:t>
      </w:r>
    </w:p>
    <w:p w14:paraId="31DAD118" w14:textId="77777777" w:rsidR="008F769C" w:rsidRPr="005C26DB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College of Literature, Science and the Arts, University of Michigan, Ann Arbor, MI, 48104</w:t>
      </w:r>
      <w:r>
        <w:rPr>
          <w:rFonts w:ascii="Arial" w:hAnsi="Arial" w:cs="Arial"/>
        </w:rPr>
        <w:t>, USA</w:t>
      </w:r>
    </w:p>
    <w:p w14:paraId="3294622E" w14:textId="77777777" w:rsidR="008F769C" w:rsidRPr="005C26DB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Center for Genomic and Precision Medicine, Institute of Biosciences and Technology</w:t>
      </w:r>
    </w:p>
    <w:p w14:paraId="01875E19" w14:textId="77777777" w:rsidR="008F769C" w:rsidRPr="005C26DB" w:rsidRDefault="008F769C" w:rsidP="008F769C">
      <w:pPr>
        <w:pStyle w:val="ListParagraph"/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Texas A&amp;M University, Houston, TX 77030, USA</w:t>
      </w:r>
    </w:p>
    <w:p w14:paraId="4131A153" w14:textId="77777777" w:rsidR="008F769C" w:rsidRPr="00A455A1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Center for Infectious and Inflammatory Disease, Institute of Biosciences and Technology</w:t>
      </w:r>
      <w:r>
        <w:rPr>
          <w:rFonts w:ascii="Arial" w:hAnsi="Arial" w:cs="Arial"/>
        </w:rPr>
        <w:t xml:space="preserve">, </w:t>
      </w:r>
      <w:r w:rsidRPr="00A455A1">
        <w:rPr>
          <w:rFonts w:ascii="Arial" w:hAnsi="Arial" w:cs="Arial"/>
        </w:rPr>
        <w:t>Texas A&amp;M University, Houston, TX 77030, USA</w:t>
      </w:r>
    </w:p>
    <w:p w14:paraId="2806C87E" w14:textId="77777777" w:rsidR="008F769C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455A1">
        <w:rPr>
          <w:rFonts w:ascii="Arial" w:hAnsi="Arial" w:cs="Arial"/>
        </w:rPr>
        <w:t>Department of Translational Medical Sciences, College of Medicine</w:t>
      </w:r>
      <w:r>
        <w:rPr>
          <w:rFonts w:ascii="Arial" w:hAnsi="Arial" w:cs="Arial"/>
        </w:rPr>
        <w:t>, Texas A&amp;M University, Houston, TX 77030, USA</w:t>
      </w:r>
    </w:p>
    <w:p w14:paraId="274658D3" w14:textId="77777777" w:rsidR="008F769C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Center for Translational Cancer Research, Institute of Biosciences and Technology</w:t>
      </w:r>
      <w:r>
        <w:rPr>
          <w:rFonts w:ascii="Arial" w:hAnsi="Arial" w:cs="Arial"/>
        </w:rPr>
        <w:t xml:space="preserve">, </w:t>
      </w:r>
      <w:r w:rsidRPr="00A455A1">
        <w:rPr>
          <w:rFonts w:ascii="Arial" w:hAnsi="Arial" w:cs="Arial"/>
        </w:rPr>
        <w:t xml:space="preserve">Texas A&amp;M University, Houston, TX 77030, USA </w:t>
      </w:r>
    </w:p>
    <w:p w14:paraId="50CA6254" w14:textId="77777777" w:rsidR="008F769C" w:rsidRPr="001C2817" w:rsidRDefault="008F769C" w:rsidP="008F7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>The CPRIT scholar for cancer research</w:t>
      </w:r>
    </w:p>
    <w:p w14:paraId="7F2B1BE2" w14:textId="77777777" w:rsidR="008F769C" w:rsidRPr="00A455A1" w:rsidRDefault="008F769C" w:rsidP="008F769C">
      <w:pPr>
        <w:spacing w:line="360" w:lineRule="auto"/>
        <w:rPr>
          <w:rFonts w:ascii="Arial" w:hAnsi="Arial" w:cs="Arial"/>
        </w:rPr>
      </w:pPr>
      <w:r w:rsidRPr="00A455A1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These authors contributed equally to this study.</w:t>
      </w:r>
    </w:p>
    <w:p w14:paraId="33D9B878" w14:textId="77777777" w:rsidR="008F769C" w:rsidRDefault="008F769C" w:rsidP="008F769C">
      <w:pPr>
        <w:spacing w:after="0" w:line="360" w:lineRule="auto"/>
        <w:rPr>
          <w:rFonts w:ascii="Arial" w:hAnsi="Arial" w:cs="Arial"/>
        </w:rPr>
      </w:pPr>
      <w:r w:rsidRPr="005C26DB">
        <w:rPr>
          <w:rFonts w:ascii="Arial" w:hAnsi="Arial" w:cs="Arial"/>
        </w:rPr>
        <w:t xml:space="preserve"># Correspondence: dsun@gomicstech.com; </w:t>
      </w:r>
      <w:hyperlink r:id="rId5" w:history="1">
        <w:r w:rsidRPr="005C26DB">
          <w:rPr>
            <w:rFonts w:ascii="Arial" w:hAnsi="Arial" w:cs="Arial"/>
          </w:rPr>
          <w:t>yun.huang@tamu.edu</w:t>
        </w:r>
      </w:hyperlink>
      <w:r w:rsidRPr="005C26DB">
        <w:rPr>
          <w:rFonts w:ascii="Arial" w:hAnsi="Arial" w:cs="Arial"/>
        </w:rPr>
        <w:t xml:space="preserve"> (leading contact) </w:t>
      </w:r>
    </w:p>
    <w:p w14:paraId="4286A7BD" w14:textId="77777777" w:rsidR="008F769C" w:rsidRDefault="008F769C" w:rsidP="008F769C">
      <w:pPr>
        <w:spacing w:line="360" w:lineRule="auto"/>
        <w:rPr>
          <w:rFonts w:ascii="Arial" w:hAnsi="Arial" w:cs="Arial"/>
          <w:b/>
          <w:bCs/>
        </w:rPr>
      </w:pPr>
    </w:p>
    <w:p w14:paraId="42DDD6D3" w14:textId="77777777" w:rsidR="008F769C" w:rsidRPr="00A455A1" w:rsidRDefault="008F769C" w:rsidP="008F769C">
      <w:pPr>
        <w:spacing w:line="360" w:lineRule="auto"/>
        <w:rPr>
          <w:rFonts w:ascii="Arial" w:hAnsi="Arial" w:cs="Arial"/>
          <w:b/>
          <w:bCs/>
        </w:rPr>
      </w:pPr>
      <w:r w:rsidRPr="00A455A1">
        <w:rPr>
          <w:rFonts w:ascii="Arial" w:hAnsi="Arial" w:cs="Arial"/>
          <w:b/>
          <w:bCs/>
        </w:rPr>
        <w:t>Leading contact:</w:t>
      </w:r>
    </w:p>
    <w:p w14:paraId="53873C56" w14:textId="77777777" w:rsidR="008F769C" w:rsidRDefault="008F769C" w:rsidP="008F76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Yun Huang</w:t>
      </w:r>
    </w:p>
    <w:p w14:paraId="0622875D" w14:textId="77777777" w:rsidR="008F769C" w:rsidRDefault="008F769C" w:rsidP="008F76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Mailing address: 2121 W. Holcombe Blvd, Houston, TX 77030 USA</w:t>
      </w:r>
    </w:p>
    <w:p w14:paraId="75AF9F46" w14:textId="77777777" w:rsidR="008F769C" w:rsidRDefault="008F769C" w:rsidP="008F76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Phone: 713-677-7484</w:t>
      </w:r>
    </w:p>
    <w:p w14:paraId="6D7E2BE0" w14:textId="77777777" w:rsidR="008F769C" w:rsidRDefault="008F769C" w:rsidP="008F76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171A31">
          <w:rPr>
            <w:rStyle w:val="Hyperlink"/>
            <w:rFonts w:ascii="Arial" w:hAnsi="Arial" w:cs="Arial"/>
          </w:rPr>
          <w:t>yun.huang@tamu.edu</w:t>
        </w:r>
      </w:hyperlink>
    </w:p>
    <w:p w14:paraId="14464D4B" w14:textId="1C8F4C9C" w:rsidR="001400B4" w:rsidRDefault="001400B4" w:rsidP="00C81A61">
      <w:pPr>
        <w:spacing w:line="360" w:lineRule="auto"/>
        <w:rPr>
          <w:rFonts w:ascii="Arial" w:hAnsi="Arial" w:cs="Arial"/>
        </w:rPr>
      </w:pPr>
    </w:p>
    <w:p w14:paraId="407AC354" w14:textId="40A4525F" w:rsidR="008F769C" w:rsidRDefault="008F769C" w:rsidP="00C81A61">
      <w:pPr>
        <w:spacing w:line="360" w:lineRule="auto"/>
        <w:rPr>
          <w:rFonts w:ascii="Arial" w:hAnsi="Arial" w:cs="Arial"/>
        </w:rPr>
      </w:pPr>
    </w:p>
    <w:p w14:paraId="7AF8CCB7" w14:textId="77777777" w:rsidR="008F769C" w:rsidRDefault="008F769C" w:rsidP="00C81A61">
      <w:pPr>
        <w:spacing w:line="360" w:lineRule="auto"/>
        <w:rPr>
          <w:rFonts w:ascii="Arial" w:hAnsi="Arial" w:cs="Arial"/>
        </w:rPr>
      </w:pPr>
    </w:p>
    <w:p w14:paraId="32A59BF0" w14:textId="77777777" w:rsidR="0061258A" w:rsidRPr="00C81A61" w:rsidRDefault="0061258A" w:rsidP="00C81A61">
      <w:pPr>
        <w:spacing w:line="360" w:lineRule="auto"/>
        <w:rPr>
          <w:rFonts w:ascii="Arial" w:hAnsi="Arial" w:cs="Arial"/>
        </w:rPr>
      </w:pPr>
    </w:p>
    <w:p w14:paraId="61CB3D3A" w14:textId="1FAF8F0E" w:rsidR="000E21CF" w:rsidRPr="00C81A61" w:rsidRDefault="001400B4" w:rsidP="00916A98">
      <w:pPr>
        <w:spacing w:after="0" w:line="360" w:lineRule="auto"/>
        <w:rPr>
          <w:rFonts w:ascii="Arial" w:hAnsi="Arial" w:cs="Arial"/>
          <w:b/>
          <w:bCs/>
          <w:spacing w:val="3"/>
        </w:rPr>
      </w:pPr>
      <w:r w:rsidRPr="00C81A61">
        <w:rPr>
          <w:rFonts w:ascii="Arial" w:hAnsi="Arial" w:cs="Arial"/>
          <w:b/>
        </w:rPr>
        <w:lastRenderedPageBreak/>
        <w:t>Figure S1.</w:t>
      </w:r>
      <w:r w:rsidRPr="00C81A61">
        <w:rPr>
          <w:rFonts w:ascii="Arial" w:hAnsi="Arial" w:cs="Arial"/>
        </w:rPr>
        <w:t xml:space="preserve"> </w:t>
      </w:r>
      <w:r w:rsidRPr="00C81A61">
        <w:rPr>
          <w:rFonts w:ascii="Arial" w:hAnsi="Arial" w:cs="Arial"/>
          <w:b/>
          <w:bCs/>
          <w:spacing w:val="3"/>
        </w:rPr>
        <w:t>Tet2</w:t>
      </w:r>
      <w:r w:rsidR="00D737ED">
        <w:rPr>
          <w:rFonts w:ascii="Arial" w:hAnsi="Arial" w:cs="Arial"/>
          <w:b/>
          <w:bCs/>
          <w:spacing w:val="3"/>
        </w:rPr>
        <w:t>-</w:t>
      </w:r>
      <w:r w:rsidRPr="00C81A61">
        <w:rPr>
          <w:rFonts w:ascii="Arial" w:hAnsi="Arial" w:cs="Arial"/>
          <w:b/>
          <w:bCs/>
          <w:spacing w:val="3"/>
        </w:rPr>
        <w:t xml:space="preserve">deficient TILs </w:t>
      </w:r>
      <w:r w:rsidR="00D737ED">
        <w:rPr>
          <w:rFonts w:ascii="Arial" w:hAnsi="Arial" w:cs="Arial"/>
          <w:b/>
          <w:bCs/>
          <w:spacing w:val="3"/>
        </w:rPr>
        <w:t>show</w:t>
      </w:r>
      <w:r w:rsidR="00D737ED" w:rsidRPr="00C81A61">
        <w:rPr>
          <w:rFonts w:ascii="Arial" w:hAnsi="Arial" w:cs="Arial"/>
          <w:b/>
          <w:bCs/>
          <w:spacing w:val="3"/>
        </w:rPr>
        <w:t xml:space="preserve"> </w:t>
      </w:r>
      <w:r w:rsidRPr="00C81A61">
        <w:rPr>
          <w:rFonts w:ascii="Arial" w:hAnsi="Arial" w:cs="Arial"/>
          <w:b/>
          <w:bCs/>
          <w:spacing w:val="3"/>
        </w:rPr>
        <w:t xml:space="preserve">enhanced anti-tumor </w:t>
      </w:r>
      <w:r w:rsidR="00D737ED">
        <w:rPr>
          <w:rFonts w:ascii="Arial" w:hAnsi="Arial" w:cs="Arial"/>
          <w:b/>
          <w:bCs/>
          <w:spacing w:val="3"/>
        </w:rPr>
        <w:t>efficacy</w:t>
      </w:r>
      <w:r w:rsidR="00D737ED" w:rsidRPr="00C81A61">
        <w:rPr>
          <w:rFonts w:ascii="Arial" w:hAnsi="Arial" w:cs="Arial"/>
          <w:b/>
          <w:bCs/>
          <w:spacing w:val="3"/>
        </w:rPr>
        <w:t xml:space="preserve"> </w:t>
      </w:r>
      <w:r w:rsidRPr="00C81A61">
        <w:rPr>
          <w:rFonts w:ascii="Arial" w:hAnsi="Arial" w:cs="Arial"/>
          <w:b/>
          <w:bCs/>
          <w:spacing w:val="3"/>
        </w:rPr>
        <w:t>in vivo.</w:t>
      </w:r>
    </w:p>
    <w:p w14:paraId="4CF8CBA9" w14:textId="54119C7F" w:rsidR="001400B4" w:rsidRPr="00C81A61" w:rsidRDefault="001400B4" w:rsidP="001361B1">
      <w:pPr>
        <w:spacing w:after="0" w:line="360" w:lineRule="auto"/>
        <w:rPr>
          <w:rFonts w:ascii="Arial" w:hAnsi="Arial" w:cs="Arial"/>
        </w:rPr>
      </w:pPr>
      <w:r w:rsidRPr="00C81A61">
        <w:rPr>
          <w:rFonts w:ascii="Arial" w:hAnsi="Arial" w:cs="Arial"/>
        </w:rPr>
        <w:t>A.</w:t>
      </w:r>
      <w:r w:rsidR="00D737ED">
        <w:rPr>
          <w:rFonts w:ascii="Arial" w:hAnsi="Arial" w:cs="Arial"/>
        </w:rPr>
        <w:t xml:space="preserve"> The</w:t>
      </w:r>
      <w:r w:rsidRPr="00C81A61">
        <w:rPr>
          <w:rFonts w:ascii="Arial" w:hAnsi="Arial" w:cs="Arial"/>
        </w:rPr>
        <w:t xml:space="preserve"> </w:t>
      </w:r>
      <w:r w:rsidR="00D737ED">
        <w:rPr>
          <w:rFonts w:ascii="Arial" w:hAnsi="Arial" w:cs="Arial"/>
        </w:rPr>
        <w:t>b</w:t>
      </w:r>
      <w:r w:rsidR="00C81A61" w:rsidRPr="00C81A61">
        <w:rPr>
          <w:rFonts w:ascii="Arial" w:hAnsi="Arial" w:cs="Arial"/>
        </w:rPr>
        <w:t>reeding strategy and representative genotyping result</w:t>
      </w:r>
      <w:r w:rsidR="00D737ED">
        <w:rPr>
          <w:rFonts w:ascii="Arial" w:hAnsi="Arial" w:cs="Arial"/>
        </w:rPr>
        <w:t>s</w:t>
      </w:r>
      <w:r w:rsidR="00C81A61" w:rsidRPr="00C81A61">
        <w:rPr>
          <w:rFonts w:ascii="Arial" w:hAnsi="Arial" w:cs="Arial"/>
        </w:rPr>
        <w:t xml:space="preserve"> </w:t>
      </w:r>
      <w:r w:rsidR="00D737ED">
        <w:rPr>
          <w:rFonts w:ascii="Arial" w:hAnsi="Arial" w:cs="Arial"/>
        </w:rPr>
        <w:t>for the indicated transgenic mice</w:t>
      </w:r>
      <w:r w:rsidR="00C81A61" w:rsidRPr="00C81A61">
        <w:rPr>
          <w:rFonts w:ascii="Arial" w:hAnsi="Arial" w:cs="Arial"/>
        </w:rPr>
        <w:t xml:space="preserve">. </w:t>
      </w:r>
    </w:p>
    <w:p w14:paraId="7FA9FA51" w14:textId="3CCB5431" w:rsidR="00C81A61" w:rsidRDefault="009B118E" w:rsidP="001361B1">
      <w:pPr>
        <w:spacing w:after="0" w:line="360" w:lineRule="auto"/>
        <w:rPr>
          <w:rFonts w:ascii="Arial" w:hAnsi="Arial" w:cs="Arial"/>
          <w:bCs/>
          <w:spacing w:val="3"/>
        </w:rPr>
      </w:pPr>
      <w:r>
        <w:rPr>
          <w:rFonts w:ascii="Arial" w:hAnsi="Arial" w:cs="Arial"/>
        </w:rPr>
        <w:t xml:space="preserve">B. Quantification of individual tumor size measurement in four experimental groups: </w:t>
      </w:r>
      <w:r>
        <w:rPr>
          <w:rFonts w:ascii="Arial" w:hAnsi="Arial" w:cs="Arial"/>
          <w:bCs/>
          <w:spacing w:val="3"/>
        </w:rPr>
        <w:t>WT control (CTL) (black), WT with anti-PD-L1 treatment (green), Tet2KO control (CTL) (red), Tet</w:t>
      </w:r>
      <w:r w:rsidR="00D737ED">
        <w:rPr>
          <w:rFonts w:ascii="Arial" w:hAnsi="Arial" w:cs="Arial"/>
          <w:bCs/>
          <w:spacing w:val="3"/>
        </w:rPr>
        <w:t>d</w:t>
      </w:r>
      <w:r>
        <w:rPr>
          <w:rFonts w:ascii="Arial" w:hAnsi="Arial" w:cs="Arial"/>
          <w:bCs/>
          <w:spacing w:val="3"/>
        </w:rPr>
        <w:t xml:space="preserve">2KO with anti-PD-L1 treatment (blue). </w:t>
      </w:r>
      <w:r w:rsidR="00D737ED">
        <w:rPr>
          <w:rFonts w:ascii="Arial" w:hAnsi="Arial" w:cs="Arial"/>
          <w:bCs/>
          <w:spacing w:val="3"/>
        </w:rPr>
        <w:t>The vertical bars (from left to right) indicate the time points for T cell transfer, and the first and second anti-PD-L1 treatments, respectively.</w:t>
      </w:r>
    </w:p>
    <w:p w14:paraId="36F4F328" w14:textId="43FD552F" w:rsidR="009B118E" w:rsidRDefault="009B118E" w:rsidP="001361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737ED">
        <w:rPr>
          <w:rFonts w:ascii="Arial" w:hAnsi="Arial" w:cs="Arial"/>
        </w:rPr>
        <w:t>The g</w:t>
      </w:r>
      <w:r>
        <w:rPr>
          <w:rFonts w:ascii="Arial" w:hAnsi="Arial" w:cs="Arial"/>
        </w:rPr>
        <w:t xml:space="preserve">ating strategy </w:t>
      </w:r>
      <w:r w:rsidR="00D737E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D737ED">
        <w:rPr>
          <w:rFonts w:ascii="Arial" w:hAnsi="Arial" w:cs="Arial"/>
        </w:rPr>
        <w:t>identifying</w:t>
      </w:r>
      <w:r>
        <w:rPr>
          <w:rFonts w:ascii="Arial" w:hAnsi="Arial" w:cs="Arial"/>
        </w:rPr>
        <w:t xml:space="preserve"> CD45.2+CD8+ </w:t>
      </w:r>
      <w:r w:rsidR="00D737ED">
        <w:rPr>
          <w:rFonts w:ascii="Arial" w:hAnsi="Arial" w:cs="Arial"/>
        </w:rPr>
        <w:t>TILs</w:t>
      </w:r>
      <w:r w:rsidR="00745B07">
        <w:rPr>
          <w:rFonts w:ascii="Arial" w:hAnsi="Arial" w:cs="Arial"/>
        </w:rPr>
        <w:t xml:space="preserve"> (transferred)</w:t>
      </w:r>
      <w:r w:rsidR="00D73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CD45.1+CD8+</w:t>
      </w:r>
      <w:r w:rsidR="00745B07">
        <w:rPr>
          <w:rFonts w:ascii="Arial" w:hAnsi="Arial" w:cs="Arial"/>
        </w:rPr>
        <w:t xml:space="preserve"> (endogenous)</w:t>
      </w:r>
      <w:r>
        <w:rPr>
          <w:rFonts w:ascii="Arial" w:hAnsi="Arial" w:cs="Arial"/>
        </w:rPr>
        <w:t xml:space="preserve"> TILs. </w:t>
      </w:r>
    </w:p>
    <w:p w14:paraId="6E211793" w14:textId="25B09E2E" w:rsidR="009B118E" w:rsidRPr="009236C9" w:rsidRDefault="00F763AB" w:rsidP="001361B1">
      <w:pPr>
        <w:spacing w:after="0" w:line="360" w:lineRule="auto"/>
        <w:rPr>
          <w:rFonts w:ascii="Arial" w:hAnsi="Arial" w:cs="Arial"/>
          <w:bCs/>
          <w:spacing w:val="3"/>
        </w:rPr>
      </w:pPr>
      <w:r>
        <w:rPr>
          <w:rFonts w:ascii="Arial" w:hAnsi="Arial" w:cs="Arial"/>
        </w:rPr>
        <w:t>D</w:t>
      </w:r>
      <w:r w:rsidR="009B118E">
        <w:rPr>
          <w:rFonts w:ascii="Arial" w:hAnsi="Arial" w:cs="Arial"/>
        </w:rPr>
        <w:t xml:space="preserve">. </w:t>
      </w:r>
      <w:r w:rsidR="009B118E">
        <w:rPr>
          <w:rFonts w:ascii="Arial" w:hAnsi="Arial" w:cs="Arial"/>
          <w:bCs/>
          <w:spacing w:val="3"/>
        </w:rPr>
        <w:t>Comparison of the distribution of endogenous</w:t>
      </w:r>
      <w:r w:rsidR="009B118E" w:rsidRPr="009B118E">
        <w:rPr>
          <w:rFonts w:ascii="Arial" w:hAnsi="Arial" w:cs="Arial"/>
          <w:bCs/>
          <w:spacing w:val="3"/>
        </w:rPr>
        <w:t xml:space="preserve"> </w:t>
      </w:r>
      <w:r w:rsidR="009B118E">
        <w:rPr>
          <w:rFonts w:ascii="Arial" w:hAnsi="Arial" w:cs="Arial"/>
          <w:bCs/>
          <w:spacing w:val="3"/>
        </w:rPr>
        <w:t xml:space="preserve">CD45.1+CD8+ T cells in tumor (TILs), spleen (SPL) and peripheral blood (PB) in recipient mice transferred with WT (black) and Tet2KO (red) </w:t>
      </w:r>
      <w:r w:rsidR="00ED53C6">
        <w:rPr>
          <w:rFonts w:ascii="Arial" w:hAnsi="Arial" w:cs="Arial"/>
          <w:bCs/>
          <w:spacing w:val="3"/>
        </w:rPr>
        <w:t>CD45.</w:t>
      </w:r>
      <w:r w:rsidR="00745B07">
        <w:rPr>
          <w:rFonts w:ascii="Arial" w:hAnsi="Arial" w:cs="Arial"/>
          <w:bCs/>
          <w:spacing w:val="3"/>
        </w:rPr>
        <w:t>2</w:t>
      </w:r>
      <w:r w:rsidR="00ED53C6">
        <w:rPr>
          <w:rFonts w:ascii="Arial" w:hAnsi="Arial" w:cs="Arial"/>
          <w:bCs/>
          <w:spacing w:val="3"/>
        </w:rPr>
        <w:t>+</w:t>
      </w:r>
      <w:r w:rsidR="009B118E">
        <w:rPr>
          <w:rFonts w:ascii="Arial" w:hAnsi="Arial" w:cs="Arial"/>
          <w:bCs/>
          <w:spacing w:val="3"/>
        </w:rPr>
        <w:t xml:space="preserve">CD8+ T cells. </w:t>
      </w:r>
      <w:r w:rsidR="00745B07" w:rsidRPr="00F90EC3">
        <w:rPr>
          <w:rFonts w:ascii="Arial" w:hAnsi="Arial" w:cs="Arial"/>
          <w:bCs/>
          <w:spacing w:val="3"/>
        </w:rPr>
        <w:t>The data were shown as the fold change relative to WT</w:t>
      </w:r>
      <w:r w:rsidR="00745B07">
        <w:rPr>
          <w:rFonts w:ascii="Arial" w:hAnsi="Arial" w:cs="Arial"/>
          <w:bCs/>
          <w:spacing w:val="3"/>
        </w:rPr>
        <w:t xml:space="preserve"> in TILs, spleen and peripheral blood</w:t>
      </w:r>
      <w:r w:rsidR="00745B07" w:rsidRPr="00F90EC3">
        <w:rPr>
          <w:rFonts w:ascii="Arial" w:hAnsi="Arial" w:cs="Arial"/>
          <w:bCs/>
          <w:spacing w:val="3"/>
        </w:rPr>
        <w:t>.</w:t>
      </w:r>
      <w:r w:rsidR="00745B07">
        <w:rPr>
          <w:rFonts w:ascii="Arial" w:hAnsi="Arial" w:cs="Arial"/>
          <w:bCs/>
          <w:spacing w:val="3"/>
        </w:rPr>
        <w:t xml:space="preserve"> </w:t>
      </w:r>
      <w:r w:rsidR="009B118E" w:rsidRPr="009236C9">
        <w:rPr>
          <w:rFonts w:ascii="Arial" w:hAnsi="Arial" w:cs="Arial"/>
          <w:bCs/>
          <w:spacing w:val="3"/>
        </w:rPr>
        <w:t>Data were shown as mean ± S.D; n=</w:t>
      </w:r>
      <w:r w:rsidR="00356C30" w:rsidRPr="00356C30">
        <w:rPr>
          <w:rFonts w:ascii="Arial" w:hAnsi="Arial" w:cs="Arial" w:hint="eastAsia"/>
          <w:bCs/>
          <w:spacing w:val="3"/>
        </w:rPr>
        <w:t>6-11</w:t>
      </w:r>
      <w:r w:rsidR="009B118E" w:rsidRPr="00356C30">
        <w:rPr>
          <w:rFonts w:ascii="Arial" w:hAnsi="Arial" w:cs="Arial"/>
          <w:bCs/>
          <w:spacing w:val="3"/>
        </w:rPr>
        <w:t xml:space="preserve">, </w:t>
      </w:r>
      <w:r w:rsidR="009B118E">
        <w:rPr>
          <w:rFonts w:ascii="Arial" w:hAnsi="Arial" w:cs="Arial"/>
          <w:bCs/>
          <w:spacing w:val="3"/>
        </w:rPr>
        <w:t xml:space="preserve">* </w:t>
      </w:r>
      <w:r w:rsidR="00D737ED" w:rsidRPr="001361B1">
        <w:rPr>
          <w:rFonts w:ascii="Arial" w:hAnsi="Arial" w:cs="Arial"/>
          <w:bCs/>
          <w:i/>
          <w:iCs/>
          <w:spacing w:val="3"/>
        </w:rPr>
        <w:t>P</w:t>
      </w:r>
      <w:r w:rsidR="00D737ED">
        <w:rPr>
          <w:rFonts w:ascii="Arial" w:hAnsi="Arial" w:cs="Arial"/>
          <w:bCs/>
          <w:spacing w:val="3"/>
        </w:rPr>
        <w:t xml:space="preserve"> </w:t>
      </w:r>
      <w:r w:rsidR="009B118E">
        <w:rPr>
          <w:rFonts w:ascii="Arial" w:hAnsi="Arial" w:cs="Arial"/>
          <w:bCs/>
          <w:spacing w:val="3"/>
        </w:rPr>
        <w:t xml:space="preserve">&lt; 0.05, </w:t>
      </w:r>
      <w:r w:rsidR="009B118E" w:rsidRPr="009236C9">
        <w:rPr>
          <w:rFonts w:ascii="Arial" w:hAnsi="Arial" w:cs="Arial"/>
          <w:bCs/>
          <w:spacing w:val="3"/>
        </w:rPr>
        <w:t>by two-tailed Student’s t-test.</w:t>
      </w:r>
    </w:p>
    <w:p w14:paraId="06925EA3" w14:textId="3D0ACFF3" w:rsidR="009B118E" w:rsidRPr="009236C9" w:rsidRDefault="00F763AB" w:rsidP="009B118E">
      <w:pPr>
        <w:spacing w:line="360" w:lineRule="auto"/>
        <w:rPr>
          <w:rFonts w:ascii="Arial" w:hAnsi="Arial" w:cs="Arial"/>
          <w:bCs/>
          <w:spacing w:val="3"/>
        </w:rPr>
      </w:pPr>
      <w:r>
        <w:rPr>
          <w:rFonts w:ascii="Arial" w:hAnsi="Arial" w:cs="Arial"/>
          <w:bCs/>
          <w:spacing w:val="3"/>
        </w:rPr>
        <w:t>E</w:t>
      </w:r>
      <w:r w:rsidR="009B118E">
        <w:rPr>
          <w:rFonts w:ascii="Arial" w:hAnsi="Arial" w:cs="Arial"/>
          <w:bCs/>
          <w:spacing w:val="3"/>
        </w:rPr>
        <w:t>. Percentage of endogenous</w:t>
      </w:r>
      <w:r w:rsidR="009B118E" w:rsidRPr="009B118E">
        <w:rPr>
          <w:rFonts w:ascii="Arial" w:hAnsi="Arial" w:cs="Arial"/>
          <w:bCs/>
          <w:spacing w:val="3"/>
        </w:rPr>
        <w:t xml:space="preserve"> </w:t>
      </w:r>
      <w:r w:rsidR="009B118E">
        <w:rPr>
          <w:rFonts w:ascii="Arial" w:hAnsi="Arial" w:cs="Arial"/>
          <w:bCs/>
          <w:spacing w:val="3"/>
        </w:rPr>
        <w:t xml:space="preserve">CD45.1+CD8+ T cells distribution in tumor (TILs), spleen (SPL) and peripheral blood (PB) in recipient mice transferred with WT (left) and Tet2KO (right) </w:t>
      </w:r>
      <w:r w:rsidR="00ED53C6">
        <w:rPr>
          <w:rFonts w:ascii="Arial" w:hAnsi="Arial" w:cs="Arial"/>
          <w:bCs/>
          <w:spacing w:val="3"/>
        </w:rPr>
        <w:t>CD45.</w:t>
      </w:r>
      <w:r w:rsidR="00745B07">
        <w:rPr>
          <w:rFonts w:ascii="Arial" w:hAnsi="Arial" w:cs="Arial"/>
          <w:bCs/>
          <w:spacing w:val="3"/>
        </w:rPr>
        <w:t>2</w:t>
      </w:r>
      <w:r w:rsidR="00ED53C6">
        <w:rPr>
          <w:rFonts w:ascii="Arial" w:hAnsi="Arial" w:cs="Arial"/>
          <w:bCs/>
          <w:spacing w:val="3"/>
        </w:rPr>
        <w:t>+</w:t>
      </w:r>
      <w:r w:rsidR="009B118E">
        <w:rPr>
          <w:rFonts w:ascii="Arial" w:hAnsi="Arial" w:cs="Arial"/>
          <w:bCs/>
          <w:spacing w:val="3"/>
        </w:rPr>
        <w:t xml:space="preserve">CD8+ T cells. </w:t>
      </w:r>
      <w:r w:rsidR="009B118E" w:rsidRPr="009236C9">
        <w:rPr>
          <w:rFonts w:ascii="Arial" w:hAnsi="Arial" w:cs="Arial"/>
          <w:bCs/>
          <w:spacing w:val="3"/>
        </w:rPr>
        <w:t>Data were shown as mean ± S.D; n=</w:t>
      </w:r>
      <w:r w:rsidR="00356C30">
        <w:rPr>
          <w:rFonts w:ascii="Arial" w:hAnsi="Arial" w:cs="Arial" w:hint="eastAsia"/>
          <w:bCs/>
          <w:spacing w:val="3"/>
        </w:rPr>
        <w:t>6-11</w:t>
      </w:r>
      <w:r w:rsidR="009B118E">
        <w:rPr>
          <w:rFonts w:ascii="Arial" w:hAnsi="Arial" w:cs="Arial"/>
          <w:bCs/>
          <w:spacing w:val="3"/>
        </w:rPr>
        <w:t xml:space="preserve">. </w:t>
      </w:r>
    </w:p>
    <w:p w14:paraId="38454CFC" w14:textId="77777777" w:rsidR="002C3108" w:rsidRDefault="002C3108" w:rsidP="006D2855">
      <w:pPr>
        <w:spacing w:line="360" w:lineRule="auto"/>
        <w:rPr>
          <w:rFonts w:ascii="Arial" w:hAnsi="Arial" w:cs="Arial"/>
          <w:b/>
        </w:rPr>
      </w:pPr>
    </w:p>
    <w:p w14:paraId="55A73B1C" w14:textId="54788870" w:rsidR="006D2855" w:rsidRDefault="006D2855" w:rsidP="00916A9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S2. Tet2</w:t>
      </w:r>
      <w:r w:rsidR="00D737E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deficient TILs exhibit enhanced </w:t>
      </w:r>
      <w:r>
        <w:rPr>
          <w:rFonts w:ascii="Arial" w:hAnsi="Arial" w:cs="Arial" w:hint="eastAsia"/>
          <w:b/>
        </w:rPr>
        <w:t>immune</w:t>
      </w:r>
      <w:r>
        <w:rPr>
          <w:rFonts w:ascii="Arial" w:hAnsi="Arial" w:cs="Arial"/>
          <w:b/>
        </w:rPr>
        <w:t xml:space="preserve"> </w:t>
      </w:r>
      <w:r w:rsidR="00D737ED">
        <w:rPr>
          <w:rFonts w:ascii="Arial" w:hAnsi="Arial" w:cs="Arial"/>
          <w:b/>
        </w:rPr>
        <w:t xml:space="preserve">response </w:t>
      </w:r>
      <w:r>
        <w:rPr>
          <w:rFonts w:ascii="Arial" w:hAnsi="Arial" w:cs="Arial"/>
          <w:b/>
        </w:rPr>
        <w:t xml:space="preserve">and cytotoxicity at </w:t>
      </w:r>
      <w:r w:rsidR="00D737ED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early stage</w:t>
      </w:r>
      <w:r w:rsidR="00D737ED">
        <w:rPr>
          <w:rFonts w:ascii="Arial" w:hAnsi="Arial" w:cs="Arial"/>
          <w:b/>
        </w:rPr>
        <w:t xml:space="preserve"> of tumor onset</w:t>
      </w:r>
      <w:r>
        <w:rPr>
          <w:rFonts w:ascii="Arial" w:hAnsi="Arial" w:cs="Arial"/>
          <w:b/>
        </w:rPr>
        <w:t xml:space="preserve">. </w:t>
      </w:r>
    </w:p>
    <w:p w14:paraId="0B9379AA" w14:textId="1DB162F1" w:rsidR="00ED53C6" w:rsidRPr="001153AD" w:rsidRDefault="00ED53C6" w:rsidP="001361B1">
      <w:pPr>
        <w:spacing w:after="0" w:line="360" w:lineRule="auto"/>
        <w:rPr>
          <w:rFonts w:ascii="Arial" w:hAnsi="Arial" w:cs="Arial"/>
        </w:rPr>
      </w:pPr>
      <w:r w:rsidRPr="001153AD">
        <w:rPr>
          <w:rFonts w:ascii="Arial" w:hAnsi="Arial" w:cs="Arial"/>
        </w:rPr>
        <w:t>A</w:t>
      </w:r>
      <w:r>
        <w:rPr>
          <w:rFonts w:ascii="Arial" w:hAnsi="Arial" w:cs="Arial"/>
        </w:rPr>
        <w:t>-B</w:t>
      </w:r>
      <w:r w:rsidRPr="001153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Quantification of flow cytometry analysis </w:t>
      </w:r>
      <w:r w:rsidR="004A32A7">
        <w:rPr>
          <w:rFonts w:ascii="Arial" w:hAnsi="Arial" w:cs="Arial"/>
        </w:rPr>
        <w:t xml:space="preserve">results </w:t>
      </w:r>
      <w:r>
        <w:rPr>
          <w:rFonts w:ascii="Arial" w:hAnsi="Arial" w:cs="Arial"/>
        </w:rPr>
        <w:t xml:space="preserve">of corresponding markers in </w:t>
      </w:r>
      <w:r>
        <w:rPr>
          <w:rFonts w:ascii="Arial" w:hAnsi="Arial" w:cs="Arial"/>
          <w:bCs/>
          <w:spacing w:val="3"/>
        </w:rPr>
        <w:t>endogenous</w:t>
      </w:r>
      <w:r w:rsidRPr="009B118E">
        <w:rPr>
          <w:rFonts w:ascii="Arial" w:hAnsi="Arial" w:cs="Arial"/>
          <w:bCs/>
          <w:spacing w:val="3"/>
        </w:rPr>
        <w:t xml:space="preserve"> </w:t>
      </w:r>
      <w:r>
        <w:rPr>
          <w:rFonts w:ascii="Arial" w:hAnsi="Arial" w:cs="Arial"/>
          <w:bCs/>
          <w:spacing w:val="3"/>
        </w:rPr>
        <w:t>CD45.1+CD8+ T cells in recipient mice transferred with WT (black</w:t>
      </w:r>
      <w:r w:rsidRPr="00356C30">
        <w:rPr>
          <w:rFonts w:ascii="Arial" w:hAnsi="Arial" w:cs="Arial"/>
          <w:bCs/>
          <w:spacing w:val="3"/>
        </w:rPr>
        <w:t>) and Tet2KO (red) CD45.2+CD8+ T cells for 3 or 8 days. Data were shown as mean ± S.D; n</w:t>
      </w:r>
      <w:r w:rsidR="00AE3304">
        <w:rPr>
          <w:rFonts w:ascii="Arial" w:hAnsi="Arial" w:cs="Arial"/>
          <w:bCs/>
          <w:spacing w:val="3"/>
        </w:rPr>
        <w:t xml:space="preserve"> </w:t>
      </w:r>
      <w:r w:rsidRPr="00356C30">
        <w:rPr>
          <w:rFonts w:ascii="Arial" w:hAnsi="Arial" w:cs="Arial"/>
          <w:bCs/>
          <w:spacing w:val="3"/>
        </w:rPr>
        <w:t>=</w:t>
      </w:r>
      <w:r w:rsidR="00AE3304">
        <w:rPr>
          <w:rFonts w:ascii="Arial" w:hAnsi="Arial" w:cs="Arial"/>
          <w:bCs/>
          <w:spacing w:val="3"/>
        </w:rPr>
        <w:t xml:space="preserve"> </w:t>
      </w:r>
      <w:r w:rsidR="00356C30" w:rsidRPr="00356C30">
        <w:rPr>
          <w:rFonts w:ascii="Arial" w:hAnsi="Arial" w:cs="Arial" w:hint="eastAsia"/>
          <w:bCs/>
          <w:spacing w:val="3"/>
        </w:rPr>
        <w:t>7-22</w:t>
      </w:r>
      <w:r w:rsidRPr="00356C30">
        <w:rPr>
          <w:rFonts w:ascii="Arial" w:hAnsi="Arial" w:cs="Arial"/>
          <w:bCs/>
          <w:spacing w:val="3"/>
        </w:rPr>
        <w:t xml:space="preserve">, * </w:t>
      </w:r>
      <w:r w:rsidR="00AE3304" w:rsidRPr="001361B1">
        <w:rPr>
          <w:rFonts w:ascii="Arial" w:hAnsi="Arial" w:cs="Arial"/>
          <w:bCs/>
          <w:i/>
          <w:iCs/>
          <w:spacing w:val="3"/>
        </w:rPr>
        <w:t>P</w:t>
      </w:r>
      <w:r w:rsidR="00AE3304" w:rsidRPr="00356C30">
        <w:rPr>
          <w:rFonts w:ascii="Arial" w:hAnsi="Arial" w:cs="Arial"/>
          <w:bCs/>
          <w:spacing w:val="3"/>
        </w:rPr>
        <w:t xml:space="preserve"> </w:t>
      </w:r>
      <w:r w:rsidRPr="00356C30">
        <w:rPr>
          <w:rFonts w:ascii="Arial" w:hAnsi="Arial" w:cs="Arial"/>
          <w:bCs/>
          <w:spacing w:val="3"/>
        </w:rPr>
        <w:t xml:space="preserve">&lt; 0.05, *** </w:t>
      </w:r>
      <w:r w:rsidR="00AE3304">
        <w:rPr>
          <w:rFonts w:ascii="Arial" w:hAnsi="Arial" w:cs="Arial"/>
          <w:bCs/>
          <w:i/>
          <w:iCs/>
          <w:spacing w:val="3"/>
        </w:rPr>
        <w:t>P</w:t>
      </w:r>
      <w:r w:rsidR="00AE3304" w:rsidRPr="001361B1">
        <w:rPr>
          <w:rFonts w:ascii="Arial" w:hAnsi="Arial" w:cs="Arial"/>
          <w:bCs/>
          <w:i/>
          <w:iCs/>
          <w:spacing w:val="3"/>
        </w:rPr>
        <w:t xml:space="preserve"> </w:t>
      </w:r>
      <w:r w:rsidRPr="00356C30">
        <w:rPr>
          <w:rFonts w:ascii="Arial" w:hAnsi="Arial" w:cs="Arial"/>
          <w:bCs/>
          <w:spacing w:val="3"/>
        </w:rPr>
        <w:t xml:space="preserve">&lt; 0.0001, by two-tailed Student’s </w:t>
      </w:r>
      <w:r w:rsidRPr="001361B1">
        <w:rPr>
          <w:rFonts w:ascii="Arial" w:hAnsi="Arial" w:cs="Arial"/>
          <w:bCs/>
          <w:i/>
          <w:iCs/>
          <w:spacing w:val="3"/>
        </w:rPr>
        <w:t>t</w:t>
      </w:r>
      <w:r w:rsidRPr="00356C30">
        <w:rPr>
          <w:rFonts w:ascii="Arial" w:hAnsi="Arial" w:cs="Arial"/>
          <w:bCs/>
          <w:spacing w:val="3"/>
        </w:rPr>
        <w:t>-test.</w:t>
      </w:r>
    </w:p>
    <w:p w14:paraId="33AF3617" w14:textId="732EE06A" w:rsidR="00ED53C6" w:rsidRDefault="00ED53C6" w:rsidP="00C143D0">
      <w:pPr>
        <w:spacing w:after="0" w:line="360" w:lineRule="auto"/>
        <w:rPr>
          <w:rFonts w:ascii="Arial" w:hAnsi="Arial" w:cs="Arial"/>
        </w:rPr>
      </w:pPr>
      <w:r w:rsidRPr="00645F24">
        <w:rPr>
          <w:rFonts w:ascii="Arial" w:hAnsi="Arial" w:cs="Arial"/>
        </w:rPr>
        <w:t xml:space="preserve">C. </w:t>
      </w:r>
      <w:r w:rsidR="00AE3304">
        <w:rPr>
          <w:rFonts w:ascii="Arial" w:hAnsi="Arial" w:cs="Arial"/>
        </w:rPr>
        <w:t>The ga</w:t>
      </w:r>
      <w:r w:rsidR="00D15C5D">
        <w:rPr>
          <w:rFonts w:ascii="Arial" w:hAnsi="Arial" w:cs="Arial"/>
        </w:rPr>
        <w:t xml:space="preserve">ting strategy of flow cytometry analysis to measure </w:t>
      </w:r>
      <w:r w:rsidR="00AE3304">
        <w:rPr>
          <w:rFonts w:ascii="Arial" w:hAnsi="Arial" w:cs="Arial"/>
        </w:rPr>
        <w:t xml:space="preserve">the </w:t>
      </w:r>
      <w:r w:rsidR="00D15C5D">
        <w:rPr>
          <w:rFonts w:ascii="Arial" w:hAnsi="Arial" w:cs="Arial"/>
        </w:rPr>
        <w:t xml:space="preserve">cytotoxicity of WT and Tet2KO CD8+ T cells in vitro. The percentage of </w:t>
      </w:r>
      <w:r w:rsidR="00AE3304">
        <w:rPr>
          <w:rFonts w:ascii="Arial" w:hAnsi="Arial" w:cs="Arial"/>
        </w:rPr>
        <w:t xml:space="preserve">caspase </w:t>
      </w:r>
      <w:r w:rsidR="00D15C5D">
        <w:rPr>
          <w:rFonts w:ascii="Arial" w:hAnsi="Arial" w:cs="Arial"/>
        </w:rPr>
        <w:t xml:space="preserve">3/7 positive B16-OVA cells were used to indicate </w:t>
      </w:r>
      <w:r w:rsidR="00AE3304">
        <w:rPr>
          <w:rFonts w:ascii="Arial" w:hAnsi="Arial" w:cs="Arial"/>
        </w:rPr>
        <w:t xml:space="preserve">the </w:t>
      </w:r>
      <w:r w:rsidR="004D6DFC">
        <w:rPr>
          <w:rFonts w:ascii="Arial" w:hAnsi="Arial" w:cs="Arial"/>
        </w:rPr>
        <w:t xml:space="preserve">degrees </w:t>
      </w:r>
      <w:r w:rsidR="00AE3304">
        <w:rPr>
          <w:rFonts w:ascii="Arial" w:hAnsi="Arial" w:cs="Arial"/>
        </w:rPr>
        <w:t xml:space="preserve">of </w:t>
      </w:r>
      <w:r w:rsidR="004D6DFC">
        <w:rPr>
          <w:rFonts w:ascii="Arial" w:hAnsi="Arial" w:cs="Arial"/>
        </w:rPr>
        <w:t>t</w:t>
      </w:r>
      <w:r w:rsidR="00D15C5D">
        <w:rPr>
          <w:rFonts w:ascii="Arial" w:hAnsi="Arial" w:cs="Arial"/>
        </w:rPr>
        <w:t xml:space="preserve">umor cell death. </w:t>
      </w:r>
    </w:p>
    <w:p w14:paraId="6864499A" w14:textId="01FB5CBA" w:rsidR="00C143D0" w:rsidRPr="00645F24" w:rsidRDefault="00C143D0" w:rsidP="00D15C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D-E. </w:t>
      </w:r>
      <w:bookmarkStart w:id="2" w:name="_Hlk43722750"/>
      <w:r w:rsidR="004C2848">
        <w:rPr>
          <w:rFonts w:ascii="Arial" w:hAnsi="Arial" w:cs="Arial"/>
        </w:rPr>
        <w:t>C</w:t>
      </w:r>
      <w:r>
        <w:rPr>
          <w:rFonts w:ascii="Arial" w:hAnsi="Arial" w:cs="Arial"/>
        </w:rPr>
        <w:t>ell cycle (</w:t>
      </w:r>
      <w:proofErr w:type="spellStart"/>
      <w:r w:rsidR="004C2848">
        <w:rPr>
          <w:rFonts w:ascii="Arial" w:hAnsi="Arial" w:cs="Arial"/>
        </w:rPr>
        <w:t>Brd</w:t>
      </w:r>
      <w:proofErr w:type="spellEnd"/>
      <w:r w:rsidR="004C2848">
        <w:rPr>
          <w:rFonts w:ascii="Arial" w:hAnsi="Arial" w:cs="Arial"/>
        </w:rPr>
        <w:t xml:space="preserve">-U + 7-AAD staining; </w:t>
      </w:r>
      <w:r>
        <w:rPr>
          <w:rFonts w:ascii="Arial" w:hAnsi="Arial" w:cs="Arial"/>
        </w:rPr>
        <w:t>D) and cell proliferation analysis (</w:t>
      </w:r>
      <w:r w:rsidR="004C2848">
        <w:rPr>
          <w:rFonts w:ascii="Arial" w:hAnsi="Arial" w:cs="Arial"/>
        </w:rPr>
        <w:t xml:space="preserve">Ki-67 staining; </w:t>
      </w:r>
      <w:r>
        <w:rPr>
          <w:rFonts w:ascii="Arial" w:hAnsi="Arial" w:cs="Arial"/>
        </w:rPr>
        <w:t>E) in WT and Tet2KO CD8+</w:t>
      </w:r>
      <w:r w:rsidR="00367CC1">
        <w:rPr>
          <w:rFonts w:ascii="Arial" w:hAnsi="Arial" w:cs="Arial"/>
        </w:rPr>
        <w:t>OTI</w:t>
      </w:r>
      <w:r>
        <w:rPr>
          <w:rFonts w:ascii="Arial" w:hAnsi="Arial" w:cs="Arial"/>
        </w:rPr>
        <w:t xml:space="preserve"> T cell</w:t>
      </w:r>
      <w:r w:rsidR="004C28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co-cultured with B16-OVA cells for 4 hrs. </w:t>
      </w:r>
      <w:r w:rsidRPr="00B45AC2">
        <w:rPr>
          <w:rFonts w:ascii="Arial" w:hAnsi="Arial" w:cs="Arial"/>
          <w:bCs/>
          <w:spacing w:val="3"/>
        </w:rPr>
        <w:t>Data were shown as mean ± S.D; n=</w:t>
      </w:r>
      <w:r w:rsidRPr="00B45AC2">
        <w:rPr>
          <w:rFonts w:ascii="Arial" w:hAnsi="Arial" w:cs="Arial" w:hint="eastAsia"/>
          <w:bCs/>
          <w:spacing w:val="3"/>
        </w:rPr>
        <w:t>3</w:t>
      </w:r>
      <w:r w:rsidRPr="00B45AC2">
        <w:rPr>
          <w:rFonts w:ascii="Arial" w:hAnsi="Arial" w:cs="Arial"/>
          <w:bCs/>
          <w:spacing w:val="3"/>
        </w:rPr>
        <w:t xml:space="preserve">, * </w:t>
      </w:r>
      <w:r w:rsidRPr="00B45AC2">
        <w:rPr>
          <w:rFonts w:ascii="Arial" w:hAnsi="Arial" w:cs="Arial"/>
          <w:bCs/>
          <w:i/>
          <w:iCs/>
          <w:spacing w:val="3"/>
        </w:rPr>
        <w:t>P</w:t>
      </w:r>
      <w:r w:rsidRPr="00B45AC2">
        <w:rPr>
          <w:rFonts w:ascii="Arial" w:hAnsi="Arial" w:cs="Arial"/>
          <w:bCs/>
          <w:spacing w:val="3"/>
        </w:rPr>
        <w:t xml:space="preserve"> &lt; 0.05, **</w:t>
      </w:r>
      <w:r>
        <w:rPr>
          <w:rFonts w:ascii="Arial" w:hAnsi="Arial" w:cs="Arial"/>
          <w:bCs/>
          <w:spacing w:val="3"/>
        </w:rPr>
        <w:t>*</w:t>
      </w:r>
      <w:r w:rsidRPr="00B45AC2">
        <w:rPr>
          <w:rFonts w:ascii="Arial" w:hAnsi="Arial" w:cs="Arial"/>
          <w:bCs/>
          <w:spacing w:val="3"/>
        </w:rPr>
        <w:t xml:space="preserve"> </w:t>
      </w:r>
      <w:r w:rsidRPr="00B45AC2">
        <w:rPr>
          <w:rFonts w:ascii="Arial" w:hAnsi="Arial" w:cs="Arial"/>
          <w:bCs/>
          <w:i/>
          <w:iCs/>
          <w:spacing w:val="3"/>
        </w:rPr>
        <w:t>P</w:t>
      </w:r>
      <w:r w:rsidRPr="00B45AC2" w:rsidDel="00573F7F">
        <w:rPr>
          <w:rFonts w:ascii="Arial" w:hAnsi="Arial" w:cs="Arial"/>
          <w:bCs/>
          <w:spacing w:val="3"/>
        </w:rPr>
        <w:t xml:space="preserve"> </w:t>
      </w:r>
      <w:r w:rsidRPr="00B45AC2">
        <w:rPr>
          <w:rFonts w:ascii="Arial" w:hAnsi="Arial" w:cs="Arial"/>
          <w:bCs/>
          <w:spacing w:val="3"/>
        </w:rPr>
        <w:t>&lt; 0.00</w:t>
      </w:r>
      <w:r>
        <w:rPr>
          <w:rFonts w:ascii="Arial" w:hAnsi="Arial" w:cs="Arial"/>
          <w:bCs/>
          <w:spacing w:val="3"/>
        </w:rPr>
        <w:t>01</w:t>
      </w:r>
      <w:r w:rsidRPr="00B45AC2">
        <w:rPr>
          <w:rFonts w:ascii="Arial" w:hAnsi="Arial" w:cs="Arial"/>
          <w:bCs/>
          <w:spacing w:val="3"/>
        </w:rPr>
        <w:t xml:space="preserve">, by two-tailed Student’s </w:t>
      </w:r>
      <w:r w:rsidRPr="00B45AC2">
        <w:rPr>
          <w:rFonts w:ascii="Arial" w:hAnsi="Arial" w:cs="Arial"/>
          <w:bCs/>
          <w:i/>
          <w:iCs/>
          <w:spacing w:val="3"/>
        </w:rPr>
        <w:t>t</w:t>
      </w:r>
      <w:r w:rsidRPr="00B45AC2">
        <w:rPr>
          <w:rFonts w:ascii="Arial" w:hAnsi="Arial" w:cs="Arial"/>
          <w:bCs/>
          <w:spacing w:val="3"/>
        </w:rPr>
        <w:t>-test.</w:t>
      </w:r>
      <w:bookmarkEnd w:id="2"/>
    </w:p>
    <w:p w14:paraId="63BAE732" w14:textId="77777777" w:rsidR="002C3108" w:rsidRDefault="002C3108" w:rsidP="0083323C">
      <w:pPr>
        <w:spacing w:line="360" w:lineRule="auto"/>
        <w:rPr>
          <w:rFonts w:ascii="Arial" w:hAnsi="Arial" w:cs="Arial"/>
          <w:b/>
        </w:rPr>
      </w:pPr>
    </w:p>
    <w:p w14:paraId="14445703" w14:textId="77777777" w:rsidR="0083323C" w:rsidRDefault="0083323C" w:rsidP="00916A9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S3. </w:t>
      </w:r>
      <w:proofErr w:type="spellStart"/>
      <w:r>
        <w:rPr>
          <w:rFonts w:ascii="Arial" w:hAnsi="Arial" w:cs="Arial"/>
          <w:b/>
        </w:rPr>
        <w:t>scRNA</w:t>
      </w:r>
      <w:proofErr w:type="spellEnd"/>
      <w:r>
        <w:rPr>
          <w:rFonts w:ascii="Arial" w:hAnsi="Arial" w:cs="Arial"/>
          <w:b/>
        </w:rPr>
        <w:t xml:space="preserve">-seq analysis of WT and Tet2KO TILs. </w:t>
      </w:r>
    </w:p>
    <w:p w14:paraId="1CCACC82" w14:textId="40A62005" w:rsidR="009B118E" w:rsidRDefault="0083323C" w:rsidP="001361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66550" w:rsidRPr="00966550">
        <w:rPr>
          <w:rFonts w:ascii="Arial" w:hAnsi="Arial" w:cs="Arial"/>
        </w:rPr>
        <w:t xml:space="preserve">Quality control of </w:t>
      </w:r>
      <w:proofErr w:type="spellStart"/>
      <w:r w:rsidR="00966550" w:rsidRPr="00966550">
        <w:rPr>
          <w:rFonts w:ascii="Arial" w:hAnsi="Arial" w:cs="Arial"/>
        </w:rPr>
        <w:t>scRNA</w:t>
      </w:r>
      <w:proofErr w:type="spellEnd"/>
      <w:r w:rsidR="00966550" w:rsidRPr="00966550">
        <w:rPr>
          <w:rFonts w:ascii="Arial" w:hAnsi="Arial" w:cs="Arial"/>
        </w:rPr>
        <w:t xml:space="preserve">-seq data. Violin plots </w:t>
      </w:r>
      <w:r w:rsidR="001723B2">
        <w:rPr>
          <w:rFonts w:ascii="Arial" w:hAnsi="Arial" w:cs="Arial"/>
        </w:rPr>
        <w:t>were used to indicate</w:t>
      </w:r>
      <w:r w:rsidR="00966550" w:rsidRPr="00966550">
        <w:rPr>
          <w:rFonts w:ascii="Arial" w:hAnsi="Arial" w:cs="Arial"/>
        </w:rPr>
        <w:t xml:space="preserve"> the total number of genes, UMIs</w:t>
      </w:r>
      <w:r w:rsidR="00966550">
        <w:rPr>
          <w:rFonts w:ascii="Arial" w:hAnsi="Arial" w:cs="Arial"/>
        </w:rPr>
        <w:t xml:space="preserve"> (</w:t>
      </w:r>
      <w:r w:rsidR="00966550" w:rsidRPr="00966550">
        <w:rPr>
          <w:rFonts w:ascii="Arial" w:hAnsi="Arial" w:cs="Arial"/>
        </w:rPr>
        <w:t>unique molecular identifier</w:t>
      </w:r>
      <w:r w:rsidR="00966550">
        <w:rPr>
          <w:rFonts w:ascii="Arial" w:hAnsi="Arial" w:cs="Arial"/>
        </w:rPr>
        <w:t>)</w:t>
      </w:r>
      <w:r w:rsidR="00966550" w:rsidRPr="00966550">
        <w:rPr>
          <w:rFonts w:ascii="Arial" w:hAnsi="Arial" w:cs="Arial"/>
        </w:rPr>
        <w:t xml:space="preserve">, and the percentage of mitochondrial genes in four experimental groups. </w:t>
      </w:r>
      <w:proofErr w:type="spellStart"/>
      <w:r w:rsidR="00966550" w:rsidRPr="00966550">
        <w:rPr>
          <w:rFonts w:ascii="Arial" w:hAnsi="Arial" w:cs="Arial"/>
        </w:rPr>
        <w:t>nGene</w:t>
      </w:r>
      <w:proofErr w:type="spellEnd"/>
      <w:r w:rsidR="00966550" w:rsidRPr="00966550">
        <w:rPr>
          <w:rFonts w:ascii="Arial" w:hAnsi="Arial" w:cs="Arial"/>
        </w:rPr>
        <w:t xml:space="preserve">: the number of genes; </w:t>
      </w:r>
      <w:proofErr w:type="spellStart"/>
      <w:r w:rsidR="00966550" w:rsidRPr="00966550">
        <w:rPr>
          <w:rFonts w:ascii="Arial" w:hAnsi="Arial" w:cs="Arial"/>
        </w:rPr>
        <w:t>nUMI</w:t>
      </w:r>
      <w:proofErr w:type="spellEnd"/>
      <w:r w:rsidR="00966550" w:rsidRPr="00966550">
        <w:rPr>
          <w:rFonts w:ascii="Arial" w:hAnsi="Arial" w:cs="Arial"/>
        </w:rPr>
        <w:t>, the number of unique molecular identifier.</w:t>
      </w:r>
    </w:p>
    <w:p w14:paraId="2B145678" w14:textId="06FF7D19" w:rsidR="00EB58BA" w:rsidRPr="00A3660D" w:rsidRDefault="008D7A6F" w:rsidP="00EB58BA">
      <w:pPr>
        <w:spacing w:before="8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B. </w:t>
      </w:r>
      <w:r w:rsidR="00EB58BA" w:rsidRPr="00A3660D">
        <w:rPr>
          <w:rFonts w:ascii="Arial" w:hAnsi="Arial" w:cs="Arial"/>
        </w:rPr>
        <w:t xml:space="preserve">List of markers used to identify the cell types using </w:t>
      </w:r>
      <w:proofErr w:type="spellStart"/>
      <w:r w:rsidR="00EB58BA" w:rsidRPr="00A3660D">
        <w:rPr>
          <w:rFonts w:ascii="Arial" w:hAnsi="Arial" w:cs="Arial"/>
        </w:rPr>
        <w:t>scRNA</w:t>
      </w:r>
      <w:proofErr w:type="spellEnd"/>
      <w:r w:rsidR="00EB58BA" w:rsidRPr="00A3660D">
        <w:rPr>
          <w:rFonts w:ascii="Arial" w:hAnsi="Arial" w:cs="Arial"/>
        </w:rPr>
        <w:t xml:space="preserve">-seq data in </w:t>
      </w:r>
      <w:r w:rsidR="00151D40">
        <w:rPr>
          <w:rFonts w:ascii="Arial" w:hAnsi="Arial" w:cs="Arial"/>
        </w:rPr>
        <w:t xml:space="preserve">the </w:t>
      </w:r>
      <w:r w:rsidR="00A1054A">
        <w:rPr>
          <w:rFonts w:ascii="Arial" w:hAnsi="Arial" w:cs="Arial"/>
        </w:rPr>
        <w:t xml:space="preserve">four </w:t>
      </w:r>
      <w:r w:rsidR="00151D40">
        <w:rPr>
          <w:rFonts w:ascii="Arial" w:hAnsi="Arial" w:cs="Arial"/>
        </w:rPr>
        <w:t xml:space="preserve">indicated </w:t>
      </w:r>
      <w:r w:rsidR="00A1054A">
        <w:rPr>
          <w:rFonts w:ascii="Arial" w:hAnsi="Arial" w:cs="Arial"/>
        </w:rPr>
        <w:t xml:space="preserve">experimental groups. CD63: melanoma cells; CD8a: CD8+ T cells; Adgre1: monocytes and macrophages. </w:t>
      </w:r>
    </w:p>
    <w:p w14:paraId="6FABE729" w14:textId="77777777" w:rsidR="002313DF" w:rsidRDefault="002313DF" w:rsidP="00B04999">
      <w:pPr>
        <w:spacing w:line="360" w:lineRule="auto"/>
        <w:rPr>
          <w:rFonts w:ascii="Arial" w:hAnsi="Arial" w:cs="Arial"/>
          <w:b/>
        </w:rPr>
      </w:pPr>
    </w:p>
    <w:p w14:paraId="0565090A" w14:textId="7937E07C" w:rsidR="00B04999" w:rsidRDefault="00DE72BA" w:rsidP="00916A98">
      <w:pPr>
        <w:spacing w:after="0" w:line="360" w:lineRule="auto"/>
        <w:rPr>
          <w:rFonts w:ascii="Arial" w:hAnsi="Arial" w:cs="Arial"/>
          <w:b/>
        </w:rPr>
      </w:pPr>
      <w:r w:rsidRPr="00B04999">
        <w:rPr>
          <w:rFonts w:ascii="Arial" w:hAnsi="Arial" w:cs="Arial"/>
          <w:b/>
        </w:rPr>
        <w:t xml:space="preserve">Figure S4. </w:t>
      </w:r>
      <w:r w:rsidR="00B04999" w:rsidRPr="00B04999">
        <w:rPr>
          <w:rFonts w:ascii="Arial" w:hAnsi="Arial" w:cs="Arial"/>
          <w:b/>
        </w:rPr>
        <w:t>Quality control of</w:t>
      </w:r>
      <w:r w:rsidR="00B04999">
        <w:rPr>
          <w:rFonts w:ascii="Arial" w:hAnsi="Arial" w:cs="Arial"/>
        </w:rPr>
        <w:t xml:space="preserve"> </w:t>
      </w:r>
      <w:r w:rsidR="00B04999">
        <w:rPr>
          <w:rFonts w:ascii="Arial" w:hAnsi="Arial" w:cs="Arial"/>
          <w:b/>
        </w:rPr>
        <w:t xml:space="preserve">RNA-seq and ATAC-seq analysis of WT and Tet2KO TILs. </w:t>
      </w:r>
    </w:p>
    <w:p w14:paraId="101880F4" w14:textId="77777777" w:rsidR="008D7A6F" w:rsidRDefault="00B04999" w:rsidP="001361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66550">
        <w:rPr>
          <w:rFonts w:ascii="Arial" w:hAnsi="Arial" w:cs="Arial"/>
        </w:rPr>
        <w:t xml:space="preserve">Heatmap representation of </w:t>
      </w:r>
      <w:r w:rsidR="00966550" w:rsidRPr="00966550">
        <w:rPr>
          <w:rFonts w:ascii="Arial" w:hAnsi="Arial" w:cs="Arial"/>
        </w:rPr>
        <w:t>Spearman’s correlation coefficients (SCC) between replicates of RNA-seq (left) and ATAC-seq (right) data collected in this study. The scale bar shown from white to red represents the range of SCC from 0.4 to 1.</w:t>
      </w:r>
    </w:p>
    <w:p w14:paraId="1717CC96" w14:textId="5B423EB7" w:rsidR="006B2A16" w:rsidRDefault="006B2A16" w:rsidP="002156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267BFF">
        <w:rPr>
          <w:rFonts w:ascii="Arial" w:hAnsi="Arial" w:cs="Arial"/>
        </w:rPr>
        <w:t xml:space="preserve"> The volcano plot</w:t>
      </w:r>
      <w:r w:rsidR="0032738E">
        <w:rPr>
          <w:rFonts w:ascii="Arial" w:hAnsi="Arial" w:cs="Arial"/>
        </w:rPr>
        <w:t>s</w:t>
      </w:r>
      <w:r w:rsidR="00267BFF">
        <w:rPr>
          <w:rFonts w:ascii="Arial" w:hAnsi="Arial" w:cs="Arial"/>
        </w:rPr>
        <w:t xml:space="preserve"> </w:t>
      </w:r>
      <w:r w:rsidR="0032738E">
        <w:rPr>
          <w:rFonts w:ascii="Arial" w:hAnsi="Arial" w:cs="Arial"/>
        </w:rPr>
        <w:t xml:space="preserve">illustrating </w:t>
      </w:r>
      <w:r w:rsidR="00267BFF">
        <w:rPr>
          <w:rFonts w:ascii="Arial" w:hAnsi="Arial" w:cs="Arial"/>
        </w:rPr>
        <w:t>differentia</w:t>
      </w:r>
      <w:r w:rsidR="0032738E">
        <w:rPr>
          <w:rFonts w:ascii="Arial" w:hAnsi="Arial" w:cs="Arial"/>
        </w:rPr>
        <w:t>l</w:t>
      </w:r>
      <w:r w:rsidR="00267BFF">
        <w:rPr>
          <w:rFonts w:ascii="Arial" w:hAnsi="Arial" w:cs="Arial"/>
        </w:rPr>
        <w:t>l</w:t>
      </w:r>
      <w:r w:rsidR="0032738E">
        <w:rPr>
          <w:rFonts w:ascii="Arial" w:hAnsi="Arial" w:cs="Arial"/>
        </w:rPr>
        <w:t>y</w:t>
      </w:r>
      <w:r w:rsidR="00267BFF">
        <w:rPr>
          <w:rFonts w:ascii="Arial" w:hAnsi="Arial" w:cs="Arial"/>
        </w:rPr>
        <w:t xml:space="preserve"> expressed genes </w:t>
      </w:r>
      <w:r w:rsidR="0032738E">
        <w:rPr>
          <w:rFonts w:ascii="Arial" w:hAnsi="Arial" w:cs="Arial"/>
        </w:rPr>
        <w:t xml:space="preserve">(DEGs; left) </w:t>
      </w:r>
      <w:r w:rsidR="00267BFF">
        <w:rPr>
          <w:rFonts w:ascii="Arial" w:hAnsi="Arial" w:cs="Arial"/>
        </w:rPr>
        <w:t xml:space="preserve">between day 0 and day 3 in WT and Tet2KO TILs. (right) The comparison between chromatin accessibility </w:t>
      </w:r>
      <w:r w:rsidR="004104E9">
        <w:rPr>
          <w:rFonts w:ascii="Arial" w:hAnsi="Arial" w:cs="Arial"/>
        </w:rPr>
        <w:t>and expression of</w:t>
      </w:r>
      <w:r w:rsidR="00267BFF">
        <w:rPr>
          <w:rFonts w:ascii="Arial" w:hAnsi="Arial" w:cs="Arial"/>
        </w:rPr>
        <w:t xml:space="preserve"> genes </w:t>
      </w:r>
      <w:r w:rsidR="00002F70">
        <w:rPr>
          <w:rFonts w:ascii="Arial" w:hAnsi="Arial" w:cs="Arial"/>
        </w:rPr>
        <w:t xml:space="preserve">that </w:t>
      </w:r>
      <w:r w:rsidR="00267BFF">
        <w:rPr>
          <w:rFonts w:ascii="Arial" w:hAnsi="Arial" w:cs="Arial"/>
        </w:rPr>
        <w:t>displayed increased (red) or decreased (blue) expression between WT (top) or Tet2KO (bottom) TILs</w:t>
      </w:r>
      <w:r w:rsidR="00002F70">
        <w:rPr>
          <w:rFonts w:ascii="Arial" w:hAnsi="Arial" w:cs="Arial"/>
        </w:rPr>
        <w:t>. TILs were</w:t>
      </w:r>
      <w:r w:rsidR="00267BFF">
        <w:rPr>
          <w:rFonts w:ascii="Arial" w:hAnsi="Arial" w:cs="Arial"/>
        </w:rPr>
        <w:t xml:space="preserve"> collected from day 0 to day 3 after </w:t>
      </w:r>
      <w:r w:rsidR="0032738E">
        <w:rPr>
          <w:rFonts w:ascii="Arial" w:hAnsi="Arial" w:cs="Arial"/>
        </w:rPr>
        <w:t>adoptive transfer</w:t>
      </w:r>
      <w:r w:rsidR="00267BFF">
        <w:rPr>
          <w:rFonts w:ascii="Arial" w:hAnsi="Arial" w:cs="Arial"/>
        </w:rPr>
        <w:t xml:space="preserve">. </w:t>
      </w:r>
    </w:p>
    <w:p w14:paraId="5A628DE3" w14:textId="402772A3" w:rsidR="006B2A16" w:rsidRPr="001361B1" w:rsidRDefault="00FB0C64" w:rsidP="001361B1">
      <w:pPr>
        <w:spacing w:after="0" w:line="360" w:lineRule="auto"/>
        <w:rPr>
          <w:rFonts w:ascii="Arial" w:hAnsi="Arial" w:cs="Arial"/>
        </w:rPr>
      </w:pPr>
      <w:bookmarkStart w:id="3" w:name="_Hlk42779792"/>
      <w:r>
        <w:rPr>
          <w:rFonts w:ascii="Arial" w:hAnsi="Arial" w:cs="Arial"/>
        </w:rPr>
        <w:t>C</w:t>
      </w:r>
      <w:r w:rsidR="006B2A16" w:rsidRPr="001361B1">
        <w:rPr>
          <w:rFonts w:ascii="Arial" w:hAnsi="Arial" w:cs="Arial"/>
        </w:rPr>
        <w:t>.</w:t>
      </w:r>
      <w:r w:rsidR="004104E9" w:rsidRPr="001361B1">
        <w:rPr>
          <w:rFonts w:ascii="Arial" w:hAnsi="Arial" w:cs="Arial"/>
        </w:rPr>
        <w:t xml:space="preserve"> Heatmap </w:t>
      </w:r>
      <w:r w:rsidR="00007A5E" w:rsidRPr="001361B1">
        <w:rPr>
          <w:rFonts w:ascii="Arial" w:hAnsi="Arial" w:cs="Arial"/>
        </w:rPr>
        <w:t>representation</w:t>
      </w:r>
      <w:r w:rsidR="004104E9" w:rsidRPr="001361B1">
        <w:rPr>
          <w:rFonts w:ascii="Arial" w:hAnsi="Arial" w:cs="Arial"/>
        </w:rPr>
        <w:t xml:space="preserve"> </w:t>
      </w:r>
      <w:r w:rsidR="00007A5E" w:rsidRPr="001361B1">
        <w:rPr>
          <w:rFonts w:ascii="Arial" w:hAnsi="Arial" w:cs="Arial"/>
        </w:rPr>
        <w:t xml:space="preserve">of </w:t>
      </w:r>
      <w:r w:rsidR="004104E9" w:rsidRPr="001361B1">
        <w:rPr>
          <w:rFonts w:ascii="Arial" w:hAnsi="Arial" w:cs="Arial"/>
        </w:rPr>
        <w:t xml:space="preserve">WT-specific and Tet2KO-specific DEGs </w:t>
      </w:r>
      <w:r w:rsidR="00007A5E" w:rsidRPr="001361B1">
        <w:rPr>
          <w:rFonts w:ascii="Arial" w:hAnsi="Arial" w:cs="Arial"/>
        </w:rPr>
        <w:t xml:space="preserve">(Day 0 vs Day 3) </w:t>
      </w:r>
      <w:r w:rsidR="004104E9" w:rsidRPr="001361B1">
        <w:rPr>
          <w:rFonts w:ascii="Arial" w:hAnsi="Arial" w:cs="Arial"/>
        </w:rPr>
        <w:t xml:space="preserve">identified in Figure 4B. </w:t>
      </w:r>
    </w:p>
    <w:p w14:paraId="11EA1536" w14:textId="7E35BD3D" w:rsidR="006B2A16" w:rsidRPr="006B2A16" w:rsidRDefault="00FB0C64" w:rsidP="00BE2F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2A16" w:rsidRPr="001361B1">
        <w:rPr>
          <w:rFonts w:ascii="Arial" w:hAnsi="Arial" w:cs="Arial"/>
        </w:rPr>
        <w:t>.</w:t>
      </w:r>
      <w:r w:rsidR="004104E9" w:rsidRPr="001361B1">
        <w:rPr>
          <w:rFonts w:ascii="Arial" w:hAnsi="Arial" w:cs="Arial"/>
        </w:rPr>
        <w:t xml:space="preserve"> GSEA analysis of WT-specific and Tet2KO-specific DEGs identified in Figure 4B.</w:t>
      </w:r>
      <w:r w:rsidR="004104E9">
        <w:rPr>
          <w:rFonts w:ascii="Arial" w:hAnsi="Arial" w:cs="Arial"/>
        </w:rPr>
        <w:t xml:space="preserve"> </w:t>
      </w:r>
    </w:p>
    <w:bookmarkEnd w:id="3"/>
    <w:p w14:paraId="5C3C60A1" w14:textId="77777777" w:rsidR="002C3108" w:rsidRDefault="002C3108" w:rsidP="00BE2F98">
      <w:pPr>
        <w:spacing w:line="360" w:lineRule="auto"/>
        <w:rPr>
          <w:rFonts w:ascii="Arial" w:hAnsi="Arial" w:cs="Arial"/>
          <w:b/>
        </w:rPr>
      </w:pPr>
    </w:p>
    <w:p w14:paraId="1353DA2E" w14:textId="03691843" w:rsidR="00BE2F98" w:rsidRPr="00EE3EEA" w:rsidRDefault="00BE2F98" w:rsidP="00916A98">
      <w:pPr>
        <w:spacing w:after="0" w:line="360" w:lineRule="auto"/>
        <w:rPr>
          <w:rFonts w:ascii="Arial" w:hAnsi="Arial" w:cs="Arial"/>
          <w:b/>
        </w:rPr>
      </w:pPr>
      <w:r w:rsidRPr="00EE3EEA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</w:t>
      </w:r>
      <w:r w:rsidR="00FB0C64">
        <w:rPr>
          <w:rFonts w:ascii="Arial" w:hAnsi="Arial" w:cs="Arial"/>
          <w:b/>
        </w:rPr>
        <w:t>5</w:t>
      </w:r>
      <w:r w:rsidRPr="00EE3EEA">
        <w:rPr>
          <w:rFonts w:ascii="Arial" w:hAnsi="Arial" w:cs="Arial"/>
          <w:b/>
        </w:rPr>
        <w:t xml:space="preserve">. ATAC-seq analysis of WT and Tet2KO TILs. </w:t>
      </w:r>
    </w:p>
    <w:p w14:paraId="12E5DA73" w14:textId="0BAB1876" w:rsidR="002D1922" w:rsidRPr="001361B1" w:rsidRDefault="002D1922" w:rsidP="001361B1">
      <w:pPr>
        <w:spacing w:after="0" w:line="360" w:lineRule="auto"/>
        <w:rPr>
          <w:rFonts w:ascii="Arial" w:hAnsi="Arial" w:cs="Arial"/>
        </w:rPr>
      </w:pPr>
      <w:r w:rsidRPr="006B2A16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Numbers of differential chromatin accessible regions between </w:t>
      </w:r>
      <w:r w:rsidR="00007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ay 0 and </w:t>
      </w:r>
      <w:r w:rsidR="00007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ay 3 </w:t>
      </w:r>
      <w:r w:rsidR="00007A5E">
        <w:rPr>
          <w:rFonts w:ascii="Arial" w:hAnsi="Arial" w:cs="Arial"/>
        </w:rPr>
        <w:t xml:space="preserve">groups </w:t>
      </w:r>
      <w:r>
        <w:rPr>
          <w:rFonts w:ascii="Arial" w:hAnsi="Arial" w:cs="Arial"/>
        </w:rPr>
        <w:t xml:space="preserve">in </w:t>
      </w:r>
      <w:r w:rsidRPr="001361B1">
        <w:rPr>
          <w:rFonts w:ascii="Arial" w:hAnsi="Arial" w:cs="Arial"/>
        </w:rPr>
        <w:t xml:space="preserve">WT and Tet2KO TILs. </w:t>
      </w:r>
    </w:p>
    <w:p w14:paraId="16FA290C" w14:textId="7B2C0B34" w:rsidR="002D1922" w:rsidRPr="001361B1" w:rsidRDefault="002D1922" w:rsidP="001361B1">
      <w:pPr>
        <w:spacing w:after="0" w:line="360" w:lineRule="auto"/>
        <w:rPr>
          <w:rFonts w:ascii="Arial" w:hAnsi="Arial" w:cs="Arial"/>
        </w:rPr>
      </w:pPr>
      <w:r w:rsidRPr="001361B1">
        <w:rPr>
          <w:rFonts w:ascii="Arial" w:hAnsi="Arial" w:cs="Arial"/>
        </w:rPr>
        <w:t>B. Heatmap</w:t>
      </w:r>
      <w:r w:rsidR="00007A5E" w:rsidRPr="001361B1">
        <w:rPr>
          <w:rFonts w:ascii="Arial" w:hAnsi="Arial" w:cs="Arial"/>
        </w:rPr>
        <w:t xml:space="preserve"> representation of</w:t>
      </w:r>
      <w:r w:rsidRPr="001361B1">
        <w:rPr>
          <w:rFonts w:ascii="Arial" w:hAnsi="Arial" w:cs="Arial"/>
        </w:rPr>
        <w:t xml:space="preserve"> WT-specific and Tet2KO-specific </w:t>
      </w:r>
      <w:r w:rsidR="001361B1">
        <w:rPr>
          <w:rFonts w:ascii="Arial" w:hAnsi="Arial" w:cs="Arial"/>
        </w:rPr>
        <w:t>differential chromatin accessible regions</w:t>
      </w:r>
      <w:r w:rsidR="00007A5E" w:rsidRPr="001361B1">
        <w:rPr>
          <w:rFonts w:ascii="Arial" w:hAnsi="Arial" w:cs="Arial"/>
        </w:rPr>
        <w:t xml:space="preserve"> </w:t>
      </w:r>
      <w:r w:rsidRPr="001361B1">
        <w:rPr>
          <w:rFonts w:ascii="Arial" w:hAnsi="Arial" w:cs="Arial"/>
        </w:rPr>
        <w:t xml:space="preserve">identified in Figure 5A. </w:t>
      </w:r>
    </w:p>
    <w:p w14:paraId="16057ED7" w14:textId="768ACB6E" w:rsidR="002D1922" w:rsidRPr="006B2A16" w:rsidRDefault="002D1922" w:rsidP="002E384F">
      <w:pPr>
        <w:spacing w:after="0" w:line="360" w:lineRule="auto"/>
        <w:rPr>
          <w:rFonts w:ascii="Arial" w:hAnsi="Arial" w:cs="Arial"/>
        </w:rPr>
      </w:pPr>
      <w:r w:rsidRPr="001361B1">
        <w:rPr>
          <w:rFonts w:ascii="Arial" w:hAnsi="Arial" w:cs="Arial"/>
        </w:rPr>
        <w:t xml:space="preserve">C. GREAT analysis of WT-specific and Tet2KO-specific </w:t>
      </w:r>
      <w:r w:rsidR="001361B1">
        <w:rPr>
          <w:rFonts w:ascii="Arial" w:hAnsi="Arial" w:cs="Arial"/>
        </w:rPr>
        <w:t>differential chromatin accessible regions</w:t>
      </w:r>
      <w:r w:rsidRPr="001361B1">
        <w:rPr>
          <w:rFonts w:ascii="Arial" w:hAnsi="Arial" w:cs="Arial"/>
        </w:rPr>
        <w:t xml:space="preserve"> identified in Figure </w:t>
      </w:r>
      <w:r w:rsidR="001361B1" w:rsidRPr="001361B1">
        <w:rPr>
          <w:rFonts w:ascii="Arial" w:hAnsi="Arial" w:cs="Arial"/>
        </w:rPr>
        <w:t>5A</w:t>
      </w:r>
      <w:r w:rsidRPr="001361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BDFAA89" w14:textId="3BF6C1DD" w:rsidR="00BE2F98" w:rsidRPr="00A93100" w:rsidRDefault="002E384F" w:rsidP="00CC7C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Percentage of genes with ETS1 or BATF binding motifs that displayed positive correlation between </w:t>
      </w:r>
      <w:r w:rsidRPr="00A93100">
        <w:rPr>
          <w:rFonts w:ascii="Arial" w:hAnsi="Arial" w:cs="Arial"/>
        </w:rPr>
        <w:t xml:space="preserve">expression and chromatin accessibility in WT and Tet2KO TILs. </w:t>
      </w:r>
    </w:p>
    <w:p w14:paraId="04780518" w14:textId="2DDCEB2E" w:rsidR="00BE5357" w:rsidRPr="00A93100" w:rsidRDefault="00BE5357" w:rsidP="00CC7C6F">
      <w:pPr>
        <w:spacing w:after="0" w:line="360" w:lineRule="auto"/>
        <w:rPr>
          <w:rFonts w:ascii="Arial" w:hAnsi="Arial" w:cs="Arial"/>
        </w:rPr>
      </w:pPr>
      <w:r w:rsidRPr="00A93100">
        <w:rPr>
          <w:rFonts w:ascii="Arial" w:hAnsi="Arial" w:cs="Arial"/>
        </w:rPr>
        <w:t>E. Quantification of caspase 3/7 positive B16-OVA melanoma cells treated with DMSO or ETS inhibitors</w:t>
      </w:r>
      <w:r w:rsidR="00B0360A" w:rsidRPr="00A93100">
        <w:rPr>
          <w:rFonts w:ascii="Arial" w:hAnsi="Arial" w:cs="Arial"/>
        </w:rPr>
        <w:t xml:space="preserve"> (100 </w:t>
      </w:r>
      <w:proofErr w:type="spellStart"/>
      <w:r w:rsidR="00B0360A" w:rsidRPr="00A93100">
        <w:rPr>
          <w:rFonts w:ascii="Arial" w:hAnsi="Arial" w:cs="Arial"/>
        </w:rPr>
        <w:t>nM</w:t>
      </w:r>
      <w:proofErr w:type="spellEnd"/>
      <w:r w:rsidR="00B0360A" w:rsidRPr="00A93100">
        <w:rPr>
          <w:rFonts w:ascii="Arial" w:hAnsi="Arial" w:cs="Arial"/>
        </w:rPr>
        <w:t xml:space="preserve"> </w:t>
      </w:r>
      <w:r w:rsidRPr="00A93100">
        <w:rPr>
          <w:rFonts w:ascii="Arial" w:hAnsi="Arial" w:cs="Arial"/>
        </w:rPr>
        <w:t xml:space="preserve">YK-4-279 </w:t>
      </w:r>
      <w:r w:rsidR="00B0360A" w:rsidRPr="00A93100">
        <w:rPr>
          <w:rFonts w:ascii="Arial" w:hAnsi="Arial" w:cs="Arial"/>
        </w:rPr>
        <w:t xml:space="preserve">or 500 </w:t>
      </w:r>
      <w:proofErr w:type="spellStart"/>
      <w:r w:rsidR="00B0360A" w:rsidRPr="00A93100">
        <w:rPr>
          <w:rFonts w:ascii="Arial" w:hAnsi="Arial" w:cs="Arial"/>
        </w:rPr>
        <w:t>nM</w:t>
      </w:r>
      <w:proofErr w:type="spellEnd"/>
      <w:r w:rsidR="00B0360A" w:rsidRPr="00A93100">
        <w:rPr>
          <w:rFonts w:ascii="Arial" w:hAnsi="Arial" w:cs="Arial"/>
        </w:rPr>
        <w:t xml:space="preserve"> </w:t>
      </w:r>
      <w:r w:rsidRPr="00A93100">
        <w:rPr>
          <w:rFonts w:ascii="Arial" w:hAnsi="Arial" w:cs="Arial"/>
        </w:rPr>
        <w:t xml:space="preserve">TK-216) for 24 hrs. Data were shown as mean ± S.D; n=4. </w:t>
      </w:r>
    </w:p>
    <w:p w14:paraId="52924CE6" w14:textId="501DC254" w:rsidR="00BE5357" w:rsidRPr="00A93100" w:rsidRDefault="00BE5357" w:rsidP="00ED53C6">
      <w:pPr>
        <w:spacing w:line="360" w:lineRule="auto"/>
        <w:rPr>
          <w:rFonts w:ascii="Arial" w:hAnsi="Arial" w:cs="Arial"/>
        </w:rPr>
      </w:pPr>
      <w:r w:rsidRPr="00A93100">
        <w:rPr>
          <w:rFonts w:ascii="Arial" w:hAnsi="Arial" w:cs="Arial"/>
        </w:rPr>
        <w:t xml:space="preserve">F. Quantification of </w:t>
      </w:r>
      <w:r w:rsidR="00B0360A" w:rsidRPr="00A93100">
        <w:rPr>
          <w:rFonts w:ascii="Arial" w:hAnsi="Arial" w:cs="Arial"/>
        </w:rPr>
        <w:t xml:space="preserve">the </w:t>
      </w:r>
      <w:r w:rsidRPr="00A93100">
        <w:rPr>
          <w:rFonts w:ascii="Arial" w:hAnsi="Arial" w:cs="Arial"/>
        </w:rPr>
        <w:t xml:space="preserve">percentage of IFN-gamma and TNF-alpha double positive cells in </w:t>
      </w:r>
      <w:r w:rsidRPr="00A93100">
        <w:rPr>
          <w:rFonts w:ascii="Arial" w:hAnsi="Arial" w:cs="Arial"/>
          <w:i/>
          <w:iCs/>
        </w:rPr>
        <w:t>in vitro</w:t>
      </w:r>
      <w:r w:rsidRPr="00A93100">
        <w:rPr>
          <w:rFonts w:ascii="Arial" w:hAnsi="Arial" w:cs="Arial"/>
        </w:rPr>
        <w:t xml:space="preserve"> cultured </w:t>
      </w:r>
      <w:r w:rsidR="00F5152C" w:rsidRPr="00A93100">
        <w:rPr>
          <w:rFonts w:ascii="Arial" w:hAnsi="Arial" w:cs="Arial"/>
        </w:rPr>
        <w:t xml:space="preserve">WT and Tet2KO </w:t>
      </w:r>
      <w:r w:rsidRPr="00A93100">
        <w:rPr>
          <w:rFonts w:ascii="Arial" w:hAnsi="Arial" w:cs="Arial"/>
        </w:rPr>
        <w:t xml:space="preserve">CD8+ T cells treated with DMSO or ETS inhibitors </w:t>
      </w:r>
      <w:r w:rsidR="00B0360A" w:rsidRPr="00A93100">
        <w:rPr>
          <w:rFonts w:ascii="Arial" w:hAnsi="Arial" w:cs="Arial"/>
        </w:rPr>
        <w:t xml:space="preserve">(100 </w:t>
      </w:r>
      <w:proofErr w:type="spellStart"/>
      <w:r w:rsidR="00B0360A" w:rsidRPr="00A93100">
        <w:rPr>
          <w:rFonts w:ascii="Arial" w:hAnsi="Arial" w:cs="Arial"/>
        </w:rPr>
        <w:t>nM</w:t>
      </w:r>
      <w:proofErr w:type="spellEnd"/>
      <w:r w:rsidR="00B0360A" w:rsidRPr="00A93100">
        <w:rPr>
          <w:rFonts w:ascii="Arial" w:hAnsi="Arial" w:cs="Arial"/>
        </w:rPr>
        <w:t xml:space="preserve"> YK-4-279 or 500 </w:t>
      </w:r>
      <w:proofErr w:type="spellStart"/>
      <w:r w:rsidR="00B0360A" w:rsidRPr="00A93100">
        <w:rPr>
          <w:rFonts w:ascii="Arial" w:hAnsi="Arial" w:cs="Arial"/>
        </w:rPr>
        <w:t>nM</w:t>
      </w:r>
      <w:proofErr w:type="spellEnd"/>
      <w:r w:rsidR="00B0360A" w:rsidRPr="00A93100">
        <w:rPr>
          <w:rFonts w:ascii="Arial" w:hAnsi="Arial" w:cs="Arial"/>
        </w:rPr>
        <w:t xml:space="preserve"> TK-216) </w:t>
      </w:r>
      <w:r w:rsidRPr="00A93100">
        <w:rPr>
          <w:rFonts w:ascii="Arial" w:hAnsi="Arial" w:cs="Arial"/>
        </w:rPr>
        <w:t>for 72 hrs. Data were shown as mean ± S.D; n = 3, * P &lt; 0.05, by two-tailed Student’s t-test.</w:t>
      </w:r>
    </w:p>
    <w:sectPr w:rsidR="00BE5357" w:rsidRPr="00A93100" w:rsidSect="001400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1AA1"/>
    <w:multiLevelType w:val="hybridMultilevel"/>
    <w:tmpl w:val="D1205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195"/>
    <w:multiLevelType w:val="hybridMultilevel"/>
    <w:tmpl w:val="9AF6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B4"/>
    <w:rsid w:val="00002F70"/>
    <w:rsid w:val="00007A5E"/>
    <w:rsid w:val="00021009"/>
    <w:rsid w:val="00032243"/>
    <w:rsid w:val="0004456D"/>
    <w:rsid w:val="00064BE9"/>
    <w:rsid w:val="000E21CF"/>
    <w:rsid w:val="00122CD2"/>
    <w:rsid w:val="001361B1"/>
    <w:rsid w:val="00136B0B"/>
    <w:rsid w:val="001400B4"/>
    <w:rsid w:val="00151D40"/>
    <w:rsid w:val="001723B2"/>
    <w:rsid w:val="002156D8"/>
    <w:rsid w:val="002313DF"/>
    <w:rsid w:val="00267BFF"/>
    <w:rsid w:val="002C3108"/>
    <w:rsid w:val="002D1922"/>
    <w:rsid w:val="002E0D8F"/>
    <w:rsid w:val="002E384F"/>
    <w:rsid w:val="0032738E"/>
    <w:rsid w:val="00356C30"/>
    <w:rsid w:val="00367CC1"/>
    <w:rsid w:val="004104E9"/>
    <w:rsid w:val="0046477A"/>
    <w:rsid w:val="004A32A7"/>
    <w:rsid w:val="004C2848"/>
    <w:rsid w:val="004D6DFC"/>
    <w:rsid w:val="005056C0"/>
    <w:rsid w:val="0055584D"/>
    <w:rsid w:val="005705FA"/>
    <w:rsid w:val="00592551"/>
    <w:rsid w:val="006061D0"/>
    <w:rsid w:val="0061258A"/>
    <w:rsid w:val="0065661E"/>
    <w:rsid w:val="006B2A16"/>
    <w:rsid w:val="006D2855"/>
    <w:rsid w:val="00745B07"/>
    <w:rsid w:val="00776708"/>
    <w:rsid w:val="00777C3C"/>
    <w:rsid w:val="0083323C"/>
    <w:rsid w:val="008D7A6F"/>
    <w:rsid w:val="008F769C"/>
    <w:rsid w:val="00916A98"/>
    <w:rsid w:val="00966550"/>
    <w:rsid w:val="009B118E"/>
    <w:rsid w:val="00A1054A"/>
    <w:rsid w:val="00A93100"/>
    <w:rsid w:val="00AE3304"/>
    <w:rsid w:val="00B0360A"/>
    <w:rsid w:val="00B04999"/>
    <w:rsid w:val="00B407B5"/>
    <w:rsid w:val="00BD41AF"/>
    <w:rsid w:val="00BE2F98"/>
    <w:rsid w:val="00BE5357"/>
    <w:rsid w:val="00C143D0"/>
    <w:rsid w:val="00C23416"/>
    <w:rsid w:val="00C81A61"/>
    <w:rsid w:val="00CC7C6F"/>
    <w:rsid w:val="00D15C5D"/>
    <w:rsid w:val="00D70DC3"/>
    <w:rsid w:val="00D737ED"/>
    <w:rsid w:val="00DE72BA"/>
    <w:rsid w:val="00E82A93"/>
    <w:rsid w:val="00EB58BA"/>
    <w:rsid w:val="00ED53C6"/>
    <w:rsid w:val="00F44354"/>
    <w:rsid w:val="00F5152C"/>
    <w:rsid w:val="00F763AB"/>
    <w:rsid w:val="00F8302C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1A24"/>
  <w15:chartTrackingRefBased/>
  <w15:docId w15:val="{1FBEDC36-6D5A-478B-8D71-B4584BB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B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.huang@tamu.edu" TargetMode="External"/><Relationship Id="rId5" Type="http://schemas.openxmlformats.org/officeDocument/2006/relationships/hyperlink" Target="mailto:yun.huang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Yun</dc:creator>
  <cp:keywords/>
  <dc:description/>
  <cp:lastModifiedBy>Huang, Yun</cp:lastModifiedBy>
  <cp:revision>6</cp:revision>
  <cp:lastPrinted>2020-12-30T23:26:00Z</cp:lastPrinted>
  <dcterms:created xsi:type="dcterms:W3CDTF">2021-02-05T17:38:00Z</dcterms:created>
  <dcterms:modified xsi:type="dcterms:W3CDTF">2021-02-09T17:53:00Z</dcterms:modified>
</cp:coreProperties>
</file>