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1586" w14:textId="77777777" w:rsidR="004A335F" w:rsidRDefault="00D3301D" w:rsidP="004A335F">
      <w:pPr>
        <w:spacing w:after="0" w:line="240" w:lineRule="auto"/>
        <w:rPr>
          <w:rFonts w:ascii="Arial" w:hAnsi="Arial" w:cs="Arial"/>
          <w:lang w:val="en-US"/>
        </w:rPr>
      </w:pPr>
      <w:r w:rsidRPr="00203D56">
        <w:rPr>
          <w:rFonts w:ascii="Arial" w:hAnsi="Arial" w:cs="Arial"/>
          <w:b/>
          <w:lang w:val="en-US"/>
        </w:rPr>
        <w:t>Supplementary Table 1.</w:t>
      </w:r>
      <w:r w:rsidRPr="00203D56">
        <w:rPr>
          <w:rFonts w:ascii="Arial" w:hAnsi="Arial" w:cs="Arial"/>
          <w:lang w:val="en-US"/>
        </w:rPr>
        <w:t xml:space="preserve"> </w:t>
      </w:r>
    </w:p>
    <w:p w14:paraId="00313FA6" w14:textId="7C837AB9" w:rsidR="00D3301D" w:rsidRPr="004A335F" w:rsidRDefault="00D3301D" w:rsidP="004A335F">
      <w:pPr>
        <w:spacing w:after="0" w:line="240" w:lineRule="auto"/>
        <w:rPr>
          <w:rFonts w:ascii="Arial" w:hAnsi="Arial" w:cs="Arial"/>
          <w:bCs/>
          <w:lang w:val="en-US"/>
        </w:rPr>
      </w:pPr>
      <w:r w:rsidRPr="004A335F">
        <w:rPr>
          <w:rFonts w:ascii="Arial" w:hAnsi="Arial" w:cs="Arial"/>
          <w:bCs/>
          <w:lang w:val="en-US"/>
        </w:rPr>
        <w:t>Clinicopathological characteristics of molecular cervical cancer subgroups</w:t>
      </w:r>
      <w:r w:rsidR="00DC0070" w:rsidRPr="004A335F">
        <w:rPr>
          <w:rFonts w:ascii="Arial" w:hAnsi="Arial" w:cs="Arial"/>
          <w:bCs/>
          <w:lang w:val="en-US"/>
        </w:rPr>
        <w:t xml:space="preserve"> (TCGA)</w:t>
      </w:r>
    </w:p>
    <w:tbl>
      <w:tblPr>
        <w:tblStyle w:val="Onopgemaaktetabel5"/>
        <w:tblW w:w="0" w:type="auto"/>
        <w:tblLook w:val="04A0" w:firstRow="1" w:lastRow="0" w:firstColumn="1" w:lastColumn="0" w:noHBand="0" w:noVBand="1"/>
      </w:tblPr>
      <w:tblGrid>
        <w:gridCol w:w="2766"/>
        <w:gridCol w:w="2057"/>
        <w:gridCol w:w="2582"/>
        <w:gridCol w:w="909"/>
        <w:gridCol w:w="1046"/>
      </w:tblGrid>
      <w:tr w:rsidR="00D3301D" w:rsidRPr="00C07E42" w14:paraId="3E29653B" w14:textId="77777777" w:rsidTr="009C3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7" w:type="dxa"/>
            <w:shd w:val="clear" w:color="auto" w:fill="auto"/>
          </w:tcPr>
          <w:p w14:paraId="7C63653E" w14:textId="77777777" w:rsidR="00D3301D" w:rsidRPr="003337B6" w:rsidRDefault="00D3301D" w:rsidP="000D5290">
            <w:pPr>
              <w:rPr>
                <w:rFonts w:ascii="Arial" w:hAnsi="Arial"/>
                <w:b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C300698" w14:textId="77777777" w:rsidR="00D3301D" w:rsidRPr="00B749BA" w:rsidRDefault="00D3301D" w:rsidP="000D5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2979BBE1" w14:textId="77777777" w:rsidR="00D3301D" w:rsidRPr="00C07E42" w:rsidRDefault="00D3301D" w:rsidP="000D5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 w:val="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D3301D" w:rsidRPr="00AD4CBB" w14:paraId="36A6DE53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51D4EA4" w14:textId="77777777" w:rsidR="00D3301D" w:rsidRPr="00A43A4B" w:rsidRDefault="00D3301D" w:rsidP="000D5290">
            <w:pPr>
              <w:jc w:val="left"/>
              <w:rPr>
                <w:rFonts w:ascii="Arial" w:hAnsi="Arial"/>
                <w:b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i w:val="0"/>
                <w:sz w:val="18"/>
                <w:szCs w:val="18"/>
                <w:lang w:val="nl-NL"/>
              </w:rPr>
              <w:t>Variable</w:t>
            </w:r>
          </w:p>
        </w:tc>
        <w:tc>
          <w:tcPr>
            <w:tcW w:w="4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5ECAFC" w14:textId="77777777" w:rsidR="00D3301D" w:rsidRPr="00B318F7" w:rsidRDefault="00D3301D" w:rsidP="000D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</w:t>
            </w:r>
            <w:r w:rsidRPr="00B318F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Columnar (n=56)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</w:t>
            </w:r>
            <w:r w:rsidRPr="00B318F7">
              <w:rPr>
                <w:rFonts w:ascii="Arial" w:hAnsi="Arial"/>
                <w:b/>
                <w:sz w:val="18"/>
                <w:szCs w:val="18"/>
                <w:lang w:val="en-US"/>
              </w:rPr>
              <w:t>Squamous/Reserve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B318F7">
              <w:rPr>
                <w:rFonts w:ascii="Arial" w:hAnsi="Arial"/>
                <w:b/>
                <w:sz w:val="18"/>
                <w:szCs w:val="18"/>
                <w:lang w:val="en-US"/>
              </w:rPr>
              <w:t>(n=223)</w:t>
            </w:r>
          </w:p>
          <w:p w14:paraId="2F9E047B" w14:textId="77777777" w:rsidR="00D3301D" w:rsidRPr="00B318F7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i/>
                <w:sz w:val="18"/>
                <w:szCs w:val="18"/>
                <w:lang w:val="nl-NL"/>
              </w:rPr>
            </w:pPr>
            <w:r w:rsidRPr="00B318F7">
              <w:rPr>
                <w:rFonts w:ascii="Arial" w:hAnsi="Arial"/>
                <w:sz w:val="18"/>
                <w:szCs w:val="18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B318F7">
              <w:rPr>
                <w:rFonts w:ascii="Arial" w:hAnsi="Arial"/>
                <w:sz w:val="18"/>
                <w:szCs w:val="18"/>
              </w:rPr>
              <w:t xml:space="preserve"> of patients (%)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5C1EC1D7" w14:textId="77777777" w:rsidR="00D3301D" w:rsidRPr="00E52AB7" w:rsidRDefault="00D3301D" w:rsidP="000D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sz w:val="18"/>
                <w:szCs w:val="18"/>
                <w:lang w:val="nl-NL"/>
              </w:rPr>
              <w:t>Total (n=279)</w:t>
            </w:r>
          </w:p>
        </w:tc>
        <w:tc>
          <w:tcPr>
            <w:tcW w:w="1042" w:type="dxa"/>
            <w:shd w:val="clear" w:color="auto" w:fill="auto"/>
          </w:tcPr>
          <w:p w14:paraId="22FF492C" w14:textId="7FED8156" w:rsidR="00D3301D" w:rsidRPr="00E52AB7" w:rsidRDefault="00D3301D" w:rsidP="000D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nl-NL"/>
              </w:rPr>
              <w:t>P</w:t>
            </w:r>
            <w:r>
              <w:rPr>
                <w:rFonts w:ascii="Arial" w:hAnsi="Arial"/>
                <w:b/>
                <w:sz w:val="18"/>
                <w:szCs w:val="18"/>
                <w:lang w:val="nl-NL"/>
              </w:rPr>
              <w:t>-value</w:t>
            </w:r>
            <w:r w:rsidR="00AB0CFF" w:rsidRPr="00907F6C">
              <w:rPr>
                <w:rFonts w:ascii="Arial" w:hAnsi="Arial"/>
                <w:sz w:val="18"/>
                <w:szCs w:val="18"/>
                <w:vertAlign w:val="superscript"/>
                <w:lang w:val="nl-NL"/>
              </w:rPr>
              <w:t>a</w:t>
            </w:r>
          </w:p>
        </w:tc>
      </w:tr>
      <w:tr w:rsidR="00D3301D" w:rsidRPr="00AD4CBB" w14:paraId="41136A1B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3AABD89D" w14:textId="77777777" w:rsidR="00D3301D" w:rsidRPr="00A43A4B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Lymphovascular space invasion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6DA1DD4B" w14:textId="77777777" w:rsidR="00D3301D" w:rsidRPr="00AD4CBB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736A" w14:textId="77777777" w:rsidR="00D3301D" w:rsidRPr="00B84C75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005F9C61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6EFED3E2" w14:textId="77777777" w:rsidR="00D3301D" w:rsidRPr="00B84C75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</w:tr>
      <w:tr w:rsidR="00D3301D" w:rsidRPr="00AD4CBB" w14:paraId="540E72BE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0DA7057" w14:textId="77777777" w:rsidR="00D3301D" w:rsidRPr="00260271" w:rsidRDefault="00D3301D" w:rsidP="000D5290">
            <w:pPr>
              <w:ind w:left="720"/>
              <w:jc w:val="left"/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  <w:t>Absent</w:t>
            </w:r>
          </w:p>
          <w:p w14:paraId="77148DF9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Present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77786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17 (53)</w:t>
            </w:r>
          </w:p>
          <w:p w14:paraId="4FD14970" w14:textId="77777777" w:rsidR="00D3301D" w:rsidRPr="00AD4CBB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15 (47)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2DE6" w14:textId="77777777" w:rsidR="00D3301D" w:rsidRPr="00C95221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 w:rsidRPr="00C95221">
              <w:rPr>
                <w:rFonts w:ascii="Arial" w:hAnsi="Arial"/>
                <w:sz w:val="18"/>
                <w:szCs w:val="18"/>
                <w:lang w:val="nl-NL"/>
              </w:rPr>
              <w:t>48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(46)</w:t>
            </w:r>
          </w:p>
          <w:p w14:paraId="011C8CBA" w14:textId="77777777" w:rsidR="00D3301D" w:rsidRPr="00B84C75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C95221">
              <w:rPr>
                <w:rFonts w:ascii="Arial" w:hAnsi="Arial"/>
                <w:sz w:val="18"/>
                <w:szCs w:val="18"/>
                <w:lang w:val="nl-NL"/>
              </w:rPr>
              <w:t>56</w:t>
            </w:r>
            <w:r>
              <w:rPr>
                <w:rFonts w:ascii="Arial" w:hAnsi="Arial"/>
                <w:sz w:val="18"/>
                <w:szCs w:val="18"/>
                <w:lang w:val="nl-NL"/>
              </w:rPr>
              <w:t xml:space="preserve"> (54)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F6994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921A79" w14:textId="77777777" w:rsidR="00D3301D" w:rsidRPr="00181C1B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 w:rsidRPr="00181C1B">
              <w:rPr>
                <w:rFonts w:ascii="Arial" w:hAnsi="Arial"/>
                <w:sz w:val="18"/>
                <w:szCs w:val="18"/>
                <w:lang w:val="nl-NL"/>
              </w:rPr>
              <w:t>0.547</w:t>
            </w:r>
          </w:p>
        </w:tc>
      </w:tr>
      <w:tr w:rsidR="00D3301D" w:rsidRPr="00AD4CBB" w14:paraId="70C70B5C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4954B43F" w14:textId="77777777" w:rsidR="00D3301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Lymph node involvement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5193AAD4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6DF8" w14:textId="77777777" w:rsidR="00D3301D" w:rsidRPr="00045302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03408C9A" w14:textId="77777777" w:rsidR="00D3301D" w:rsidRPr="002D0998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5E5EAAB0" w14:textId="77777777" w:rsidR="00D3301D" w:rsidRPr="002D0998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D3301D" w:rsidRPr="00AD4CBB" w14:paraId="7F9FD095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F0BCF12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  <w:t>Absent</w:t>
            </w:r>
          </w:p>
          <w:p w14:paraId="2313A8C0" w14:textId="77777777" w:rsidR="00D3301D" w:rsidRPr="00927ED2" w:rsidRDefault="00D3301D" w:rsidP="000D5290">
            <w:pPr>
              <w:ind w:left="720"/>
              <w:jc w:val="left"/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nl-NL"/>
              </w:rPr>
              <w:t>Present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DA4F7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28 (72)</w:t>
            </w:r>
          </w:p>
          <w:p w14:paraId="0BEE820F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11 (28)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2342" w14:textId="77777777" w:rsidR="00D3301D" w:rsidRPr="001E0F42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 w:rsidRPr="001E0F42">
              <w:rPr>
                <w:rFonts w:ascii="Arial" w:hAnsi="Arial"/>
                <w:sz w:val="18"/>
                <w:szCs w:val="18"/>
                <w:lang w:val="nl-NL"/>
              </w:rPr>
              <w:t>93 (67)</w:t>
            </w:r>
          </w:p>
          <w:p w14:paraId="18558275" w14:textId="77777777" w:rsidR="00D3301D" w:rsidRPr="00045302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1E0F42">
              <w:rPr>
                <w:rFonts w:ascii="Arial" w:hAnsi="Arial"/>
                <w:sz w:val="18"/>
                <w:szCs w:val="18"/>
                <w:lang w:val="nl-NL"/>
              </w:rPr>
              <w:t>46 (33)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A7010" w14:textId="77777777" w:rsidR="00D3301D" w:rsidRPr="002D0998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29DA13" w14:textId="77777777" w:rsidR="00D3301D" w:rsidRPr="002D0998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0.698</w:t>
            </w:r>
          </w:p>
        </w:tc>
      </w:tr>
      <w:tr w:rsidR="00D3301D" w:rsidRPr="00AD4CBB" w14:paraId="7CD3AC9E" w14:textId="77777777" w:rsidTr="009C3A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3111E17C" w14:textId="77777777" w:rsidR="00D3301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FIGO-stage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1604278B" w14:textId="77777777" w:rsidR="00D3301D" w:rsidRPr="00D34A91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BCA3" w14:textId="77777777" w:rsidR="00D3301D" w:rsidRPr="00B84C75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64EA9B72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175A4347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D3301D" w:rsidRPr="00F71481" w14:paraId="49C6D1E8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F922195" w14:textId="77777777" w:rsidR="00D3301D" w:rsidRPr="00D34A91" w:rsidRDefault="00D3301D" w:rsidP="000D5290">
            <w:pPr>
              <w:ind w:left="720"/>
              <w:jc w:val="left"/>
              <w:rPr>
                <w:rFonts w:ascii="Arial" w:hAnsi="Arial"/>
                <w:iCs w:val="0"/>
                <w:sz w:val="18"/>
                <w:szCs w:val="18"/>
                <w:lang w:val="en-US"/>
              </w:rPr>
            </w:pPr>
            <w:r w:rsidRPr="00D34A91">
              <w:rPr>
                <w:rFonts w:ascii="Arial" w:hAnsi="Arial"/>
                <w:i w:val="0"/>
                <w:sz w:val="18"/>
                <w:szCs w:val="18"/>
                <w:lang w:val="en-US"/>
              </w:rPr>
              <w:t>Early (I-IIA)</w:t>
            </w:r>
          </w:p>
          <w:p w14:paraId="041F3876" w14:textId="77777777" w:rsidR="00D3301D" w:rsidRPr="00D34A91" w:rsidRDefault="00D3301D" w:rsidP="000D5290">
            <w:pPr>
              <w:ind w:left="720"/>
              <w:jc w:val="left"/>
              <w:rPr>
                <w:rFonts w:ascii="Arial" w:hAnsi="Arial"/>
                <w:i w:val="0"/>
                <w:sz w:val="18"/>
                <w:szCs w:val="18"/>
                <w:lang w:val="en-US"/>
              </w:rPr>
            </w:pPr>
            <w:r w:rsidRPr="00D34A91">
              <w:rPr>
                <w:rFonts w:ascii="Arial" w:hAnsi="Arial"/>
                <w:i w:val="0"/>
                <w:sz w:val="18"/>
                <w:szCs w:val="18"/>
                <w:lang w:val="en-US"/>
              </w:rPr>
              <w:t>Late (</w:t>
            </w:r>
            <w:r>
              <w:rPr>
                <w:rFonts w:ascii="Arial" w:hAnsi="Arial"/>
                <w:i w:val="0"/>
                <w:sz w:val="18"/>
                <w:szCs w:val="18"/>
                <w:lang w:val="en-US"/>
              </w:rPr>
              <w:t>IIA1-IVB)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5A67D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41 (73)</w:t>
            </w:r>
          </w:p>
          <w:p w14:paraId="0590D5EA" w14:textId="77777777" w:rsidR="00D3301D" w:rsidRPr="00D34A91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15 (27)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6F2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124 (57)</w:t>
            </w:r>
          </w:p>
          <w:p w14:paraId="4C279996" w14:textId="77777777" w:rsidR="00D3301D" w:rsidRPr="00F71481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92 (43)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BE7C2" w14:textId="77777777" w:rsidR="00D3301D" w:rsidRPr="00F71481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36D644" w14:textId="77777777" w:rsidR="00D3301D" w:rsidRPr="007E09E2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 w:rsidRPr="007E09E2">
              <w:rPr>
                <w:rFonts w:ascii="Arial" w:hAnsi="Arial"/>
                <w:sz w:val="18"/>
                <w:szCs w:val="18"/>
                <w:lang w:val="en-US"/>
              </w:rPr>
              <w:t>0.033</w:t>
            </w:r>
          </w:p>
        </w:tc>
      </w:tr>
      <w:tr w:rsidR="00D3301D" w:rsidRPr="00AD4CBB" w14:paraId="7724C158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B6F9E00" w14:textId="77777777" w:rsidR="00D3301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Grade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340D5558" w14:textId="77777777" w:rsidR="00D3301D" w:rsidRPr="00AD4CBB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FE7CF" w14:textId="77777777" w:rsidR="00D3301D" w:rsidRPr="00AD4CBB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71BCDE0B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759F30EC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D3301D" w:rsidRPr="008C400D" w14:paraId="0C4FA206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81A57A9" w14:textId="77777777" w:rsidR="00D3301D" w:rsidRPr="008C400D" w:rsidRDefault="00D3301D" w:rsidP="000D5290">
            <w:pPr>
              <w:ind w:left="720"/>
              <w:jc w:val="left"/>
              <w:rPr>
                <w:rFonts w:ascii="Arial" w:hAnsi="Arial"/>
                <w:iCs w:val="0"/>
                <w:sz w:val="18"/>
                <w:szCs w:val="18"/>
                <w:lang w:val="en-US"/>
              </w:rPr>
            </w:pPr>
            <w:r w:rsidRPr="008C400D">
              <w:rPr>
                <w:rFonts w:ascii="Arial" w:hAnsi="Arial"/>
                <w:i w:val="0"/>
                <w:sz w:val="18"/>
                <w:szCs w:val="18"/>
                <w:lang w:val="en-US"/>
              </w:rPr>
              <w:t>I-II (Well/Moderate)</w:t>
            </w:r>
          </w:p>
          <w:p w14:paraId="05A1D0A1" w14:textId="77777777" w:rsidR="00D3301D" w:rsidRPr="008C400D" w:rsidRDefault="00D3301D" w:rsidP="000D5290">
            <w:pPr>
              <w:ind w:left="720"/>
              <w:jc w:val="left"/>
              <w:rPr>
                <w:rFonts w:ascii="Arial" w:hAnsi="Arial"/>
                <w:i w:val="0"/>
                <w:sz w:val="18"/>
                <w:szCs w:val="18"/>
                <w:lang w:val="en-US"/>
              </w:rPr>
            </w:pPr>
            <w:r w:rsidRPr="008C400D">
              <w:rPr>
                <w:rFonts w:ascii="Arial" w:hAnsi="Arial"/>
                <w:i w:val="0"/>
                <w:sz w:val="18"/>
                <w:szCs w:val="18"/>
                <w:lang w:val="en-US"/>
              </w:rPr>
              <w:t>III (Poor)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D68FC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29 (57)</w:t>
            </w:r>
          </w:p>
          <w:p w14:paraId="024163BE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22 (43)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1B7C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111 (56)</w:t>
            </w:r>
          </w:p>
          <w:p w14:paraId="7CD72502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87 (44)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3C113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2DFC6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1.000</w:t>
            </w:r>
          </w:p>
        </w:tc>
      </w:tr>
      <w:tr w:rsidR="00D3301D" w:rsidRPr="008C400D" w14:paraId="0F61678A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60773A7" w14:textId="77777777" w:rsidR="00D3301D" w:rsidRPr="008C400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en-US"/>
              </w:rPr>
              <w:t>HPV type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46ECC5B4" w14:textId="77777777" w:rsidR="00D3301D" w:rsidRPr="008C400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963C9" w14:textId="77777777" w:rsidR="00D3301D" w:rsidRPr="008C400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5A25BDE1" w14:textId="77777777" w:rsidR="00D3301D" w:rsidRPr="008C400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  <w:shd w:val="clear" w:color="auto" w:fill="auto"/>
          </w:tcPr>
          <w:p w14:paraId="74F252DA" w14:textId="77777777" w:rsidR="00D3301D" w:rsidRPr="008C400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3301D" w:rsidRPr="008C400D" w14:paraId="38FB008E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26CDD3CE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en-US"/>
              </w:rPr>
              <w:t>HPV16</w:t>
            </w:r>
          </w:p>
          <w:p w14:paraId="414341EE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en-US"/>
              </w:rPr>
              <w:t>HPV18</w:t>
            </w:r>
          </w:p>
          <w:p w14:paraId="4C4514DD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en-US"/>
              </w:rPr>
              <w:t>HPV45</w:t>
            </w:r>
          </w:p>
          <w:p w14:paraId="113E2E1E" w14:textId="77777777" w:rsidR="00D3301D" w:rsidRPr="00592DAA" w:rsidRDefault="00D3301D" w:rsidP="000D5290">
            <w:pPr>
              <w:ind w:left="720"/>
              <w:jc w:val="left"/>
              <w:rPr>
                <w:rFonts w:ascii="Arial" w:hAnsi="Arial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 w:val="0"/>
                <w:iCs w:val="0"/>
                <w:sz w:val="18"/>
                <w:szCs w:val="18"/>
                <w:lang w:val="en-US"/>
              </w:rPr>
              <w:t xml:space="preserve">Other 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197BE17C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28 (50)</w:t>
            </w:r>
          </w:p>
          <w:p w14:paraId="40860872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22 (39)</w:t>
            </w:r>
          </w:p>
          <w:p w14:paraId="70FED24E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6 (11)</w:t>
            </w:r>
          </w:p>
          <w:p w14:paraId="7AD6F2D1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E3F21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139 (62)</w:t>
            </w:r>
          </w:p>
          <w:p w14:paraId="40388A90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15 (7)</w:t>
            </w:r>
          </w:p>
          <w:p w14:paraId="54288B48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17 (8)</w:t>
            </w:r>
          </w:p>
          <w:p w14:paraId="3274223F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52 (23)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2A39A" w14:textId="77777777" w:rsidR="00D3301D" w:rsidRPr="008C400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5B272E" w14:textId="556FD5D5" w:rsidR="00D3301D" w:rsidRPr="000E4141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0E4141">
              <w:rPr>
                <w:rFonts w:ascii="Arial" w:hAnsi="Arial"/>
                <w:b/>
                <w:sz w:val="18"/>
                <w:szCs w:val="18"/>
                <w:lang w:val="en-US"/>
              </w:rPr>
              <w:t>&lt;0.00001</w:t>
            </w:r>
            <w:r w:rsidR="00AB0CFF" w:rsidRPr="00AB0CFF">
              <w:rPr>
                <w:rFonts w:ascii="Arial" w:hAnsi="Arial"/>
                <w:b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3301D" w:rsidRPr="00AD4CBB" w14:paraId="77065C3E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0511058" w14:textId="77777777" w:rsidR="00D3301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Chemotherapy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10ECC1C2" w14:textId="77777777" w:rsidR="00D3301D" w:rsidRPr="00AD4CBB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F562" w14:textId="77777777" w:rsidR="00D3301D" w:rsidRPr="00B84C75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42BF9C80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4BE3A38E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D3301D" w:rsidRPr="00AD4CBB" w14:paraId="52470CF5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4A0DB8AC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iCs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Not received</w:t>
            </w:r>
          </w:p>
          <w:p w14:paraId="0B728BF5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Received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FF7F1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22 (51)</w:t>
            </w:r>
          </w:p>
          <w:p w14:paraId="1687AC66" w14:textId="77777777" w:rsidR="00D3301D" w:rsidRPr="00AD4CBB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21 (49)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8258" w14:textId="77777777" w:rsidR="00D3301D" w:rsidRPr="00F21419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 w:rsidRPr="00F21419">
              <w:rPr>
                <w:rFonts w:ascii="Arial" w:hAnsi="Arial"/>
                <w:sz w:val="18"/>
                <w:szCs w:val="18"/>
                <w:lang w:val="nl-NL"/>
              </w:rPr>
              <w:t>83 (43)</w:t>
            </w:r>
          </w:p>
          <w:p w14:paraId="4BAE5A23" w14:textId="77777777" w:rsidR="00D3301D" w:rsidRPr="00B84C75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F21419">
              <w:rPr>
                <w:rFonts w:ascii="Arial" w:hAnsi="Arial"/>
                <w:sz w:val="18"/>
                <w:szCs w:val="18"/>
                <w:lang w:val="nl-NL"/>
              </w:rPr>
              <w:t>110 (57)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4C767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2C0B0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0.397</w:t>
            </w:r>
          </w:p>
        </w:tc>
      </w:tr>
      <w:tr w:rsidR="00D3301D" w:rsidRPr="00AD4CBB" w14:paraId="4CD64438" w14:textId="77777777" w:rsidTr="009C3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0AC8F7DC" w14:textId="77777777" w:rsidR="00D3301D" w:rsidRDefault="00D3301D" w:rsidP="000D5290">
            <w:pPr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Radiotherapy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</w:tcPr>
          <w:p w14:paraId="5AD97921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C865" w14:textId="77777777" w:rsidR="00D3301D" w:rsidRPr="00B84C75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14:paraId="3FFCA9A0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  <w:tc>
          <w:tcPr>
            <w:tcW w:w="1042" w:type="dxa"/>
            <w:shd w:val="clear" w:color="auto" w:fill="auto"/>
          </w:tcPr>
          <w:p w14:paraId="5B043E48" w14:textId="77777777" w:rsidR="00D3301D" w:rsidRDefault="00D3301D" w:rsidP="000D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</w:p>
        </w:tc>
      </w:tr>
      <w:tr w:rsidR="00D3301D" w:rsidRPr="00AD4CBB" w14:paraId="765C8C52" w14:textId="77777777" w:rsidTr="009C3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5304000B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iCs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Not received</w:t>
            </w:r>
          </w:p>
          <w:p w14:paraId="5B828ED2" w14:textId="77777777" w:rsidR="00D3301D" w:rsidRDefault="00D3301D" w:rsidP="000D5290">
            <w:pPr>
              <w:ind w:left="720"/>
              <w:jc w:val="left"/>
              <w:rPr>
                <w:rFonts w:ascii="Arial" w:hAnsi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i w:val="0"/>
                <w:sz w:val="18"/>
                <w:szCs w:val="18"/>
                <w:lang w:val="nl-NL"/>
              </w:rPr>
              <w:t>Received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DEC8D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13 (29)</w:t>
            </w:r>
          </w:p>
          <w:p w14:paraId="3D58A408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32 (71)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9356" w14:textId="77777777" w:rsidR="00D3301D" w:rsidRPr="00B273E8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 w:rsidRPr="00B273E8">
              <w:rPr>
                <w:rFonts w:ascii="Arial" w:hAnsi="Arial"/>
                <w:sz w:val="18"/>
                <w:szCs w:val="18"/>
                <w:lang w:val="nl-NL"/>
              </w:rPr>
              <w:t>63 (32)</w:t>
            </w:r>
          </w:p>
          <w:p w14:paraId="7AB60834" w14:textId="77777777" w:rsidR="00D3301D" w:rsidRPr="00B84C75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B273E8">
              <w:rPr>
                <w:rFonts w:ascii="Arial" w:hAnsi="Arial"/>
                <w:sz w:val="18"/>
                <w:szCs w:val="18"/>
                <w:lang w:val="nl-NL"/>
              </w:rPr>
              <w:t>132 (68)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5BB69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38330" w14:textId="77777777" w:rsidR="00D3301D" w:rsidRDefault="00D3301D" w:rsidP="000D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rFonts w:ascii="Arial" w:hAnsi="Arial"/>
                <w:sz w:val="18"/>
                <w:szCs w:val="18"/>
                <w:lang w:val="nl-NL"/>
              </w:rPr>
              <w:t>0.725</w:t>
            </w:r>
          </w:p>
        </w:tc>
      </w:tr>
    </w:tbl>
    <w:p w14:paraId="6F9F769F" w14:textId="3AD3C434" w:rsidR="00AB0CFF" w:rsidRPr="00B15107" w:rsidRDefault="00AB0CFF" w:rsidP="00AB0CFF">
      <w:pPr>
        <w:spacing w:after="0" w:line="240" w:lineRule="auto"/>
        <w:rPr>
          <w:rFonts w:ascii="Arial" w:hAnsi="Arial"/>
          <w:b/>
          <w:bCs/>
          <w:sz w:val="17"/>
          <w:szCs w:val="17"/>
          <w:lang w:val="en-US"/>
        </w:rPr>
      </w:pPr>
      <w:r w:rsidRPr="00B15107">
        <w:rPr>
          <w:rFonts w:ascii="Tahoma" w:hAnsi="Tahoma" w:cs="Tahoma"/>
          <w:sz w:val="17"/>
          <w:szCs w:val="17"/>
          <w:vertAlign w:val="superscript"/>
          <w:lang w:val="en-US"/>
        </w:rPr>
        <w:t>a</w:t>
      </w:r>
      <w:r w:rsidRPr="00B15107">
        <w:rPr>
          <w:rFonts w:ascii="Tahoma" w:hAnsi="Tahoma" w:cs="Tahoma"/>
          <w:b/>
          <w:sz w:val="17"/>
          <w:szCs w:val="17"/>
          <w:vertAlign w:val="superscript"/>
          <w:lang w:val="en-US"/>
        </w:rPr>
        <w:t xml:space="preserve"> </w:t>
      </w:r>
      <w:r w:rsidRPr="00D3301D">
        <w:rPr>
          <w:rFonts w:ascii="Arial" w:hAnsi="Arial"/>
          <w:sz w:val="17"/>
          <w:szCs w:val="17"/>
          <w:lang w:val="en-US"/>
        </w:rPr>
        <w:t>Bonferroni-adjusted</w:t>
      </w:r>
      <w:r w:rsidRPr="00D3301D">
        <w:rPr>
          <w:rFonts w:ascii="Arial" w:hAnsi="Arial"/>
          <w:i/>
          <w:sz w:val="17"/>
          <w:szCs w:val="17"/>
          <w:lang w:val="en-US"/>
        </w:rPr>
        <w:t xml:space="preserve"> </w:t>
      </w:r>
      <w:r w:rsidRPr="00D3301D">
        <w:rPr>
          <w:rFonts w:ascii="Arial" w:hAnsi="Arial"/>
          <w:sz w:val="17"/>
          <w:szCs w:val="17"/>
          <w:lang w:val="en-US"/>
        </w:rPr>
        <w:t>α: 0.006</w:t>
      </w:r>
      <w:r w:rsidR="00B15107">
        <w:rPr>
          <w:rFonts w:ascii="Arial" w:hAnsi="Arial"/>
          <w:sz w:val="17"/>
          <w:szCs w:val="17"/>
          <w:lang w:val="en-US"/>
        </w:rPr>
        <w:t xml:space="preserve">. Statistically significant values are </w:t>
      </w:r>
      <w:r w:rsidR="00B15107" w:rsidRPr="009C3A97">
        <w:rPr>
          <w:rFonts w:ascii="Arial" w:hAnsi="Arial"/>
          <w:sz w:val="17"/>
          <w:szCs w:val="17"/>
          <w:lang w:val="en-US"/>
        </w:rPr>
        <w:t>bold</w:t>
      </w:r>
      <w:r w:rsidR="00B15107">
        <w:rPr>
          <w:rFonts w:ascii="Arial" w:hAnsi="Arial"/>
          <w:b/>
          <w:bCs/>
          <w:sz w:val="17"/>
          <w:szCs w:val="17"/>
          <w:lang w:val="en-US"/>
        </w:rPr>
        <w:t xml:space="preserve"> </w:t>
      </w:r>
    </w:p>
    <w:p w14:paraId="5780155B" w14:textId="5999665F" w:rsidR="00D3301D" w:rsidRPr="00D3301D" w:rsidRDefault="00AB0CFF" w:rsidP="00D3301D">
      <w:pPr>
        <w:spacing w:after="0" w:line="240" w:lineRule="auto"/>
        <w:rPr>
          <w:rFonts w:ascii="Arial" w:hAnsi="Arial"/>
          <w:sz w:val="17"/>
          <w:szCs w:val="17"/>
          <w:lang w:val="en-US"/>
        </w:rPr>
      </w:pPr>
      <w:r w:rsidRPr="00AB0CFF">
        <w:rPr>
          <w:rFonts w:ascii="Arial" w:hAnsi="Arial"/>
          <w:sz w:val="17"/>
          <w:szCs w:val="17"/>
          <w:vertAlign w:val="superscript"/>
          <w:lang w:val="en-US"/>
        </w:rPr>
        <w:t>b</w:t>
      </w:r>
      <w:r>
        <w:rPr>
          <w:rFonts w:ascii="Arial" w:hAnsi="Arial"/>
          <w:sz w:val="17"/>
          <w:szCs w:val="17"/>
          <w:vertAlign w:val="superscript"/>
          <w:lang w:val="en-US"/>
        </w:rPr>
        <w:t xml:space="preserve"> </w:t>
      </w:r>
      <w:r w:rsidR="00D3301D" w:rsidRPr="00D3301D">
        <w:rPr>
          <w:rFonts w:ascii="Arial" w:hAnsi="Arial"/>
          <w:sz w:val="17"/>
          <w:szCs w:val="17"/>
          <w:lang w:val="en-US"/>
        </w:rPr>
        <w:t xml:space="preserve">The ‘other HPV types’-group was excluded from analysis. The </w:t>
      </w:r>
      <w:r w:rsidR="00D3301D" w:rsidRPr="00D3301D">
        <w:rPr>
          <w:rFonts w:ascii="Arial" w:hAnsi="Arial"/>
          <w:i/>
          <w:sz w:val="17"/>
          <w:szCs w:val="17"/>
          <w:lang w:val="en-US"/>
        </w:rPr>
        <w:t>P</w:t>
      </w:r>
      <w:r w:rsidR="00D3301D" w:rsidRPr="00D3301D">
        <w:rPr>
          <w:rFonts w:ascii="Arial" w:hAnsi="Arial"/>
          <w:sz w:val="17"/>
          <w:szCs w:val="17"/>
          <w:lang w:val="en-US"/>
        </w:rPr>
        <w:t xml:space="preserve">-value stated is the result of the global Chi-square test. </w:t>
      </w:r>
      <w:r w:rsidR="00D3301D" w:rsidRPr="00D3301D">
        <w:rPr>
          <w:rFonts w:ascii="Arial" w:hAnsi="Arial"/>
          <w:i/>
          <w:sz w:val="17"/>
          <w:szCs w:val="17"/>
          <w:lang w:val="en-US"/>
        </w:rPr>
        <w:t>P</w:t>
      </w:r>
      <w:r w:rsidR="00D3301D" w:rsidRPr="00D3301D">
        <w:rPr>
          <w:rFonts w:ascii="Arial" w:hAnsi="Arial"/>
          <w:sz w:val="17"/>
          <w:szCs w:val="17"/>
          <w:lang w:val="en-US"/>
        </w:rPr>
        <w:t>-values of individual tests were compared to a Bonferroni-adjusted α. HPV18 was significantly enriched in the columnar-derived group (</w:t>
      </w:r>
      <w:r w:rsidR="00D3301D" w:rsidRPr="00D3301D">
        <w:rPr>
          <w:rFonts w:ascii="Arial" w:hAnsi="Arial"/>
          <w:i/>
          <w:sz w:val="17"/>
          <w:szCs w:val="17"/>
          <w:lang w:val="en-US"/>
        </w:rPr>
        <w:t>χ</w:t>
      </w:r>
      <w:r w:rsidR="00D3301D" w:rsidRPr="00D3301D">
        <w:rPr>
          <w:rFonts w:ascii="Arial" w:hAnsi="Arial"/>
          <w:sz w:val="17"/>
          <w:szCs w:val="17"/>
          <w:vertAlign w:val="superscript"/>
          <w:lang w:val="en-US"/>
        </w:rPr>
        <w:t>2</w:t>
      </w:r>
      <w:r w:rsidR="00D3301D" w:rsidRPr="00D3301D">
        <w:rPr>
          <w:rFonts w:ascii="Arial" w:hAnsi="Arial"/>
          <w:sz w:val="17"/>
          <w:szCs w:val="17"/>
          <w:lang w:val="en-US"/>
        </w:rPr>
        <w:t xml:space="preserve"> = 41.25, df =1, </w:t>
      </w:r>
      <w:r w:rsidR="00D3301D" w:rsidRPr="00D3301D">
        <w:rPr>
          <w:rFonts w:ascii="Arial" w:hAnsi="Arial"/>
          <w:i/>
          <w:sz w:val="17"/>
          <w:szCs w:val="17"/>
          <w:lang w:val="en-US"/>
        </w:rPr>
        <w:t>P</w:t>
      </w:r>
      <w:r w:rsidR="00D3301D" w:rsidRPr="00D3301D">
        <w:rPr>
          <w:rFonts w:ascii="Arial" w:hAnsi="Arial"/>
          <w:sz w:val="17"/>
          <w:szCs w:val="17"/>
          <w:lang w:val="en-US"/>
        </w:rPr>
        <w:t>&lt;0.00001)</w:t>
      </w:r>
    </w:p>
    <w:p w14:paraId="52F3F372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07987E7D" w14:textId="3C18CC58" w:rsidR="00D3301D" w:rsidRDefault="00D3301D" w:rsidP="00D3301D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</w:p>
    <w:p w14:paraId="1E642343" w14:textId="02A98C46" w:rsidR="009D7C7D" w:rsidRDefault="009D7C7D" w:rsidP="00D3301D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</w:p>
    <w:p w14:paraId="3D76FF1E" w14:textId="77777777" w:rsidR="009D7C7D" w:rsidRDefault="009D7C7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00392C20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2C5E6945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3CF944E6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41D502B2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23D54A05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4885761C" w14:textId="77777777" w:rsidR="00D3301D" w:rsidRDefault="00D3301D" w:rsidP="00D3301D">
      <w:pPr>
        <w:spacing w:line="240" w:lineRule="auto"/>
        <w:rPr>
          <w:rFonts w:ascii="Arial" w:hAnsi="Arial"/>
          <w:sz w:val="16"/>
          <w:szCs w:val="16"/>
          <w:lang w:val="en-US"/>
        </w:rPr>
      </w:pPr>
    </w:p>
    <w:p w14:paraId="42585B49" w14:textId="77777777" w:rsidR="00D3301D" w:rsidRDefault="00D3301D" w:rsidP="00D3301D">
      <w:pPr>
        <w:jc w:val="both"/>
        <w:rPr>
          <w:rFonts w:eastAsia="Times New Roman" w:cs="Times New Roman"/>
          <w:bCs/>
        </w:rPr>
      </w:pPr>
    </w:p>
    <w:p w14:paraId="52B2C893" w14:textId="2E799F04" w:rsidR="00D3301D" w:rsidRDefault="00D3301D" w:rsidP="00D3301D">
      <w:pPr>
        <w:jc w:val="both"/>
        <w:rPr>
          <w:rFonts w:eastAsia="Times New Roman" w:cs="Times New Roman"/>
          <w:bCs/>
        </w:rPr>
      </w:pPr>
    </w:p>
    <w:p w14:paraId="65CEED7D" w14:textId="77777777" w:rsidR="00DB3B63" w:rsidRPr="009C39EF" w:rsidRDefault="00DB3B63" w:rsidP="00EF79FB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sectPr w:rsidR="00DB3B63" w:rsidRPr="009C3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EBF8" w14:textId="77777777" w:rsidR="00E67D38" w:rsidRDefault="00E67D38" w:rsidP="00EC64C8">
      <w:pPr>
        <w:spacing w:after="0" w:line="240" w:lineRule="auto"/>
      </w:pPr>
      <w:r>
        <w:separator/>
      </w:r>
    </w:p>
  </w:endnote>
  <w:endnote w:type="continuationSeparator" w:id="0">
    <w:p w14:paraId="5F777ED3" w14:textId="77777777" w:rsidR="00E67D38" w:rsidRDefault="00E67D38" w:rsidP="00E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8431" w14:textId="77777777" w:rsidR="00E67D38" w:rsidRDefault="00E67D38" w:rsidP="00EC64C8">
      <w:pPr>
        <w:spacing w:after="0" w:line="240" w:lineRule="auto"/>
      </w:pPr>
      <w:r>
        <w:separator/>
      </w:r>
    </w:p>
  </w:footnote>
  <w:footnote w:type="continuationSeparator" w:id="0">
    <w:p w14:paraId="5D1FC69E" w14:textId="77777777" w:rsidR="00E67D38" w:rsidRDefault="00E67D38" w:rsidP="00EC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B04"/>
    <w:multiLevelType w:val="hybridMultilevel"/>
    <w:tmpl w:val="955C9918"/>
    <w:lvl w:ilvl="0" w:tplc="9B72D220">
      <w:start w:val="8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9A"/>
    <w:rsid w:val="00012871"/>
    <w:rsid w:val="00027354"/>
    <w:rsid w:val="000276A0"/>
    <w:rsid w:val="00033265"/>
    <w:rsid w:val="0003339E"/>
    <w:rsid w:val="000441B3"/>
    <w:rsid w:val="0006425E"/>
    <w:rsid w:val="00075ABA"/>
    <w:rsid w:val="00080CAA"/>
    <w:rsid w:val="0008459F"/>
    <w:rsid w:val="000849A3"/>
    <w:rsid w:val="0008731F"/>
    <w:rsid w:val="0009276F"/>
    <w:rsid w:val="00095704"/>
    <w:rsid w:val="000A2789"/>
    <w:rsid w:val="000A3216"/>
    <w:rsid w:val="000A5550"/>
    <w:rsid w:val="000B6736"/>
    <w:rsid w:val="000D7AB7"/>
    <w:rsid w:val="000E3A75"/>
    <w:rsid w:val="000F0F81"/>
    <w:rsid w:val="00103EF8"/>
    <w:rsid w:val="00105822"/>
    <w:rsid w:val="0011149D"/>
    <w:rsid w:val="001120FC"/>
    <w:rsid w:val="001350BD"/>
    <w:rsid w:val="00166AB5"/>
    <w:rsid w:val="00176746"/>
    <w:rsid w:val="00177622"/>
    <w:rsid w:val="00180A5D"/>
    <w:rsid w:val="00182F5A"/>
    <w:rsid w:val="001958E6"/>
    <w:rsid w:val="001C1DFE"/>
    <w:rsid w:val="001C57E5"/>
    <w:rsid w:val="001C6C8E"/>
    <w:rsid w:val="001F7E13"/>
    <w:rsid w:val="00203ABF"/>
    <w:rsid w:val="00203D56"/>
    <w:rsid w:val="00212432"/>
    <w:rsid w:val="00215C2E"/>
    <w:rsid w:val="002418B3"/>
    <w:rsid w:val="002477B2"/>
    <w:rsid w:val="00250CC6"/>
    <w:rsid w:val="00251C80"/>
    <w:rsid w:val="00253B26"/>
    <w:rsid w:val="002540A4"/>
    <w:rsid w:val="00265202"/>
    <w:rsid w:val="002713F7"/>
    <w:rsid w:val="00271D5E"/>
    <w:rsid w:val="00281253"/>
    <w:rsid w:val="002830A6"/>
    <w:rsid w:val="002A34F3"/>
    <w:rsid w:val="002A528D"/>
    <w:rsid w:val="002B6842"/>
    <w:rsid w:val="002C2AB9"/>
    <w:rsid w:val="002C77CC"/>
    <w:rsid w:val="002E08F6"/>
    <w:rsid w:val="00301572"/>
    <w:rsid w:val="00314E9F"/>
    <w:rsid w:val="00336BE4"/>
    <w:rsid w:val="00344FB2"/>
    <w:rsid w:val="00355407"/>
    <w:rsid w:val="00356F5A"/>
    <w:rsid w:val="003611B4"/>
    <w:rsid w:val="00366E3D"/>
    <w:rsid w:val="0037065F"/>
    <w:rsid w:val="00386141"/>
    <w:rsid w:val="003952B8"/>
    <w:rsid w:val="003B623A"/>
    <w:rsid w:val="003D5CC4"/>
    <w:rsid w:val="003D65D0"/>
    <w:rsid w:val="003E611B"/>
    <w:rsid w:val="003F0A7D"/>
    <w:rsid w:val="003F110D"/>
    <w:rsid w:val="003F2820"/>
    <w:rsid w:val="00403A7E"/>
    <w:rsid w:val="004118E5"/>
    <w:rsid w:val="00421A32"/>
    <w:rsid w:val="00460E4C"/>
    <w:rsid w:val="00466BA5"/>
    <w:rsid w:val="00470456"/>
    <w:rsid w:val="00485B68"/>
    <w:rsid w:val="004A335F"/>
    <w:rsid w:val="004A3F84"/>
    <w:rsid w:val="004A7BB2"/>
    <w:rsid w:val="004C57E5"/>
    <w:rsid w:val="004C7896"/>
    <w:rsid w:val="00500A9A"/>
    <w:rsid w:val="00504442"/>
    <w:rsid w:val="0051756A"/>
    <w:rsid w:val="005175C5"/>
    <w:rsid w:val="00545795"/>
    <w:rsid w:val="00554592"/>
    <w:rsid w:val="005552EB"/>
    <w:rsid w:val="00555F85"/>
    <w:rsid w:val="00557122"/>
    <w:rsid w:val="005610C7"/>
    <w:rsid w:val="00564BA7"/>
    <w:rsid w:val="00566B4F"/>
    <w:rsid w:val="00581071"/>
    <w:rsid w:val="00593F68"/>
    <w:rsid w:val="005944E0"/>
    <w:rsid w:val="0059559A"/>
    <w:rsid w:val="005B49EE"/>
    <w:rsid w:val="005B58DD"/>
    <w:rsid w:val="005D2368"/>
    <w:rsid w:val="00600B98"/>
    <w:rsid w:val="0060134A"/>
    <w:rsid w:val="00625CE4"/>
    <w:rsid w:val="00631063"/>
    <w:rsid w:val="00640CE6"/>
    <w:rsid w:val="00643B3B"/>
    <w:rsid w:val="006478D6"/>
    <w:rsid w:val="006634E4"/>
    <w:rsid w:val="0068078E"/>
    <w:rsid w:val="0068260F"/>
    <w:rsid w:val="006858C0"/>
    <w:rsid w:val="0068640F"/>
    <w:rsid w:val="006946E5"/>
    <w:rsid w:val="006A0E04"/>
    <w:rsid w:val="006B6B99"/>
    <w:rsid w:val="006C1A13"/>
    <w:rsid w:val="006E00E8"/>
    <w:rsid w:val="006E4E39"/>
    <w:rsid w:val="006F1FC4"/>
    <w:rsid w:val="006F3B8A"/>
    <w:rsid w:val="00701F8F"/>
    <w:rsid w:val="00727AAF"/>
    <w:rsid w:val="0074102E"/>
    <w:rsid w:val="00784282"/>
    <w:rsid w:val="00795431"/>
    <w:rsid w:val="00796EB6"/>
    <w:rsid w:val="00797079"/>
    <w:rsid w:val="007B3F4A"/>
    <w:rsid w:val="007B4BE5"/>
    <w:rsid w:val="007D03F7"/>
    <w:rsid w:val="007D2A69"/>
    <w:rsid w:val="007D4FD0"/>
    <w:rsid w:val="007D5C05"/>
    <w:rsid w:val="007E40AB"/>
    <w:rsid w:val="007E5234"/>
    <w:rsid w:val="007E786A"/>
    <w:rsid w:val="007F07EB"/>
    <w:rsid w:val="007F33E6"/>
    <w:rsid w:val="008108EB"/>
    <w:rsid w:val="008114A8"/>
    <w:rsid w:val="008237C9"/>
    <w:rsid w:val="00862CB9"/>
    <w:rsid w:val="00866F45"/>
    <w:rsid w:val="00870B76"/>
    <w:rsid w:val="0088399A"/>
    <w:rsid w:val="00887E55"/>
    <w:rsid w:val="008B0A43"/>
    <w:rsid w:val="008B138E"/>
    <w:rsid w:val="008B6D0B"/>
    <w:rsid w:val="008D56C6"/>
    <w:rsid w:val="008E3E4B"/>
    <w:rsid w:val="008E4A25"/>
    <w:rsid w:val="008F7336"/>
    <w:rsid w:val="00900404"/>
    <w:rsid w:val="00902E29"/>
    <w:rsid w:val="00907F6C"/>
    <w:rsid w:val="0091405B"/>
    <w:rsid w:val="00920140"/>
    <w:rsid w:val="00927818"/>
    <w:rsid w:val="00952ADF"/>
    <w:rsid w:val="0096091C"/>
    <w:rsid w:val="00975220"/>
    <w:rsid w:val="009830EC"/>
    <w:rsid w:val="00983CF9"/>
    <w:rsid w:val="00993B04"/>
    <w:rsid w:val="0099455E"/>
    <w:rsid w:val="009C009E"/>
    <w:rsid w:val="009C39EF"/>
    <w:rsid w:val="009C3A97"/>
    <w:rsid w:val="009D1297"/>
    <w:rsid w:val="009D1E1C"/>
    <w:rsid w:val="009D4E40"/>
    <w:rsid w:val="009D7C7D"/>
    <w:rsid w:val="009F1892"/>
    <w:rsid w:val="00A00C24"/>
    <w:rsid w:val="00A10D10"/>
    <w:rsid w:val="00A10D86"/>
    <w:rsid w:val="00A13870"/>
    <w:rsid w:val="00A24F5E"/>
    <w:rsid w:val="00A356A4"/>
    <w:rsid w:val="00A42471"/>
    <w:rsid w:val="00A521FD"/>
    <w:rsid w:val="00A5453A"/>
    <w:rsid w:val="00A65F06"/>
    <w:rsid w:val="00A73B0E"/>
    <w:rsid w:val="00A94DED"/>
    <w:rsid w:val="00AB0CFF"/>
    <w:rsid w:val="00AC6E0D"/>
    <w:rsid w:val="00AD2C78"/>
    <w:rsid w:val="00AD59FA"/>
    <w:rsid w:val="00B07361"/>
    <w:rsid w:val="00B129D5"/>
    <w:rsid w:val="00B15107"/>
    <w:rsid w:val="00B160EF"/>
    <w:rsid w:val="00B1656B"/>
    <w:rsid w:val="00B1693E"/>
    <w:rsid w:val="00B326EB"/>
    <w:rsid w:val="00B36C1E"/>
    <w:rsid w:val="00B4043B"/>
    <w:rsid w:val="00B52563"/>
    <w:rsid w:val="00B52EC7"/>
    <w:rsid w:val="00B60CA1"/>
    <w:rsid w:val="00B71417"/>
    <w:rsid w:val="00B84B68"/>
    <w:rsid w:val="00B8695B"/>
    <w:rsid w:val="00BA5E5B"/>
    <w:rsid w:val="00BC1FC0"/>
    <w:rsid w:val="00BF0934"/>
    <w:rsid w:val="00BF5D44"/>
    <w:rsid w:val="00C02728"/>
    <w:rsid w:val="00C0776F"/>
    <w:rsid w:val="00C2016F"/>
    <w:rsid w:val="00C24FEB"/>
    <w:rsid w:val="00C304B5"/>
    <w:rsid w:val="00C363F3"/>
    <w:rsid w:val="00C53A59"/>
    <w:rsid w:val="00C5475F"/>
    <w:rsid w:val="00C74A8E"/>
    <w:rsid w:val="00C81373"/>
    <w:rsid w:val="00C968DF"/>
    <w:rsid w:val="00CA1FD3"/>
    <w:rsid w:val="00CA3615"/>
    <w:rsid w:val="00CE31DA"/>
    <w:rsid w:val="00CE4509"/>
    <w:rsid w:val="00CE7F6A"/>
    <w:rsid w:val="00CF2D39"/>
    <w:rsid w:val="00D13D36"/>
    <w:rsid w:val="00D3301D"/>
    <w:rsid w:val="00D539CB"/>
    <w:rsid w:val="00D717C6"/>
    <w:rsid w:val="00D9574D"/>
    <w:rsid w:val="00D96E0D"/>
    <w:rsid w:val="00DB1381"/>
    <w:rsid w:val="00DB3B63"/>
    <w:rsid w:val="00DB486C"/>
    <w:rsid w:val="00DB6DFF"/>
    <w:rsid w:val="00DC0070"/>
    <w:rsid w:val="00DD1DB5"/>
    <w:rsid w:val="00E25961"/>
    <w:rsid w:val="00E27CB7"/>
    <w:rsid w:val="00E310F3"/>
    <w:rsid w:val="00E62CE2"/>
    <w:rsid w:val="00E64229"/>
    <w:rsid w:val="00E67D38"/>
    <w:rsid w:val="00E938B5"/>
    <w:rsid w:val="00EA36C8"/>
    <w:rsid w:val="00EB2939"/>
    <w:rsid w:val="00EB320D"/>
    <w:rsid w:val="00EC64C8"/>
    <w:rsid w:val="00ED29F9"/>
    <w:rsid w:val="00ED39ED"/>
    <w:rsid w:val="00ED46A3"/>
    <w:rsid w:val="00ED7189"/>
    <w:rsid w:val="00ED74D0"/>
    <w:rsid w:val="00EF282F"/>
    <w:rsid w:val="00EF79FB"/>
    <w:rsid w:val="00F009B2"/>
    <w:rsid w:val="00F03BCF"/>
    <w:rsid w:val="00F06E56"/>
    <w:rsid w:val="00F129F4"/>
    <w:rsid w:val="00F21ECA"/>
    <w:rsid w:val="00F33594"/>
    <w:rsid w:val="00F35E17"/>
    <w:rsid w:val="00F7084E"/>
    <w:rsid w:val="00F76DB0"/>
    <w:rsid w:val="00F9334B"/>
    <w:rsid w:val="00FA736E"/>
    <w:rsid w:val="00FB271D"/>
    <w:rsid w:val="00FC5850"/>
    <w:rsid w:val="00FD499D"/>
    <w:rsid w:val="00FE1948"/>
    <w:rsid w:val="00FE3A48"/>
    <w:rsid w:val="00FE5D9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CEDD"/>
  <w15:chartTrackingRefBased/>
  <w15:docId w15:val="{AA346F8C-F8C9-4010-9904-3FD6156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F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C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4C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C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4C8"/>
    <w:rPr>
      <w:lang w:val="en-GB"/>
    </w:rPr>
  </w:style>
  <w:style w:type="table" w:styleId="Onopgemaaktetabel5">
    <w:name w:val="Plain Table 5"/>
    <w:basedOn w:val="Standaardtabel"/>
    <w:uiPriority w:val="45"/>
    <w:rsid w:val="00E62C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EF28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F8F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74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74D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74D0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74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74D0"/>
    <w:rPr>
      <w:b/>
      <w:bCs/>
      <w:sz w:val="20"/>
      <w:szCs w:val="20"/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7F07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F07EB"/>
    <w:rPr>
      <w:rFonts w:ascii="Arial" w:eastAsia="Arial" w:hAnsi="Arial" w:cs="Arial"/>
      <w:sz w:val="10"/>
      <w:szCs w:val="1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6EAC5E-AAF5-4CEA-8B78-BE78E6E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Khelil</dc:creator>
  <cp:keywords/>
  <dc:description/>
  <cp:lastModifiedBy>KHELIL Jasmine</cp:lastModifiedBy>
  <cp:revision>2</cp:revision>
  <cp:lastPrinted>2020-04-17T23:56:00Z</cp:lastPrinted>
  <dcterms:created xsi:type="dcterms:W3CDTF">2020-11-15T21:31:00Z</dcterms:created>
  <dcterms:modified xsi:type="dcterms:W3CDTF">2020-11-15T21:31:00Z</dcterms:modified>
</cp:coreProperties>
</file>