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10F36" w14:textId="77777777" w:rsidR="00070BD1" w:rsidRPr="00542CE6" w:rsidRDefault="00A249EE">
      <w:pPr>
        <w:rPr>
          <w:rFonts w:ascii="Arial" w:hAnsi="Arial" w:cs="Arial"/>
          <w:b/>
          <w:sz w:val="20"/>
          <w:szCs w:val="20"/>
        </w:rPr>
      </w:pPr>
      <w:r w:rsidRPr="00542CE6">
        <w:rPr>
          <w:rFonts w:ascii="Arial" w:hAnsi="Arial" w:cs="Arial"/>
          <w:b/>
          <w:sz w:val="20"/>
          <w:szCs w:val="20"/>
        </w:rPr>
        <w:t>SUPPLEMENTAL METHODS</w:t>
      </w:r>
    </w:p>
    <w:p w14:paraId="026B1107" w14:textId="498C3175" w:rsidR="00756F49" w:rsidRPr="00542CE6" w:rsidRDefault="00756F49" w:rsidP="005A1FFD">
      <w:pPr>
        <w:pStyle w:val="Heading2"/>
        <w:rPr>
          <w:sz w:val="20"/>
          <w:szCs w:val="20"/>
        </w:rPr>
      </w:pPr>
      <w:r w:rsidRPr="00542CE6">
        <w:rPr>
          <w:sz w:val="20"/>
          <w:szCs w:val="20"/>
        </w:rPr>
        <w:t>Patient bone marrow biopsies</w:t>
      </w:r>
    </w:p>
    <w:p w14:paraId="5634408A" w14:textId="62CB4155" w:rsidR="00A65384" w:rsidRPr="00542CE6" w:rsidRDefault="00756F49" w:rsidP="00A65384">
      <w:pPr>
        <w:rPr>
          <w:rFonts w:ascii="Arial" w:hAnsi="Arial" w:cs="Arial"/>
          <w:sz w:val="20"/>
          <w:szCs w:val="20"/>
        </w:rPr>
      </w:pPr>
      <w:r w:rsidRPr="00542CE6">
        <w:rPr>
          <w:rFonts w:ascii="Arial" w:hAnsi="Arial" w:cs="Arial"/>
          <w:sz w:val="20"/>
          <w:szCs w:val="20"/>
        </w:rPr>
        <w:t xml:space="preserve">Briefly, 3-mm trephine-needle bone marrow biopsies were obtained from the iliac crest of 18 controls, 16 MGUS subjects, and 19 newly-diagnosed MM patients before and after treatment with </w:t>
      </w:r>
      <w:proofErr w:type="spellStart"/>
      <w:r w:rsidRPr="00542CE6">
        <w:rPr>
          <w:rFonts w:ascii="Arial" w:hAnsi="Arial" w:cs="Arial"/>
          <w:sz w:val="20"/>
          <w:szCs w:val="20"/>
        </w:rPr>
        <w:t>bortezomib</w:t>
      </w:r>
      <w:proofErr w:type="spellEnd"/>
      <w:r w:rsidRPr="00542CE6">
        <w:rPr>
          <w:rFonts w:ascii="Arial" w:hAnsi="Arial" w:cs="Arial"/>
          <w:sz w:val="20"/>
          <w:szCs w:val="20"/>
        </w:rPr>
        <w:t xml:space="preserve"> /cyclophosphamide-dexamethasone, foll</w:t>
      </w:r>
      <w:bookmarkStart w:id="0" w:name="_GoBack"/>
      <w:bookmarkEnd w:id="0"/>
      <w:r w:rsidRPr="00542CE6">
        <w:rPr>
          <w:rFonts w:ascii="Arial" w:hAnsi="Arial" w:cs="Arial"/>
          <w:sz w:val="20"/>
          <w:szCs w:val="20"/>
        </w:rPr>
        <w:t xml:space="preserve">owed by autologous stem cell transplantation. All included subjects and patients were age and sex-matched and the mean age for all groups was 57-59 years. The control cohort originated from patients undergoing a hematological examination, showing no skeletal disorder or treatment known to affect the bone. </w:t>
      </w:r>
      <w:r w:rsidR="00A65384" w:rsidRPr="00542CE6">
        <w:rPr>
          <w:rFonts w:ascii="Arial" w:hAnsi="Arial" w:cs="Arial"/>
          <w:sz w:val="20"/>
          <w:szCs w:val="20"/>
        </w:rPr>
        <w:t xml:space="preserve">The mean time between harvest of the diagnostic biopsy and the response evaluating biopsy was 186 (98–300) days, while the mean time between the date of stem cell infusion and the biopsy sampling was 58 (19–117) days. </w:t>
      </w:r>
      <w:r w:rsidR="005A117A" w:rsidRPr="00542CE6">
        <w:rPr>
          <w:rFonts w:ascii="Arial" w:hAnsi="Arial" w:cs="Arial"/>
          <w:sz w:val="20"/>
          <w:szCs w:val="20"/>
        </w:rPr>
        <w:t xml:space="preserve">These samples have been previously described </w:t>
      </w:r>
      <w:r w:rsidR="005A117A"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{"citationItems":[{"id":"ITEM-1","itemData":{"DOI":"10.1111/bjh.13584","ISSN":"1365-2141","PMID":"26212720","abstract":"Bone loss in multiple myeloma (MM) is caused by an uncoupling of bone formation to resorption trigged by malignant plasma cells. Increasing evidence indicates that the bone remodelling compartment (BRC) canopy, which normally covers the remodelling sites, is important for coupled bone remodelling. Loss of this canopy has been associated with bone loss. This study addresses whether the bone remodelling in MM is improved by high-dose therapy. Bone marrow biopsies obtained from 20 MM patients, before and after first-line treatment with high-dose melphalan followed by autologous stem cell transplantation, and from 20 control patients with monoclonal gammopathy of undetermined significance were histomorphometrically investigated. This investigation confirmed that MM patients exhibited uncoupled bone formation to resorption and reduced canopy coverage. More importantly, this study revealed that a good response to anti-myeloma treatment increased the extent of formative bone surfaces with canopy, and reduced the extent of eroded surfaces without canopy, reverting the uncoupled bone remodelling, while improving canopy coverage. The association between improved coupling and the canopy coverage supports the notion that canopies are critical for the coupling of bone formation to resorption. Furthermore, this study supports the observation that systemic bone disease in MM can be reversed in MM patients responding to anti-myeloma treatment.","author":[{"dropping-particle":"","family":"Hinge","given":"Maja","non-dropping-particle":"","parse-names":false,"suffix":""},{"dropping-particle":"","family":"Delaisse","given":"Jean-Marie","non-dropping-particle":"","parse-names":false,"suffix":""},{"dropping-particle":"","family":"Plesner","given":"Torben","non-dropping-particle":"","parse-names":false,"suffix":""},{"dropping-particle":"","family":"Clasen-Linde","given":"Erik","non-dropping-particle":"","parse-names":false,"suffix":""},{"dropping-particle":"","family":"Salomo","given":"Morten","non-dropping-particle":"","parse-names":false,"suffix":""},{"dropping-particle":"","family":"Andersen","given":"Thomas Levin","non-dropping-particle":"","parse-names":false,"suffix":""}],"container-title":"British journal of haematology","id":"ITEM-1","issue":"3","issued":{"date-parts":[["2015","11"]]},"page":"355-65","title":"High-dose therapy improves the bone remodelling compartment canopy coverage and bone formation in multiple myeloma.","type":"article-journal","volume":"171"},"uris":["http://www.mendeley.com/documents/?uuid=0b32339a-33e4-3552-92d9-62abf5c6a66a"]}],"mendeley":{"formattedCitation":"(1)","plainTextFormattedCitation":"(1)"},"properties":{"noteIndex":0},"schema":"https://github.com/citation-style-language/schema/raw/master/csl-citation.json"}</w:instrText>
      </w:r>
      <w:r w:rsidR="005A117A" w:rsidRPr="00542CE6">
        <w:rPr>
          <w:rFonts w:ascii="Arial" w:hAnsi="Arial" w:cs="Arial"/>
          <w:sz w:val="20"/>
          <w:szCs w:val="20"/>
        </w:rPr>
        <w:fldChar w:fldCharType="separate"/>
      </w:r>
      <w:r w:rsidR="005A117A" w:rsidRPr="00542CE6">
        <w:rPr>
          <w:rFonts w:ascii="Arial" w:hAnsi="Arial" w:cs="Arial"/>
          <w:noProof/>
          <w:sz w:val="20"/>
          <w:szCs w:val="20"/>
        </w:rPr>
        <w:t>(1)</w:t>
      </w:r>
      <w:r w:rsidR="005A117A" w:rsidRPr="00542CE6">
        <w:rPr>
          <w:rFonts w:ascii="Arial" w:hAnsi="Arial" w:cs="Arial"/>
          <w:sz w:val="20"/>
          <w:szCs w:val="20"/>
        </w:rPr>
        <w:fldChar w:fldCharType="end"/>
      </w:r>
      <w:r w:rsidR="005A117A" w:rsidRPr="00542CE6">
        <w:rPr>
          <w:rFonts w:ascii="Arial" w:hAnsi="Arial" w:cs="Arial"/>
          <w:sz w:val="20"/>
          <w:szCs w:val="20"/>
        </w:rPr>
        <w:t>.</w:t>
      </w:r>
    </w:p>
    <w:p w14:paraId="1B56B6AA" w14:textId="02CFC605" w:rsidR="00D56B3F" w:rsidRPr="00542CE6" w:rsidRDefault="00D56B3F" w:rsidP="00756F49">
      <w:pPr>
        <w:rPr>
          <w:rFonts w:ascii="Arial" w:hAnsi="Arial" w:cs="Arial"/>
          <w:b/>
          <w:i/>
          <w:sz w:val="20"/>
          <w:szCs w:val="20"/>
        </w:rPr>
      </w:pPr>
      <w:r w:rsidRPr="00542CE6">
        <w:rPr>
          <w:rFonts w:ascii="Arial" w:hAnsi="Arial" w:cs="Arial"/>
          <w:b/>
          <w:i/>
          <w:sz w:val="20"/>
          <w:szCs w:val="20"/>
        </w:rPr>
        <w:t>Histomorphometry of patient bone marrow biopsies- additional details</w:t>
      </w:r>
    </w:p>
    <w:p w14:paraId="116207FD" w14:textId="55964082" w:rsidR="00D56B3F" w:rsidRPr="00542CE6" w:rsidRDefault="00D56B3F" w:rsidP="00756F49">
      <w:pPr>
        <w:rPr>
          <w:rFonts w:ascii="Arial" w:hAnsi="Arial" w:cs="Arial"/>
          <w:sz w:val="20"/>
          <w:szCs w:val="20"/>
        </w:rPr>
      </w:pPr>
      <w:r w:rsidRPr="00542CE6">
        <w:rPr>
          <w:rFonts w:ascii="Arial" w:hAnsi="Arial" w:cs="Arial"/>
          <w:sz w:val="20"/>
          <w:szCs w:val="20"/>
        </w:rPr>
        <w:t xml:space="preserve">Stained sections were scanned at x20 using a Hamamatsu </w:t>
      </w:r>
      <w:proofErr w:type="spellStart"/>
      <w:r w:rsidRPr="00542CE6">
        <w:rPr>
          <w:rFonts w:ascii="Arial" w:hAnsi="Arial" w:cs="Arial"/>
          <w:sz w:val="20"/>
          <w:szCs w:val="20"/>
        </w:rPr>
        <w:t>NanoZoomer</w:t>
      </w:r>
      <w:proofErr w:type="spellEnd"/>
      <w:r w:rsidRPr="00542CE6">
        <w:rPr>
          <w:rFonts w:ascii="Arial" w:hAnsi="Arial" w:cs="Arial"/>
          <w:sz w:val="20"/>
          <w:szCs w:val="20"/>
        </w:rPr>
        <w:t xml:space="preserve"> 2.0 HT Digital slide scanner. Light microscopic analysis of the bone marrow biopsies was performed using </w:t>
      </w:r>
      <w:proofErr w:type="spellStart"/>
      <w:r w:rsidRPr="00542CE6">
        <w:rPr>
          <w:rFonts w:ascii="Arial" w:hAnsi="Arial" w:cs="Arial"/>
          <w:sz w:val="20"/>
          <w:szCs w:val="20"/>
        </w:rPr>
        <w:t>NanoZoomer</w:t>
      </w:r>
      <w:proofErr w:type="spellEnd"/>
      <w:r w:rsidRPr="00542CE6">
        <w:rPr>
          <w:rFonts w:ascii="Arial" w:hAnsi="Arial" w:cs="Arial"/>
          <w:sz w:val="20"/>
          <w:szCs w:val="20"/>
        </w:rPr>
        <w:t xml:space="preserve"> Digital Pathology view2 (NDP.view2) software with superimposed point- and box-grids. Masson’s trichrome stained sections were used for the assessment of adipocytes, while CD138 </w:t>
      </w:r>
      <w:proofErr w:type="spellStart"/>
      <w:r w:rsidRPr="00542CE6">
        <w:rPr>
          <w:rFonts w:ascii="Arial" w:hAnsi="Arial" w:cs="Arial"/>
          <w:sz w:val="20"/>
          <w:szCs w:val="20"/>
        </w:rPr>
        <w:t>immunostained</w:t>
      </w:r>
      <w:proofErr w:type="spellEnd"/>
      <w:r w:rsidRPr="00542CE6">
        <w:rPr>
          <w:rFonts w:ascii="Arial" w:hAnsi="Arial" w:cs="Arial"/>
          <w:sz w:val="20"/>
          <w:szCs w:val="20"/>
        </w:rPr>
        <w:t xml:space="preserve"> sections were used to assess tumor load.</w:t>
      </w:r>
    </w:p>
    <w:p w14:paraId="74C58E93" w14:textId="551A7490" w:rsidR="00FE6842" w:rsidRPr="00542CE6" w:rsidRDefault="00FE6842" w:rsidP="005A1FFD">
      <w:pPr>
        <w:pStyle w:val="Heading2"/>
        <w:rPr>
          <w:sz w:val="20"/>
          <w:szCs w:val="20"/>
        </w:rPr>
      </w:pPr>
      <w:r w:rsidRPr="00542CE6">
        <w:rPr>
          <w:sz w:val="20"/>
          <w:szCs w:val="20"/>
        </w:rPr>
        <w:t>Animal Experiments- additional details</w:t>
      </w:r>
    </w:p>
    <w:p w14:paraId="72F6AC09" w14:textId="02F86D57" w:rsidR="00FE6842" w:rsidRPr="00542CE6" w:rsidRDefault="005A117A" w:rsidP="5172DC5F">
      <w:pPr>
        <w:rPr>
          <w:rFonts w:ascii="Arial" w:eastAsia="Arial" w:hAnsi="Arial" w:cs="Arial"/>
          <w:sz w:val="20"/>
          <w:szCs w:val="20"/>
        </w:rPr>
      </w:pPr>
      <w:r w:rsidRPr="00542CE6">
        <w:rPr>
          <w:rFonts w:ascii="Arial" w:eastAsia="Arial" w:hAnsi="Arial" w:cs="Arial"/>
          <w:sz w:val="20"/>
          <w:szCs w:val="20"/>
        </w:rPr>
        <w:t>For</w:t>
      </w:r>
      <w:r w:rsidR="5172DC5F" w:rsidRPr="00542CE6">
        <w:rPr>
          <w:rFonts w:ascii="Arial" w:eastAsia="Arial" w:hAnsi="Arial" w:cs="Arial"/>
          <w:sz w:val="20"/>
          <w:szCs w:val="20"/>
        </w:rPr>
        <w:t xml:space="preserve"> the SCID-Beige MM.1S</w:t>
      </w:r>
      <w:r w:rsidR="5172DC5F" w:rsidRPr="00542CE6">
        <w:rPr>
          <w:rFonts w:ascii="Arial" w:eastAsia="Arial" w:hAnsi="Arial" w:cs="Arial"/>
          <w:sz w:val="20"/>
          <w:szCs w:val="20"/>
          <w:vertAlign w:val="superscript"/>
        </w:rPr>
        <w:t>gfp+luc+</w:t>
      </w:r>
      <w:r w:rsidR="5172DC5F" w:rsidRPr="00542CE6">
        <w:rPr>
          <w:rFonts w:ascii="Arial" w:eastAsia="Arial" w:hAnsi="Arial" w:cs="Arial"/>
          <w:sz w:val="20"/>
          <w:szCs w:val="20"/>
        </w:rPr>
        <w:t xml:space="preserve"> myeloma xenograft model, twelve-week old female Fox Chase SCID-Beige mice (Charles R</w:t>
      </w:r>
      <w:r w:rsidR="00A344FF" w:rsidRPr="00542CE6">
        <w:rPr>
          <w:rFonts w:ascii="Arial" w:eastAsia="Arial" w:hAnsi="Arial" w:cs="Arial"/>
          <w:sz w:val="20"/>
          <w:szCs w:val="20"/>
        </w:rPr>
        <w:t>iver Laboratory; Wilmington, MA</w:t>
      </w:r>
      <w:r w:rsidR="5172DC5F" w:rsidRPr="00542CE6">
        <w:rPr>
          <w:rFonts w:ascii="Arial" w:eastAsia="Arial" w:hAnsi="Arial" w:cs="Arial"/>
          <w:sz w:val="20"/>
          <w:szCs w:val="20"/>
        </w:rPr>
        <w:t>) were housed in the SPF facility at Maine Medical Center Research Institute. Upon arrival, SCID-Beige mice were group housed (n=2-5) with Alpha-</w:t>
      </w:r>
      <w:proofErr w:type="spellStart"/>
      <w:r w:rsidR="5172DC5F" w:rsidRPr="00542CE6">
        <w:rPr>
          <w:rFonts w:ascii="Arial" w:eastAsia="Arial" w:hAnsi="Arial" w:cs="Arial"/>
          <w:sz w:val="20"/>
          <w:szCs w:val="20"/>
        </w:rPr>
        <w:t>Dri</w:t>
      </w:r>
      <w:proofErr w:type="spellEnd"/>
      <w:r w:rsidR="5172DC5F" w:rsidRPr="00542CE6">
        <w:rPr>
          <w:rFonts w:ascii="Arial" w:eastAsia="Arial" w:hAnsi="Arial" w:cs="Arial"/>
          <w:sz w:val="20"/>
          <w:szCs w:val="20"/>
        </w:rPr>
        <w:t xml:space="preserve"> Plus Beddin</w:t>
      </w:r>
      <w:r w:rsidR="00A344FF" w:rsidRPr="00542CE6">
        <w:rPr>
          <w:rFonts w:ascii="Arial" w:eastAsia="Arial" w:hAnsi="Arial" w:cs="Arial"/>
          <w:sz w:val="20"/>
          <w:szCs w:val="20"/>
        </w:rPr>
        <w:t>g (Shepherd Specialty Paper, TN</w:t>
      </w:r>
      <w:r w:rsidR="5172DC5F" w:rsidRPr="00542CE6">
        <w:rPr>
          <w:rFonts w:ascii="Arial" w:eastAsia="Arial" w:hAnsi="Arial" w:cs="Arial"/>
          <w:sz w:val="20"/>
          <w:szCs w:val="20"/>
        </w:rPr>
        <w:t xml:space="preserve">) and had </w:t>
      </w:r>
      <w:r w:rsidR="5172DC5F" w:rsidRPr="00542CE6">
        <w:rPr>
          <w:rFonts w:ascii="Arial" w:eastAsia="Arial" w:hAnsi="Arial" w:cs="Arial"/>
          <w:i/>
          <w:iCs/>
          <w:sz w:val="20"/>
          <w:szCs w:val="20"/>
        </w:rPr>
        <w:t>ad libitum</w:t>
      </w:r>
      <w:r w:rsidR="5172DC5F" w:rsidRPr="00542CE6">
        <w:rPr>
          <w:rFonts w:ascii="Arial" w:eastAsia="Arial" w:hAnsi="Arial" w:cs="Arial"/>
          <w:sz w:val="20"/>
          <w:szCs w:val="20"/>
        </w:rPr>
        <w:t xml:space="preserve"> access to food (TEKLAD Global 2919 irradiated diet, ENVIGO, IN, USA) and autoclaved water in their home cages for the duration of the experiment. Naïve mice were randomly allocated to either group (naïve/vehicle or MM.1S) prior to tumor cell injection on day 0. C57</w:t>
      </w:r>
      <w:r w:rsidR="00A344FF" w:rsidRPr="00542CE6">
        <w:rPr>
          <w:rFonts w:ascii="Arial" w:eastAsia="Arial" w:hAnsi="Arial" w:cs="Arial"/>
          <w:sz w:val="20"/>
          <w:szCs w:val="20"/>
        </w:rPr>
        <w:t>BL</w:t>
      </w:r>
      <w:r w:rsidR="5172DC5F" w:rsidRPr="00542CE6">
        <w:rPr>
          <w:rFonts w:ascii="Arial" w:eastAsia="Arial" w:hAnsi="Arial" w:cs="Arial"/>
          <w:sz w:val="20"/>
          <w:szCs w:val="20"/>
        </w:rPr>
        <w:t>/</w:t>
      </w:r>
      <w:proofErr w:type="spellStart"/>
      <w:r w:rsidR="5172DC5F" w:rsidRPr="00542CE6">
        <w:rPr>
          <w:rFonts w:ascii="Arial" w:eastAsia="Arial" w:hAnsi="Arial" w:cs="Arial"/>
          <w:sz w:val="20"/>
          <w:szCs w:val="20"/>
        </w:rPr>
        <w:t>KaLwRijHsd</w:t>
      </w:r>
      <w:proofErr w:type="spellEnd"/>
      <w:r w:rsidR="5172DC5F" w:rsidRPr="00542CE6">
        <w:rPr>
          <w:rFonts w:ascii="Arial" w:eastAsia="Arial" w:hAnsi="Arial" w:cs="Arial"/>
          <w:sz w:val="20"/>
          <w:szCs w:val="20"/>
        </w:rPr>
        <w:t xml:space="preserve"> (BKAL) (Harland, Netherlands) mice were bred and raised in the SPF Australian </w:t>
      </w:r>
      <w:proofErr w:type="spellStart"/>
      <w:r w:rsidR="5172DC5F" w:rsidRPr="00542CE6">
        <w:rPr>
          <w:rFonts w:ascii="Arial" w:eastAsia="Arial" w:hAnsi="Arial" w:cs="Arial"/>
          <w:sz w:val="20"/>
          <w:szCs w:val="20"/>
        </w:rPr>
        <w:t>BioResources</w:t>
      </w:r>
      <w:proofErr w:type="spellEnd"/>
      <w:r w:rsidR="5172DC5F" w:rsidRPr="00542CE6">
        <w:rPr>
          <w:rFonts w:ascii="Arial" w:eastAsia="Arial" w:hAnsi="Arial" w:cs="Arial"/>
          <w:sz w:val="20"/>
          <w:szCs w:val="20"/>
        </w:rPr>
        <w:t xml:space="preserve"> Facility at The </w:t>
      </w:r>
      <w:proofErr w:type="spellStart"/>
      <w:r w:rsidR="5172DC5F" w:rsidRPr="00542CE6">
        <w:rPr>
          <w:rFonts w:ascii="Arial" w:eastAsia="Arial" w:hAnsi="Arial" w:cs="Arial"/>
          <w:sz w:val="20"/>
          <w:szCs w:val="20"/>
        </w:rPr>
        <w:t>Garvan</w:t>
      </w:r>
      <w:proofErr w:type="spellEnd"/>
      <w:r w:rsidR="5172DC5F" w:rsidRPr="00542CE6">
        <w:rPr>
          <w:rFonts w:ascii="Arial" w:eastAsia="Arial" w:hAnsi="Arial" w:cs="Arial"/>
          <w:sz w:val="20"/>
          <w:szCs w:val="20"/>
        </w:rPr>
        <w:t xml:space="preserve"> Institute of Medical Research. BKAL mice (n=2-5) were housed in </w:t>
      </w:r>
      <w:proofErr w:type="spellStart"/>
      <w:r w:rsidR="5172DC5F" w:rsidRPr="00542CE6">
        <w:rPr>
          <w:rFonts w:ascii="Arial" w:eastAsia="Arial" w:hAnsi="Arial" w:cs="Arial"/>
          <w:sz w:val="20"/>
          <w:szCs w:val="20"/>
        </w:rPr>
        <w:t>Makrolon</w:t>
      </w:r>
      <w:proofErr w:type="spellEnd"/>
      <w:r w:rsidR="5172DC5F" w:rsidRPr="00542CE6">
        <w:rPr>
          <w:rFonts w:ascii="Arial" w:eastAsia="Arial" w:hAnsi="Arial" w:cs="Arial"/>
          <w:sz w:val="20"/>
          <w:szCs w:val="20"/>
        </w:rPr>
        <w:t xml:space="preserve">® polycarbonate transparent or </w:t>
      </w:r>
      <w:proofErr w:type="spellStart"/>
      <w:r w:rsidR="5172DC5F" w:rsidRPr="00542CE6">
        <w:rPr>
          <w:rFonts w:ascii="Arial" w:eastAsia="Arial" w:hAnsi="Arial" w:cs="Arial"/>
          <w:sz w:val="20"/>
          <w:szCs w:val="20"/>
        </w:rPr>
        <w:t>Udel</w:t>
      </w:r>
      <w:proofErr w:type="spellEnd"/>
      <w:r w:rsidR="5172DC5F" w:rsidRPr="00542CE6">
        <w:rPr>
          <w:rFonts w:ascii="Arial" w:eastAsia="Arial" w:hAnsi="Arial" w:cs="Arial"/>
          <w:sz w:val="20"/>
          <w:szCs w:val="20"/>
        </w:rPr>
        <w:t xml:space="preserve">® </w:t>
      </w:r>
      <w:proofErr w:type="spellStart"/>
      <w:r w:rsidR="5172DC5F" w:rsidRPr="00542CE6">
        <w:rPr>
          <w:rFonts w:ascii="Arial" w:eastAsia="Arial" w:hAnsi="Arial" w:cs="Arial"/>
          <w:sz w:val="20"/>
          <w:szCs w:val="20"/>
        </w:rPr>
        <w:t>polysulphone</w:t>
      </w:r>
      <w:proofErr w:type="spellEnd"/>
      <w:r w:rsidR="5172DC5F" w:rsidRPr="00542CE6">
        <w:rPr>
          <w:rFonts w:ascii="Arial" w:eastAsia="Arial" w:hAnsi="Arial" w:cs="Arial"/>
          <w:sz w:val="20"/>
          <w:szCs w:val="20"/>
        </w:rPr>
        <w:t xml:space="preserve"> amber cages and lids with ad libitum access to food and water for the duration of the experiments. Six- to eight-week old naïve BKAL female mice were randomly assigned to either naïve, or tumor cell receiving cohorts at day 0 (day of injection) at the Biological Testing Facility at the </w:t>
      </w:r>
      <w:proofErr w:type="spellStart"/>
      <w:r w:rsidR="5172DC5F" w:rsidRPr="00542CE6">
        <w:rPr>
          <w:rFonts w:ascii="Arial" w:eastAsia="Arial" w:hAnsi="Arial" w:cs="Arial"/>
          <w:sz w:val="20"/>
          <w:szCs w:val="20"/>
        </w:rPr>
        <w:t>Garvan</w:t>
      </w:r>
      <w:proofErr w:type="spellEnd"/>
      <w:r w:rsidR="5172DC5F" w:rsidRPr="00542CE6">
        <w:rPr>
          <w:rFonts w:ascii="Arial" w:eastAsia="Arial" w:hAnsi="Arial" w:cs="Arial"/>
          <w:sz w:val="20"/>
          <w:szCs w:val="20"/>
        </w:rPr>
        <w:t xml:space="preserve"> Institute. Group sizes were selected based on previous experiment within each model system. </w:t>
      </w:r>
    </w:p>
    <w:p w14:paraId="59F94AAA" w14:textId="21487BE4" w:rsidR="005A1FFD" w:rsidRPr="00542CE6" w:rsidRDefault="005A1FFD" w:rsidP="005A1FFD">
      <w:pPr>
        <w:pStyle w:val="Heading2"/>
        <w:rPr>
          <w:sz w:val="20"/>
          <w:szCs w:val="20"/>
        </w:rPr>
      </w:pPr>
      <w:r w:rsidRPr="00542CE6">
        <w:rPr>
          <w:sz w:val="20"/>
          <w:szCs w:val="20"/>
        </w:rPr>
        <w:t>Histological analysis of mouse samples</w:t>
      </w:r>
    </w:p>
    <w:p w14:paraId="0C95501F" w14:textId="3A1DF679" w:rsidR="005A1FFD" w:rsidRPr="00542CE6" w:rsidRDefault="005A1FFD" w:rsidP="009B4BC8">
      <w:pPr>
        <w:rPr>
          <w:rFonts w:ascii="Arial" w:hAnsi="Arial" w:cs="Arial"/>
          <w:sz w:val="20"/>
          <w:szCs w:val="20"/>
        </w:rPr>
      </w:pPr>
      <w:r w:rsidRPr="00542CE6">
        <w:rPr>
          <w:rFonts w:ascii="Arial" w:hAnsi="Arial" w:cs="Arial"/>
          <w:sz w:val="20"/>
          <w:szCs w:val="20"/>
        </w:rPr>
        <w:t>Mouse femurs were fixed in 10% neutral buffered formalin overnight and decalcified for 3-5 weeks in 20% EDTA (pH 8.0) solution. Bones were then paraffin embedded, sectioned (5 µm), and stained with hematoxylin and eosin (Richard Allen Scientific, Canton, MI), following manufacturer’s instructions. SCID-Beige histology images were taken using a Nikon Eclipse 80i microscope, while C57BL/</w:t>
      </w:r>
      <w:proofErr w:type="spellStart"/>
      <w:r w:rsidRPr="00542CE6">
        <w:rPr>
          <w:rFonts w:ascii="Arial" w:hAnsi="Arial" w:cs="Arial"/>
          <w:sz w:val="20"/>
          <w:szCs w:val="20"/>
        </w:rPr>
        <w:t>KaLwRiJHsd</w:t>
      </w:r>
      <w:proofErr w:type="spellEnd"/>
      <w:r w:rsidRPr="00542CE6">
        <w:rPr>
          <w:rFonts w:ascii="Arial" w:hAnsi="Arial" w:cs="Arial"/>
          <w:sz w:val="20"/>
          <w:szCs w:val="20"/>
        </w:rPr>
        <w:t xml:space="preserve"> images were captured by </w:t>
      </w:r>
      <w:proofErr w:type="spellStart"/>
      <w:r w:rsidRPr="00542CE6">
        <w:rPr>
          <w:rFonts w:ascii="Arial" w:hAnsi="Arial" w:cs="Arial"/>
          <w:sz w:val="20"/>
          <w:szCs w:val="20"/>
        </w:rPr>
        <w:t>Scanscope</w:t>
      </w:r>
      <w:proofErr w:type="spellEnd"/>
      <w:r w:rsidRPr="00542CE6">
        <w:rPr>
          <w:rFonts w:ascii="Arial" w:hAnsi="Arial" w:cs="Arial"/>
          <w:sz w:val="20"/>
          <w:szCs w:val="20"/>
        </w:rPr>
        <w:t xml:space="preserve"> CS2, with images generated by </w:t>
      </w:r>
      <w:proofErr w:type="spellStart"/>
      <w:r w:rsidRPr="00542CE6">
        <w:rPr>
          <w:rFonts w:ascii="Arial" w:hAnsi="Arial" w:cs="Arial"/>
          <w:sz w:val="20"/>
          <w:szCs w:val="20"/>
        </w:rPr>
        <w:t>Aperio</w:t>
      </w:r>
      <w:proofErr w:type="spellEnd"/>
      <w:r w:rsidRPr="00542CE6">
        <w:rPr>
          <w:rFonts w:ascii="Arial" w:hAnsi="Arial" w:cs="Arial"/>
          <w:sz w:val="20"/>
          <w:szCs w:val="20"/>
        </w:rPr>
        <w:t xml:space="preserve"> </w:t>
      </w:r>
      <w:proofErr w:type="spellStart"/>
      <w:r w:rsidRPr="00542CE6">
        <w:rPr>
          <w:rFonts w:ascii="Arial" w:hAnsi="Arial" w:cs="Arial"/>
          <w:sz w:val="20"/>
          <w:szCs w:val="20"/>
        </w:rPr>
        <w:t>Imagescope</w:t>
      </w:r>
      <w:proofErr w:type="spellEnd"/>
      <w:r w:rsidRPr="00542CE6">
        <w:rPr>
          <w:rFonts w:ascii="Arial" w:hAnsi="Arial" w:cs="Arial"/>
          <w:sz w:val="20"/>
          <w:szCs w:val="20"/>
        </w:rPr>
        <w:t xml:space="preserve"> v11.2.0.780. Adipocytes were quantified utilizing </w:t>
      </w:r>
      <w:proofErr w:type="spellStart"/>
      <w:r w:rsidRPr="00542CE6">
        <w:rPr>
          <w:rFonts w:ascii="Arial" w:hAnsi="Arial" w:cs="Arial"/>
          <w:sz w:val="20"/>
          <w:szCs w:val="20"/>
        </w:rPr>
        <w:t>ImageJ</w:t>
      </w:r>
      <w:proofErr w:type="spellEnd"/>
      <w:r w:rsidRPr="00542CE6">
        <w:rPr>
          <w:rFonts w:ascii="Arial" w:hAnsi="Arial" w:cs="Arial"/>
          <w:sz w:val="20"/>
          <w:szCs w:val="20"/>
        </w:rPr>
        <w:t xml:space="preserve"> software as previously described </w:t>
      </w:r>
      <w:r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{"citationItems":[{"id":"ITEM-1","itemData":{"DOI":"10.1002/jcp.25976","ISSN":"00219541","PMID":"28460416","abstract":"The bone marrow niche is a dynamic and complex microenvironment that can both regulate, and be regulated by the bone matrix. Within the bone marrow (BM), mesenchymal stromal cell (MSC) precursors reside in a multi-potent state and retain the capacity to differentiate down osteoblastic, adipogenic, or chondrogenic lineages in response to numerous biochemical cues. These signals can be altered in various pathological states including, but not limited to, osteoporotic-induced fracture, systemic adiposity, and the presence of bone-homing cancers. Herein we provide evidence that signals from the bone matrix (osteocytes) determine marrow adiposity by regulating adipogenesis in the bone marrow. Specifically, we found that physiologically relevant levels of Sclerostin (SOST), which is a Wnt-inhibitory molecule secreted from bone matrix-embedded osteocytes, can induce adipogenesis in 3T3-L1 cells, mouse ear- and BM-derived MSCs, and human BM-derived MSCs. We demonstrate that the mechanism of SOST induction of adipogenesis is through inhibition of Wnt signaling in pre-adipocytes. We also demonstrate that a decrease of sclerostin in vivo, via both genetic and pharmaceutical methods, significantly decreases bone marrow adipose tissue (BMAT) formation. Overall, this work demonstrates a direct role for SOST in regulating fate determination of BM-adipocyte progenitors. This provides a novel mechanism for which BMAT is governed by the local bone microenvironment, which may prove relevant in the pathogenesis of certain diseases involving marrow adipose. Importantly, with anti-sclerostin therapy at the forefront of osteoporosis treatment and a greater recognition of the role of BMAT in disease, these data are likely to have important clinical implications.","author":[{"dropping-particle":"","family":"Fairfield","given":"Heather","non-dropping-particle":"","parse-names":false,"suffix":""},{"dropping-particle":"","family":"Falank","given":"Carolyne","non-dropping-particle":"","parse-names":false,"suffix":""},{"dropping-particle":"","family":"Harris","given":"Elizabeth","non-dropping-particle":"","parse-names":false,"suffix":""},{"dropping-particle":"","family":"Demambro","given":"Victoria","non-dropping-particle":"","parse-names":false,"suffix":""},{"dropping-particle":"","family":"McDonald","given":"Michelle","non-dropping-particle":"","parse-names":false,"suffix":""},{"dropping-particle":"","family":"Pettitt","given":"Jessica A. J","non-dropping-particle":"","parse-names":false,"suffix":""},{"dropping-particle":"","family":"Mohanty","given":"Sindhu T.","non-dropping-particle":"","parse-names":false,"suffix":""},{"dropping-particle":"","family":"Croucher","given":"Peter","non-dropping-particle":"","parse-names":false,"suffix":""},{"dropping-particle":"","family":"Kramer","given":"Ina","non-dropping-particle":"","parse-names":false,"suffix":""},{"dropping-particle":"","family":"Kneissel","given":"Michaela","non-dropping-particle":"","parse-names":false,"suffix":""},{"dropping-particle":"","family":"Rosen","given":"Clifford J.","non-dropping-particle":"","parse-names":false,"suffix":""},{"dropping-particle":"","family":"Reagan","given":"Michaela R.","non-dropping-particle":"","parse-names":false,"suffix":""}],"container-title":"Journal of Cellular Physiology","id":"ITEM-1","issue":"2","issued":{"date-parts":[["2017","6","6"]]},"page":"1156-1167","title":"The skeletal cell-derived molecule sclerostin drives bone marrow adipogenesis","type":"article-journal","volume":"233"},"uris":["http://www.mendeley.com/documents/?uuid=f2f82160-9916-4dd5-8bb4-35ea26b56edd"]}],"mendeley":{"formattedCitation":"(2)","plainTextFormattedCitation":"(2)","previouslyFormattedCitation":"(1)"},"properties":{"noteIndex":0},"schema":"https://github.com/citation-style-language/schema/raw/master/csl-citation.json"}</w:instrText>
      </w:r>
      <w:r w:rsidRPr="00542CE6">
        <w:rPr>
          <w:rFonts w:ascii="Arial" w:hAnsi="Arial" w:cs="Arial"/>
          <w:sz w:val="20"/>
          <w:szCs w:val="20"/>
        </w:rPr>
        <w:fldChar w:fldCharType="separate"/>
      </w:r>
      <w:r w:rsidR="005A117A" w:rsidRPr="00542CE6">
        <w:rPr>
          <w:rFonts w:ascii="Arial" w:hAnsi="Arial" w:cs="Arial"/>
          <w:noProof/>
          <w:sz w:val="20"/>
          <w:szCs w:val="20"/>
        </w:rPr>
        <w:t>(2)</w:t>
      </w:r>
      <w:r w:rsidRPr="00542CE6">
        <w:rPr>
          <w:rFonts w:ascii="Arial" w:hAnsi="Arial" w:cs="Arial"/>
          <w:sz w:val="20"/>
          <w:szCs w:val="20"/>
        </w:rPr>
        <w:fldChar w:fldCharType="end"/>
      </w:r>
      <w:r w:rsidRPr="00542CE6">
        <w:rPr>
          <w:rFonts w:ascii="Arial" w:hAnsi="Arial" w:cs="Arial"/>
          <w:sz w:val="20"/>
          <w:szCs w:val="20"/>
        </w:rPr>
        <w:t>.</w:t>
      </w:r>
    </w:p>
    <w:p w14:paraId="36B1DA9F" w14:textId="1E9CD5CB" w:rsidR="00CB4774" w:rsidRPr="00542CE6" w:rsidRDefault="002E09C4" w:rsidP="005A1FFD">
      <w:pPr>
        <w:jc w:val="both"/>
        <w:rPr>
          <w:rFonts w:ascii="Arial" w:hAnsi="Arial" w:cs="Arial"/>
          <w:b/>
          <w:i/>
          <w:sz w:val="20"/>
          <w:szCs w:val="20"/>
        </w:rPr>
      </w:pPr>
      <w:r w:rsidRPr="00542CE6">
        <w:rPr>
          <w:rFonts w:ascii="Arial" w:hAnsi="Arial" w:cs="Arial"/>
          <w:b/>
          <w:i/>
          <w:sz w:val="20"/>
          <w:szCs w:val="20"/>
        </w:rPr>
        <w:t>Quantitative PCR</w:t>
      </w:r>
    </w:p>
    <w:p w14:paraId="1EA0F22A" w14:textId="234ED618" w:rsidR="002E09C4" w:rsidRPr="00542CE6" w:rsidRDefault="002E09C4" w:rsidP="009B4BC8">
      <w:pPr>
        <w:rPr>
          <w:rFonts w:ascii="Arial" w:hAnsi="Arial" w:cs="Arial"/>
          <w:sz w:val="20"/>
          <w:szCs w:val="20"/>
        </w:rPr>
      </w:pPr>
      <w:r w:rsidRPr="00542CE6">
        <w:rPr>
          <w:rFonts w:ascii="Arial" w:hAnsi="Arial" w:cs="Arial"/>
          <w:sz w:val="20"/>
          <w:szCs w:val="20"/>
        </w:rPr>
        <w:t xml:space="preserve">For qPCR, cDNA synthesis was completed using </w:t>
      </w:r>
      <w:proofErr w:type="spellStart"/>
      <w:r w:rsidRPr="00542CE6">
        <w:rPr>
          <w:rFonts w:ascii="Arial" w:hAnsi="Arial" w:cs="Arial"/>
          <w:sz w:val="20"/>
          <w:szCs w:val="20"/>
        </w:rPr>
        <w:t>Multiscribe</w:t>
      </w:r>
      <w:proofErr w:type="spellEnd"/>
      <w:r w:rsidRPr="00542CE6">
        <w:rPr>
          <w:rFonts w:ascii="Arial" w:hAnsi="Arial" w:cs="Arial"/>
          <w:sz w:val="20"/>
          <w:szCs w:val="20"/>
        </w:rPr>
        <w:t xml:space="preserve"> reverse transcriptase (High Capacity cDNA, </w:t>
      </w:r>
      <w:proofErr w:type="spellStart"/>
      <w:r w:rsidRPr="00542CE6">
        <w:rPr>
          <w:rFonts w:ascii="Arial" w:hAnsi="Arial" w:cs="Arial"/>
          <w:sz w:val="20"/>
          <w:szCs w:val="20"/>
        </w:rPr>
        <w:t>Thermo</w:t>
      </w:r>
      <w:proofErr w:type="spellEnd"/>
      <w:r w:rsidRPr="00542CE6">
        <w:rPr>
          <w:rFonts w:ascii="Arial" w:hAnsi="Arial" w:cs="Arial"/>
          <w:sz w:val="20"/>
          <w:szCs w:val="20"/>
        </w:rPr>
        <w:t xml:space="preserve"> Fisher Scientific) per manufacturer’s instructions. Relative transcript expression was determined </w:t>
      </w:r>
      <w:r w:rsidRPr="00542CE6">
        <w:rPr>
          <w:rFonts w:ascii="Arial" w:hAnsi="Arial" w:cs="Arial"/>
          <w:sz w:val="20"/>
          <w:szCs w:val="20"/>
        </w:rPr>
        <w:lastRenderedPageBreak/>
        <w:t xml:space="preserve">using SYBR Master Mix (Bio-Rad, Hercules, </w:t>
      </w:r>
      <w:proofErr w:type="gramStart"/>
      <w:r w:rsidRPr="00542CE6">
        <w:rPr>
          <w:rFonts w:ascii="Arial" w:hAnsi="Arial" w:cs="Arial"/>
          <w:sz w:val="20"/>
          <w:szCs w:val="20"/>
        </w:rPr>
        <w:t>CA</w:t>
      </w:r>
      <w:proofErr w:type="gramEnd"/>
      <w:r w:rsidRPr="00542CE6">
        <w:rPr>
          <w:rFonts w:ascii="Arial" w:hAnsi="Arial" w:cs="Arial"/>
          <w:sz w:val="20"/>
          <w:szCs w:val="20"/>
        </w:rPr>
        <w:t xml:space="preserve">) by performing qPCR reactions with a CFX-96 </w:t>
      </w:r>
      <w:proofErr w:type="spellStart"/>
      <w:r w:rsidRPr="00542CE6">
        <w:rPr>
          <w:rFonts w:ascii="Arial" w:hAnsi="Arial" w:cs="Arial"/>
          <w:sz w:val="20"/>
          <w:szCs w:val="20"/>
        </w:rPr>
        <w:t>thermocycler</w:t>
      </w:r>
      <w:proofErr w:type="spellEnd"/>
      <w:r w:rsidRPr="00542CE6">
        <w:rPr>
          <w:rFonts w:ascii="Arial" w:hAnsi="Arial" w:cs="Arial"/>
          <w:sz w:val="20"/>
          <w:szCs w:val="20"/>
        </w:rPr>
        <w:t xml:space="preserve"> (Bio-Rad). Target transcripts were normalized to β-actin using the 2</w:t>
      </w:r>
      <w:r w:rsidRPr="00542CE6">
        <w:rPr>
          <w:rFonts w:ascii="Arial" w:hAnsi="Arial" w:cs="Arial"/>
          <w:sz w:val="20"/>
          <w:szCs w:val="20"/>
          <w:vertAlign w:val="superscript"/>
        </w:rPr>
        <w:t xml:space="preserve">-ΔΔct </w:t>
      </w:r>
      <w:r w:rsidR="00A344FF" w:rsidRPr="00542CE6">
        <w:rPr>
          <w:rFonts w:ascii="Arial" w:hAnsi="Arial" w:cs="Arial"/>
          <w:sz w:val="20"/>
          <w:szCs w:val="20"/>
        </w:rPr>
        <w:t>method. Data were</w:t>
      </w:r>
      <w:r w:rsidRPr="00542CE6">
        <w:rPr>
          <w:rFonts w:ascii="Arial" w:hAnsi="Arial" w:cs="Arial"/>
          <w:sz w:val="20"/>
          <w:szCs w:val="20"/>
        </w:rPr>
        <w:t xml:space="preserve"> analyzed using Bio-Rad CFX Manager 3.1 and Microsoft Excel.</w:t>
      </w:r>
    </w:p>
    <w:p w14:paraId="10985E40" w14:textId="48C6C58B" w:rsidR="00A46C22" w:rsidRPr="00542CE6" w:rsidRDefault="00A249EE" w:rsidP="00467412">
      <w:pPr>
        <w:pStyle w:val="Heading2"/>
        <w:rPr>
          <w:sz w:val="20"/>
          <w:szCs w:val="20"/>
        </w:rPr>
      </w:pPr>
      <w:r w:rsidRPr="00542CE6">
        <w:rPr>
          <w:sz w:val="20"/>
          <w:szCs w:val="20"/>
        </w:rPr>
        <w:t>Primers utilized in qPCR experiments</w:t>
      </w:r>
    </w:p>
    <w:tbl>
      <w:tblPr>
        <w:tblStyle w:val="TableGrid"/>
        <w:tblW w:w="0" w:type="auto"/>
        <w:tblLook w:val="04A0" w:firstRow="1" w:lastRow="0" w:firstColumn="1" w:lastColumn="0" w:noHBand="0" w:noVBand="1"/>
      </w:tblPr>
      <w:tblGrid>
        <w:gridCol w:w="2344"/>
        <w:gridCol w:w="991"/>
        <w:gridCol w:w="2892"/>
        <w:gridCol w:w="3123"/>
      </w:tblGrid>
      <w:tr w:rsidR="00542CE6" w:rsidRPr="00542CE6" w14:paraId="3CAB52E1" w14:textId="77777777" w:rsidTr="00DB45DA">
        <w:tc>
          <w:tcPr>
            <w:tcW w:w="3507" w:type="dxa"/>
          </w:tcPr>
          <w:p w14:paraId="05F993F8" w14:textId="77777777" w:rsidR="00A46C22" w:rsidRPr="00542CE6" w:rsidRDefault="00A46C22">
            <w:pPr>
              <w:rPr>
                <w:rFonts w:ascii="Arial" w:hAnsi="Arial" w:cs="Arial"/>
                <w:b/>
                <w:sz w:val="16"/>
                <w:szCs w:val="16"/>
              </w:rPr>
            </w:pPr>
            <w:r w:rsidRPr="00542CE6">
              <w:rPr>
                <w:rFonts w:ascii="Arial" w:hAnsi="Arial" w:cs="Arial"/>
                <w:b/>
                <w:sz w:val="16"/>
                <w:szCs w:val="16"/>
              </w:rPr>
              <w:t>Gene Target (Symbol)</w:t>
            </w:r>
          </w:p>
        </w:tc>
        <w:tc>
          <w:tcPr>
            <w:tcW w:w="1156" w:type="dxa"/>
          </w:tcPr>
          <w:p w14:paraId="647125D9" w14:textId="77777777" w:rsidR="00A46C22" w:rsidRPr="00542CE6" w:rsidRDefault="00A46C22">
            <w:pPr>
              <w:rPr>
                <w:rFonts w:ascii="Arial" w:hAnsi="Arial" w:cs="Arial"/>
                <w:b/>
                <w:sz w:val="16"/>
                <w:szCs w:val="16"/>
              </w:rPr>
            </w:pPr>
            <w:r w:rsidRPr="00542CE6">
              <w:rPr>
                <w:rFonts w:ascii="Arial" w:hAnsi="Arial" w:cs="Arial"/>
                <w:b/>
                <w:sz w:val="16"/>
                <w:szCs w:val="16"/>
              </w:rPr>
              <w:t>Species</w:t>
            </w:r>
          </w:p>
        </w:tc>
        <w:tc>
          <w:tcPr>
            <w:tcW w:w="2349" w:type="dxa"/>
          </w:tcPr>
          <w:p w14:paraId="270012CE" w14:textId="77777777" w:rsidR="00A46C22" w:rsidRPr="00542CE6" w:rsidRDefault="00A46C22">
            <w:pPr>
              <w:rPr>
                <w:rFonts w:ascii="Arial" w:hAnsi="Arial" w:cs="Arial"/>
                <w:b/>
                <w:sz w:val="16"/>
                <w:szCs w:val="16"/>
              </w:rPr>
            </w:pPr>
            <w:r w:rsidRPr="00542CE6">
              <w:rPr>
                <w:rFonts w:ascii="Arial" w:hAnsi="Arial" w:cs="Arial"/>
                <w:b/>
                <w:sz w:val="16"/>
                <w:szCs w:val="16"/>
              </w:rPr>
              <w:t xml:space="preserve">Forward Primer (5’ </w:t>
            </w:r>
            <w:r w:rsidRPr="00542CE6">
              <w:rPr>
                <w:rFonts w:ascii="Arial" w:eastAsia="Wingdings" w:hAnsi="Arial" w:cs="Arial"/>
                <w:b/>
                <w:sz w:val="16"/>
                <w:szCs w:val="16"/>
              </w:rPr>
              <w:t>à</w:t>
            </w:r>
            <w:r w:rsidRPr="00542CE6">
              <w:rPr>
                <w:rFonts w:ascii="Arial" w:hAnsi="Arial" w:cs="Arial"/>
                <w:b/>
                <w:sz w:val="16"/>
                <w:szCs w:val="16"/>
              </w:rPr>
              <w:t>3’)</w:t>
            </w:r>
          </w:p>
        </w:tc>
        <w:tc>
          <w:tcPr>
            <w:tcW w:w="2564" w:type="dxa"/>
          </w:tcPr>
          <w:p w14:paraId="4134EA15" w14:textId="77777777" w:rsidR="00A46C22" w:rsidRPr="00542CE6" w:rsidRDefault="00A46C22">
            <w:pPr>
              <w:rPr>
                <w:rFonts w:ascii="Arial" w:hAnsi="Arial" w:cs="Arial"/>
                <w:b/>
                <w:sz w:val="16"/>
                <w:szCs w:val="16"/>
              </w:rPr>
            </w:pPr>
            <w:r w:rsidRPr="00542CE6">
              <w:rPr>
                <w:rFonts w:ascii="Arial" w:hAnsi="Arial" w:cs="Arial"/>
                <w:b/>
                <w:sz w:val="16"/>
                <w:szCs w:val="16"/>
              </w:rPr>
              <w:t xml:space="preserve">Reverse Primer (5’ </w:t>
            </w:r>
            <w:r w:rsidRPr="00542CE6">
              <w:rPr>
                <w:rFonts w:ascii="Arial" w:eastAsia="Wingdings" w:hAnsi="Arial" w:cs="Arial"/>
                <w:b/>
                <w:sz w:val="16"/>
                <w:szCs w:val="16"/>
              </w:rPr>
              <w:t>à</w:t>
            </w:r>
            <w:r w:rsidRPr="00542CE6">
              <w:rPr>
                <w:rFonts w:ascii="Arial" w:hAnsi="Arial" w:cs="Arial"/>
                <w:b/>
                <w:sz w:val="16"/>
                <w:szCs w:val="16"/>
              </w:rPr>
              <w:t>3’)</w:t>
            </w:r>
          </w:p>
        </w:tc>
      </w:tr>
      <w:tr w:rsidR="00542CE6" w:rsidRPr="00542CE6" w14:paraId="46F9039D" w14:textId="77777777" w:rsidTr="00DB45DA">
        <w:tc>
          <w:tcPr>
            <w:tcW w:w="3507" w:type="dxa"/>
          </w:tcPr>
          <w:p w14:paraId="0977699C" w14:textId="77777777" w:rsidR="00A46C22" w:rsidRPr="00542CE6" w:rsidRDefault="00A46C22">
            <w:pPr>
              <w:rPr>
                <w:rFonts w:ascii="Arial" w:hAnsi="Arial" w:cs="Arial"/>
                <w:sz w:val="16"/>
                <w:szCs w:val="16"/>
              </w:rPr>
            </w:pPr>
            <w:r w:rsidRPr="00542CE6">
              <w:rPr>
                <w:rFonts w:ascii="Arial" w:hAnsi="Arial" w:cs="Arial"/>
                <w:sz w:val="16"/>
                <w:szCs w:val="16"/>
              </w:rPr>
              <w:t>Beta Actin (</w:t>
            </w:r>
            <w:proofErr w:type="spellStart"/>
            <w:r w:rsidRPr="00542CE6">
              <w:rPr>
                <w:rFonts w:ascii="Arial" w:hAnsi="Arial" w:cs="Arial"/>
                <w:i/>
                <w:sz w:val="16"/>
                <w:szCs w:val="16"/>
              </w:rPr>
              <w:t>Actb</w:t>
            </w:r>
            <w:proofErr w:type="spellEnd"/>
            <w:r w:rsidRPr="00542CE6">
              <w:rPr>
                <w:rFonts w:ascii="Arial" w:hAnsi="Arial" w:cs="Arial"/>
                <w:sz w:val="16"/>
                <w:szCs w:val="16"/>
              </w:rPr>
              <w:t>)</w:t>
            </w:r>
          </w:p>
        </w:tc>
        <w:tc>
          <w:tcPr>
            <w:tcW w:w="1156" w:type="dxa"/>
          </w:tcPr>
          <w:p w14:paraId="6A3C399B" w14:textId="77777777" w:rsidR="00A46C22" w:rsidRPr="00542CE6" w:rsidRDefault="00A46C22">
            <w:pPr>
              <w:rPr>
                <w:rFonts w:ascii="Arial" w:hAnsi="Arial" w:cs="Arial"/>
                <w:sz w:val="16"/>
                <w:szCs w:val="16"/>
              </w:rPr>
            </w:pPr>
            <w:r w:rsidRPr="00542CE6">
              <w:rPr>
                <w:rFonts w:ascii="Arial" w:hAnsi="Arial" w:cs="Arial"/>
                <w:sz w:val="16"/>
                <w:szCs w:val="16"/>
              </w:rPr>
              <w:t>Mouse</w:t>
            </w:r>
          </w:p>
        </w:tc>
        <w:tc>
          <w:tcPr>
            <w:tcW w:w="2349" w:type="dxa"/>
          </w:tcPr>
          <w:p w14:paraId="7747DBBE" w14:textId="77777777" w:rsidR="00A46C22" w:rsidRPr="00542CE6" w:rsidRDefault="0093321A">
            <w:pPr>
              <w:rPr>
                <w:rFonts w:ascii="Arial" w:hAnsi="Arial" w:cs="Arial"/>
                <w:sz w:val="16"/>
                <w:szCs w:val="16"/>
              </w:rPr>
            </w:pPr>
            <w:r w:rsidRPr="00542CE6">
              <w:rPr>
                <w:rFonts w:ascii="Arial" w:hAnsi="Arial" w:cs="Arial"/>
                <w:sz w:val="16"/>
                <w:szCs w:val="16"/>
              </w:rPr>
              <w:t>CTCTGGCTCCTAGCACCATGAAGA</w:t>
            </w:r>
          </w:p>
        </w:tc>
        <w:tc>
          <w:tcPr>
            <w:tcW w:w="2564" w:type="dxa"/>
          </w:tcPr>
          <w:p w14:paraId="67931F94" w14:textId="77777777" w:rsidR="00A46C22" w:rsidRPr="00542CE6" w:rsidRDefault="0093321A">
            <w:pPr>
              <w:rPr>
                <w:rFonts w:ascii="Arial" w:hAnsi="Arial" w:cs="Arial"/>
                <w:sz w:val="16"/>
                <w:szCs w:val="16"/>
              </w:rPr>
            </w:pPr>
            <w:r w:rsidRPr="00542CE6">
              <w:rPr>
                <w:rFonts w:ascii="Arial" w:hAnsi="Arial" w:cs="Arial"/>
                <w:sz w:val="16"/>
                <w:szCs w:val="16"/>
              </w:rPr>
              <w:t>GTAAAACGCAGCTCAGTAACAGTCCG</w:t>
            </w:r>
          </w:p>
        </w:tc>
      </w:tr>
      <w:tr w:rsidR="00542CE6" w:rsidRPr="00542CE6" w14:paraId="21751594" w14:textId="77777777" w:rsidTr="00DB45DA">
        <w:tc>
          <w:tcPr>
            <w:tcW w:w="3507" w:type="dxa"/>
          </w:tcPr>
          <w:p w14:paraId="54A04680" w14:textId="77777777" w:rsidR="00A46C22" w:rsidRPr="00542CE6" w:rsidRDefault="00A46C22">
            <w:pPr>
              <w:rPr>
                <w:rFonts w:ascii="Arial" w:hAnsi="Arial" w:cs="Arial"/>
                <w:sz w:val="16"/>
                <w:szCs w:val="16"/>
              </w:rPr>
            </w:pPr>
            <w:r w:rsidRPr="00542CE6">
              <w:rPr>
                <w:rFonts w:ascii="Arial" w:hAnsi="Arial" w:cs="Arial"/>
                <w:sz w:val="16"/>
                <w:szCs w:val="16"/>
              </w:rPr>
              <w:t>Peroxisome proliferator activated receptor gamma (</w:t>
            </w:r>
            <w:proofErr w:type="spellStart"/>
            <w:r w:rsidRPr="00542CE6">
              <w:rPr>
                <w:rFonts w:ascii="Arial" w:hAnsi="Arial" w:cs="Arial"/>
                <w:i/>
                <w:sz w:val="16"/>
                <w:szCs w:val="16"/>
              </w:rPr>
              <w:t>Pparg</w:t>
            </w:r>
            <w:proofErr w:type="spellEnd"/>
            <w:r w:rsidRPr="00542CE6">
              <w:rPr>
                <w:rFonts w:ascii="Arial" w:hAnsi="Arial" w:cs="Arial"/>
                <w:sz w:val="16"/>
                <w:szCs w:val="16"/>
              </w:rPr>
              <w:t>)</w:t>
            </w:r>
          </w:p>
        </w:tc>
        <w:tc>
          <w:tcPr>
            <w:tcW w:w="1156" w:type="dxa"/>
          </w:tcPr>
          <w:p w14:paraId="41B84DFD" w14:textId="77777777" w:rsidR="00A46C22" w:rsidRPr="00542CE6" w:rsidRDefault="00A46C22">
            <w:pPr>
              <w:rPr>
                <w:rFonts w:ascii="Arial" w:hAnsi="Arial" w:cs="Arial"/>
                <w:sz w:val="16"/>
                <w:szCs w:val="16"/>
              </w:rPr>
            </w:pPr>
            <w:r w:rsidRPr="00542CE6">
              <w:rPr>
                <w:rFonts w:ascii="Arial" w:hAnsi="Arial" w:cs="Arial"/>
                <w:sz w:val="16"/>
                <w:szCs w:val="16"/>
              </w:rPr>
              <w:t>Mouse</w:t>
            </w:r>
          </w:p>
        </w:tc>
        <w:tc>
          <w:tcPr>
            <w:tcW w:w="2349" w:type="dxa"/>
          </w:tcPr>
          <w:p w14:paraId="2C070D84" w14:textId="77777777" w:rsidR="00A46C22" w:rsidRPr="00542CE6" w:rsidRDefault="0093321A">
            <w:pPr>
              <w:rPr>
                <w:rFonts w:ascii="Arial" w:hAnsi="Arial" w:cs="Arial"/>
                <w:sz w:val="16"/>
                <w:szCs w:val="16"/>
              </w:rPr>
            </w:pPr>
            <w:r w:rsidRPr="00542CE6">
              <w:rPr>
                <w:rFonts w:ascii="Arial" w:hAnsi="Arial" w:cs="Arial"/>
                <w:sz w:val="16"/>
                <w:szCs w:val="16"/>
              </w:rPr>
              <w:t>GCCCACCAACTTCGGAATC</w:t>
            </w:r>
          </w:p>
        </w:tc>
        <w:tc>
          <w:tcPr>
            <w:tcW w:w="2564" w:type="dxa"/>
          </w:tcPr>
          <w:p w14:paraId="1E68448C" w14:textId="77777777" w:rsidR="00A46C22" w:rsidRPr="00542CE6" w:rsidRDefault="0093321A">
            <w:pPr>
              <w:rPr>
                <w:rFonts w:ascii="Arial" w:hAnsi="Arial" w:cs="Arial"/>
                <w:sz w:val="16"/>
                <w:szCs w:val="16"/>
              </w:rPr>
            </w:pPr>
            <w:r w:rsidRPr="00542CE6">
              <w:rPr>
                <w:rFonts w:ascii="Arial" w:hAnsi="Arial" w:cs="Arial"/>
                <w:sz w:val="16"/>
                <w:szCs w:val="16"/>
              </w:rPr>
              <w:t>TGCGAGTGGTCTTCCATCAC</w:t>
            </w:r>
          </w:p>
        </w:tc>
      </w:tr>
      <w:tr w:rsidR="00542CE6" w:rsidRPr="00542CE6" w14:paraId="12BDBE38" w14:textId="77777777" w:rsidTr="00DB45DA">
        <w:tc>
          <w:tcPr>
            <w:tcW w:w="3507" w:type="dxa"/>
          </w:tcPr>
          <w:p w14:paraId="2834C130" w14:textId="77777777" w:rsidR="00A46C22" w:rsidRPr="00542CE6" w:rsidRDefault="00A46C22">
            <w:pPr>
              <w:rPr>
                <w:rFonts w:ascii="Arial" w:hAnsi="Arial" w:cs="Arial"/>
                <w:sz w:val="16"/>
                <w:szCs w:val="16"/>
              </w:rPr>
            </w:pPr>
            <w:r w:rsidRPr="00542CE6">
              <w:rPr>
                <w:rFonts w:ascii="Arial" w:hAnsi="Arial" w:cs="Arial"/>
                <w:sz w:val="16"/>
                <w:szCs w:val="16"/>
              </w:rPr>
              <w:t>Adiponectin (</w:t>
            </w:r>
            <w:proofErr w:type="spellStart"/>
            <w:r w:rsidRPr="00542CE6">
              <w:rPr>
                <w:rFonts w:ascii="Arial" w:hAnsi="Arial" w:cs="Arial"/>
                <w:i/>
                <w:sz w:val="16"/>
                <w:szCs w:val="16"/>
              </w:rPr>
              <w:t>Adipoq</w:t>
            </w:r>
            <w:proofErr w:type="spellEnd"/>
            <w:r w:rsidRPr="00542CE6">
              <w:rPr>
                <w:rFonts w:ascii="Arial" w:hAnsi="Arial" w:cs="Arial"/>
                <w:sz w:val="16"/>
                <w:szCs w:val="16"/>
              </w:rPr>
              <w:t>)</w:t>
            </w:r>
          </w:p>
        </w:tc>
        <w:tc>
          <w:tcPr>
            <w:tcW w:w="1156" w:type="dxa"/>
          </w:tcPr>
          <w:p w14:paraId="4296902B"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549B6E1F" w14:textId="77777777" w:rsidR="00A46C22" w:rsidRPr="00542CE6" w:rsidRDefault="0093321A">
            <w:pPr>
              <w:rPr>
                <w:rFonts w:ascii="Arial" w:hAnsi="Arial" w:cs="Arial"/>
                <w:sz w:val="16"/>
                <w:szCs w:val="16"/>
              </w:rPr>
            </w:pPr>
            <w:r w:rsidRPr="00542CE6">
              <w:rPr>
                <w:rFonts w:ascii="Arial" w:hAnsi="Arial" w:cs="Arial"/>
                <w:sz w:val="16"/>
                <w:szCs w:val="16"/>
              </w:rPr>
              <w:t>TGTTCCTCTTAATCCTGCCCA</w:t>
            </w:r>
          </w:p>
        </w:tc>
        <w:tc>
          <w:tcPr>
            <w:tcW w:w="2564" w:type="dxa"/>
          </w:tcPr>
          <w:p w14:paraId="0C15996C" w14:textId="77777777" w:rsidR="00A46C22" w:rsidRPr="00542CE6" w:rsidRDefault="0093321A">
            <w:pPr>
              <w:rPr>
                <w:rFonts w:ascii="Arial" w:hAnsi="Arial" w:cs="Arial"/>
                <w:sz w:val="16"/>
                <w:szCs w:val="16"/>
              </w:rPr>
            </w:pPr>
            <w:r w:rsidRPr="00542CE6">
              <w:rPr>
                <w:rFonts w:ascii="Arial" w:hAnsi="Arial" w:cs="Arial"/>
                <w:sz w:val="16"/>
                <w:szCs w:val="16"/>
              </w:rPr>
              <w:t>CCAACCTGCACAAGTTCCCTT</w:t>
            </w:r>
          </w:p>
        </w:tc>
      </w:tr>
      <w:tr w:rsidR="00542CE6" w:rsidRPr="00542CE6" w14:paraId="06AC148D" w14:textId="77777777" w:rsidTr="00DB45DA">
        <w:tc>
          <w:tcPr>
            <w:tcW w:w="3507" w:type="dxa"/>
          </w:tcPr>
          <w:p w14:paraId="0DCC504B" w14:textId="77777777" w:rsidR="00A46C22" w:rsidRPr="00542CE6" w:rsidRDefault="00A46C22">
            <w:pPr>
              <w:rPr>
                <w:rFonts w:ascii="Arial" w:hAnsi="Arial" w:cs="Arial"/>
                <w:sz w:val="16"/>
                <w:szCs w:val="16"/>
              </w:rPr>
            </w:pPr>
            <w:proofErr w:type="spellStart"/>
            <w:r w:rsidRPr="00542CE6">
              <w:rPr>
                <w:rFonts w:ascii="Arial" w:hAnsi="Arial" w:cs="Arial"/>
                <w:sz w:val="16"/>
                <w:szCs w:val="16"/>
              </w:rPr>
              <w:t>Preadipocyte</w:t>
            </w:r>
            <w:proofErr w:type="spellEnd"/>
            <w:r w:rsidRPr="00542CE6">
              <w:rPr>
                <w:rFonts w:ascii="Arial" w:hAnsi="Arial" w:cs="Arial"/>
                <w:sz w:val="16"/>
                <w:szCs w:val="16"/>
              </w:rPr>
              <w:t xml:space="preserve"> factor 1 (</w:t>
            </w:r>
            <w:r w:rsidRPr="00542CE6">
              <w:rPr>
                <w:rFonts w:ascii="Arial" w:hAnsi="Arial" w:cs="Arial"/>
                <w:i/>
                <w:sz w:val="16"/>
                <w:szCs w:val="16"/>
              </w:rPr>
              <w:t>Pref1</w:t>
            </w:r>
            <w:r w:rsidRPr="00542CE6">
              <w:rPr>
                <w:rFonts w:ascii="Arial" w:hAnsi="Arial" w:cs="Arial"/>
                <w:sz w:val="16"/>
                <w:szCs w:val="16"/>
              </w:rPr>
              <w:t>)</w:t>
            </w:r>
          </w:p>
        </w:tc>
        <w:tc>
          <w:tcPr>
            <w:tcW w:w="1156" w:type="dxa"/>
          </w:tcPr>
          <w:p w14:paraId="1A17B828"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393111CD" w14:textId="77777777" w:rsidR="00A46C22" w:rsidRPr="00542CE6" w:rsidRDefault="0093321A">
            <w:pPr>
              <w:rPr>
                <w:rFonts w:ascii="Arial" w:hAnsi="Arial" w:cs="Arial"/>
                <w:sz w:val="16"/>
                <w:szCs w:val="16"/>
              </w:rPr>
            </w:pPr>
            <w:r w:rsidRPr="00542CE6">
              <w:rPr>
                <w:rFonts w:ascii="Arial" w:hAnsi="Arial" w:cs="Arial"/>
                <w:sz w:val="16"/>
                <w:szCs w:val="16"/>
              </w:rPr>
              <w:t>CTAACCCATGCGAGAACGAT</w:t>
            </w:r>
          </w:p>
        </w:tc>
        <w:tc>
          <w:tcPr>
            <w:tcW w:w="2564" w:type="dxa"/>
          </w:tcPr>
          <w:p w14:paraId="189AA56D" w14:textId="77777777" w:rsidR="00A46C22" w:rsidRPr="00542CE6" w:rsidRDefault="0093321A">
            <w:pPr>
              <w:rPr>
                <w:rFonts w:ascii="Arial" w:hAnsi="Arial" w:cs="Arial"/>
                <w:sz w:val="16"/>
                <w:szCs w:val="16"/>
              </w:rPr>
            </w:pPr>
            <w:r w:rsidRPr="00542CE6">
              <w:rPr>
                <w:rFonts w:ascii="Arial" w:hAnsi="Arial" w:cs="Arial"/>
                <w:sz w:val="16"/>
                <w:szCs w:val="16"/>
              </w:rPr>
              <w:t>GCTTGCACAGACACTCGAAG</w:t>
            </w:r>
          </w:p>
        </w:tc>
      </w:tr>
      <w:tr w:rsidR="00542CE6" w:rsidRPr="00542CE6" w14:paraId="75B9B20E" w14:textId="77777777" w:rsidTr="00DB45DA">
        <w:tc>
          <w:tcPr>
            <w:tcW w:w="3507" w:type="dxa"/>
          </w:tcPr>
          <w:p w14:paraId="62158B97" w14:textId="77777777" w:rsidR="00A46C22" w:rsidRPr="00542CE6" w:rsidRDefault="00A46C22">
            <w:pPr>
              <w:rPr>
                <w:rFonts w:ascii="Arial" w:hAnsi="Arial" w:cs="Arial"/>
                <w:sz w:val="16"/>
                <w:szCs w:val="16"/>
              </w:rPr>
            </w:pPr>
            <w:r w:rsidRPr="00542CE6">
              <w:rPr>
                <w:rFonts w:ascii="Arial" w:hAnsi="Arial" w:cs="Arial"/>
                <w:sz w:val="16"/>
                <w:szCs w:val="16"/>
              </w:rPr>
              <w:t>CCAAT enhancer-binding protein alpha (</w:t>
            </w:r>
            <w:proofErr w:type="spellStart"/>
            <w:r w:rsidRPr="00542CE6">
              <w:rPr>
                <w:rFonts w:ascii="Arial" w:hAnsi="Arial" w:cs="Arial"/>
                <w:i/>
                <w:sz w:val="16"/>
                <w:szCs w:val="16"/>
              </w:rPr>
              <w:t>Cebpa</w:t>
            </w:r>
            <w:proofErr w:type="spellEnd"/>
            <w:r w:rsidRPr="00542CE6">
              <w:rPr>
                <w:rFonts w:ascii="Arial" w:hAnsi="Arial" w:cs="Arial"/>
                <w:sz w:val="16"/>
                <w:szCs w:val="16"/>
              </w:rPr>
              <w:t>)</w:t>
            </w:r>
          </w:p>
        </w:tc>
        <w:tc>
          <w:tcPr>
            <w:tcW w:w="1156" w:type="dxa"/>
          </w:tcPr>
          <w:p w14:paraId="12A04144"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0352F53A" w14:textId="77777777" w:rsidR="00A46C22" w:rsidRPr="00542CE6" w:rsidRDefault="0093321A">
            <w:pPr>
              <w:rPr>
                <w:rFonts w:ascii="Arial" w:hAnsi="Arial" w:cs="Arial"/>
                <w:sz w:val="16"/>
                <w:szCs w:val="16"/>
              </w:rPr>
            </w:pPr>
            <w:r w:rsidRPr="00542CE6">
              <w:rPr>
                <w:rFonts w:ascii="Arial" w:hAnsi="Arial" w:cs="Arial"/>
                <w:sz w:val="16"/>
                <w:szCs w:val="16"/>
              </w:rPr>
              <w:t>TGGACAAGAACAGCAACGAG</w:t>
            </w:r>
          </w:p>
        </w:tc>
        <w:tc>
          <w:tcPr>
            <w:tcW w:w="2564" w:type="dxa"/>
          </w:tcPr>
          <w:p w14:paraId="29C8BA4C" w14:textId="77777777" w:rsidR="00A46C22" w:rsidRPr="00542CE6" w:rsidRDefault="0093321A">
            <w:pPr>
              <w:rPr>
                <w:rFonts w:ascii="Arial" w:hAnsi="Arial" w:cs="Arial"/>
                <w:sz w:val="16"/>
                <w:szCs w:val="16"/>
              </w:rPr>
            </w:pPr>
            <w:r w:rsidRPr="00542CE6">
              <w:rPr>
                <w:rFonts w:ascii="Arial" w:hAnsi="Arial" w:cs="Arial"/>
                <w:sz w:val="16"/>
                <w:szCs w:val="16"/>
              </w:rPr>
              <w:t>TCACTGGTCAACTCCAGCAC</w:t>
            </w:r>
          </w:p>
        </w:tc>
      </w:tr>
      <w:tr w:rsidR="00542CE6" w:rsidRPr="00542CE6" w14:paraId="566916A6" w14:textId="77777777" w:rsidTr="00DB45DA">
        <w:tc>
          <w:tcPr>
            <w:tcW w:w="3507" w:type="dxa"/>
          </w:tcPr>
          <w:p w14:paraId="4AEFB1E1" w14:textId="77777777" w:rsidR="00A46C22" w:rsidRPr="00542CE6" w:rsidRDefault="00A46C22">
            <w:pPr>
              <w:rPr>
                <w:rFonts w:ascii="Arial" w:hAnsi="Arial" w:cs="Arial"/>
                <w:sz w:val="16"/>
                <w:szCs w:val="16"/>
              </w:rPr>
            </w:pPr>
            <w:r w:rsidRPr="00542CE6">
              <w:rPr>
                <w:rFonts w:ascii="Arial" w:hAnsi="Arial" w:cs="Arial"/>
                <w:sz w:val="16"/>
                <w:szCs w:val="16"/>
              </w:rPr>
              <w:t>Leptin (</w:t>
            </w:r>
            <w:proofErr w:type="spellStart"/>
            <w:r w:rsidRPr="00542CE6">
              <w:rPr>
                <w:rFonts w:ascii="Arial" w:hAnsi="Arial" w:cs="Arial"/>
                <w:i/>
                <w:sz w:val="16"/>
                <w:szCs w:val="16"/>
              </w:rPr>
              <w:t>Lep</w:t>
            </w:r>
            <w:proofErr w:type="spellEnd"/>
            <w:r w:rsidRPr="00542CE6">
              <w:rPr>
                <w:rFonts w:ascii="Arial" w:hAnsi="Arial" w:cs="Arial"/>
                <w:sz w:val="16"/>
                <w:szCs w:val="16"/>
              </w:rPr>
              <w:t>)</w:t>
            </w:r>
          </w:p>
        </w:tc>
        <w:tc>
          <w:tcPr>
            <w:tcW w:w="1156" w:type="dxa"/>
          </w:tcPr>
          <w:p w14:paraId="14595F0A"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6299A273" w14:textId="77777777" w:rsidR="00A46C22" w:rsidRPr="00542CE6" w:rsidRDefault="0093321A">
            <w:pPr>
              <w:rPr>
                <w:rFonts w:ascii="Arial" w:hAnsi="Arial" w:cs="Arial"/>
                <w:sz w:val="16"/>
                <w:szCs w:val="16"/>
              </w:rPr>
            </w:pPr>
            <w:r w:rsidRPr="00542CE6">
              <w:rPr>
                <w:rFonts w:ascii="Arial" w:hAnsi="Arial" w:cs="Arial"/>
                <w:sz w:val="16"/>
                <w:szCs w:val="16"/>
              </w:rPr>
              <w:t>ACCCCATTCTGAGTTTGTCC</w:t>
            </w:r>
          </w:p>
        </w:tc>
        <w:tc>
          <w:tcPr>
            <w:tcW w:w="2564" w:type="dxa"/>
          </w:tcPr>
          <w:p w14:paraId="6D3042B6" w14:textId="77777777" w:rsidR="00A46C22" w:rsidRPr="00542CE6" w:rsidRDefault="0093321A">
            <w:pPr>
              <w:rPr>
                <w:rFonts w:ascii="Arial" w:hAnsi="Arial" w:cs="Arial"/>
                <w:sz w:val="16"/>
                <w:szCs w:val="16"/>
              </w:rPr>
            </w:pPr>
            <w:r w:rsidRPr="00542CE6">
              <w:rPr>
                <w:rFonts w:ascii="Arial" w:hAnsi="Arial" w:cs="Arial"/>
                <w:sz w:val="16"/>
                <w:szCs w:val="16"/>
              </w:rPr>
              <w:t>TCCAGGTCATTGGCTATCTG</w:t>
            </w:r>
          </w:p>
        </w:tc>
      </w:tr>
      <w:tr w:rsidR="00542CE6" w:rsidRPr="00542CE6" w14:paraId="66D4D2AD" w14:textId="77777777" w:rsidTr="00DB45DA">
        <w:tc>
          <w:tcPr>
            <w:tcW w:w="3507" w:type="dxa"/>
          </w:tcPr>
          <w:p w14:paraId="7D3D344F" w14:textId="77777777" w:rsidR="00A46C22" w:rsidRPr="00542CE6" w:rsidRDefault="00A46C22">
            <w:pPr>
              <w:rPr>
                <w:rFonts w:ascii="Arial" w:hAnsi="Arial" w:cs="Arial"/>
                <w:sz w:val="16"/>
                <w:szCs w:val="16"/>
              </w:rPr>
            </w:pPr>
            <w:r w:rsidRPr="00542CE6">
              <w:rPr>
                <w:rFonts w:ascii="Arial" w:hAnsi="Arial" w:cs="Arial"/>
                <w:sz w:val="16"/>
                <w:szCs w:val="16"/>
              </w:rPr>
              <w:t>Fatty acid binding protein 4 (</w:t>
            </w:r>
            <w:r w:rsidRPr="00542CE6">
              <w:rPr>
                <w:rFonts w:ascii="Arial" w:hAnsi="Arial" w:cs="Arial"/>
                <w:i/>
                <w:sz w:val="16"/>
                <w:szCs w:val="16"/>
              </w:rPr>
              <w:t>Fabp4</w:t>
            </w:r>
            <w:r w:rsidRPr="00542CE6">
              <w:rPr>
                <w:rFonts w:ascii="Arial" w:hAnsi="Arial" w:cs="Arial"/>
                <w:sz w:val="16"/>
                <w:szCs w:val="16"/>
              </w:rPr>
              <w:t>)</w:t>
            </w:r>
          </w:p>
        </w:tc>
        <w:tc>
          <w:tcPr>
            <w:tcW w:w="1156" w:type="dxa"/>
          </w:tcPr>
          <w:p w14:paraId="7DE3009B"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7E33C209" w14:textId="77777777" w:rsidR="00A46C22" w:rsidRPr="00542CE6" w:rsidRDefault="0093321A">
            <w:pPr>
              <w:rPr>
                <w:rFonts w:ascii="Arial" w:hAnsi="Arial" w:cs="Arial"/>
                <w:caps/>
                <w:sz w:val="16"/>
                <w:szCs w:val="16"/>
              </w:rPr>
            </w:pPr>
            <w:r w:rsidRPr="00542CE6">
              <w:rPr>
                <w:rFonts w:ascii="Arial" w:hAnsi="Arial" w:cs="Arial"/>
                <w:caps/>
                <w:sz w:val="16"/>
                <w:szCs w:val="16"/>
              </w:rPr>
              <w:t>gctgcagcctttctcacc</w:t>
            </w:r>
          </w:p>
        </w:tc>
        <w:tc>
          <w:tcPr>
            <w:tcW w:w="2564" w:type="dxa"/>
          </w:tcPr>
          <w:p w14:paraId="30A70025" w14:textId="77777777" w:rsidR="00A46C22" w:rsidRPr="00542CE6" w:rsidRDefault="0093321A">
            <w:pPr>
              <w:rPr>
                <w:rFonts w:ascii="Arial" w:hAnsi="Arial" w:cs="Arial"/>
                <w:caps/>
                <w:sz w:val="16"/>
                <w:szCs w:val="16"/>
              </w:rPr>
            </w:pPr>
            <w:r w:rsidRPr="00542CE6">
              <w:rPr>
                <w:rFonts w:ascii="Arial" w:hAnsi="Arial" w:cs="Arial"/>
                <w:caps/>
                <w:sz w:val="16"/>
                <w:szCs w:val="16"/>
              </w:rPr>
              <w:t>cactttccttgtggcaaagc</w:t>
            </w:r>
          </w:p>
        </w:tc>
      </w:tr>
      <w:tr w:rsidR="00542CE6" w:rsidRPr="00542CE6" w14:paraId="223EF773" w14:textId="77777777" w:rsidTr="00DB45DA">
        <w:tc>
          <w:tcPr>
            <w:tcW w:w="3507" w:type="dxa"/>
          </w:tcPr>
          <w:p w14:paraId="10C2876E" w14:textId="77777777" w:rsidR="00A46C22" w:rsidRPr="00542CE6" w:rsidRDefault="006E0E08" w:rsidP="006E0E08">
            <w:pPr>
              <w:rPr>
                <w:rFonts w:ascii="Arial" w:hAnsi="Arial" w:cs="Arial"/>
                <w:sz w:val="16"/>
                <w:szCs w:val="16"/>
              </w:rPr>
            </w:pPr>
            <w:r w:rsidRPr="00542CE6">
              <w:rPr>
                <w:rFonts w:ascii="Arial" w:hAnsi="Arial" w:cs="Arial"/>
                <w:sz w:val="16"/>
                <w:szCs w:val="16"/>
              </w:rPr>
              <w:t>Beta Actin (</w:t>
            </w:r>
            <w:r w:rsidRPr="00542CE6">
              <w:rPr>
                <w:rFonts w:ascii="Arial" w:hAnsi="Arial" w:cs="Arial"/>
                <w:i/>
                <w:sz w:val="16"/>
                <w:szCs w:val="16"/>
              </w:rPr>
              <w:t>ACTB</w:t>
            </w:r>
            <w:r w:rsidRPr="00542CE6">
              <w:rPr>
                <w:rFonts w:ascii="Arial" w:hAnsi="Arial" w:cs="Arial"/>
                <w:sz w:val="16"/>
                <w:szCs w:val="16"/>
              </w:rPr>
              <w:t>)</w:t>
            </w:r>
          </w:p>
        </w:tc>
        <w:tc>
          <w:tcPr>
            <w:tcW w:w="1156" w:type="dxa"/>
          </w:tcPr>
          <w:p w14:paraId="4DA2F5F6"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6C233174" w14:textId="77777777" w:rsidR="00A46C22" w:rsidRPr="00542CE6" w:rsidRDefault="0093321A">
            <w:pPr>
              <w:rPr>
                <w:rFonts w:ascii="Arial" w:hAnsi="Arial" w:cs="Arial"/>
                <w:sz w:val="16"/>
                <w:szCs w:val="16"/>
              </w:rPr>
            </w:pPr>
            <w:r w:rsidRPr="00542CE6">
              <w:rPr>
                <w:rFonts w:ascii="Arial" w:hAnsi="Arial" w:cs="Arial"/>
                <w:sz w:val="16"/>
                <w:szCs w:val="16"/>
              </w:rPr>
              <w:t>GGACCTGACTGACTACCTC</w:t>
            </w:r>
          </w:p>
        </w:tc>
        <w:tc>
          <w:tcPr>
            <w:tcW w:w="2564" w:type="dxa"/>
          </w:tcPr>
          <w:p w14:paraId="7E771AB1" w14:textId="77777777" w:rsidR="00A46C22" w:rsidRPr="00542CE6" w:rsidRDefault="0093321A">
            <w:pPr>
              <w:rPr>
                <w:rFonts w:ascii="Arial" w:hAnsi="Arial" w:cs="Arial"/>
                <w:sz w:val="16"/>
                <w:szCs w:val="16"/>
              </w:rPr>
            </w:pPr>
            <w:r w:rsidRPr="00542CE6">
              <w:rPr>
                <w:rFonts w:ascii="Arial" w:hAnsi="Arial" w:cs="Arial"/>
                <w:sz w:val="16"/>
                <w:szCs w:val="16"/>
              </w:rPr>
              <w:t>GCCATCTCTTGCTCGAAG</w:t>
            </w:r>
          </w:p>
        </w:tc>
      </w:tr>
      <w:tr w:rsidR="00542CE6" w:rsidRPr="00542CE6" w14:paraId="70244873" w14:textId="77777777" w:rsidTr="00DB45DA">
        <w:tc>
          <w:tcPr>
            <w:tcW w:w="3507" w:type="dxa"/>
          </w:tcPr>
          <w:p w14:paraId="3A828C1E" w14:textId="77777777" w:rsidR="00A46C22" w:rsidRPr="00542CE6" w:rsidRDefault="006E0E08" w:rsidP="006E0E08">
            <w:pPr>
              <w:rPr>
                <w:rFonts w:ascii="Arial" w:hAnsi="Arial" w:cs="Arial"/>
                <w:sz w:val="16"/>
                <w:szCs w:val="16"/>
              </w:rPr>
            </w:pPr>
            <w:r w:rsidRPr="00542CE6">
              <w:rPr>
                <w:rFonts w:ascii="Arial" w:hAnsi="Arial" w:cs="Arial"/>
                <w:sz w:val="16"/>
                <w:szCs w:val="16"/>
              </w:rPr>
              <w:t>Peroxisome proliferator activated receptor gamma (</w:t>
            </w:r>
            <w:r w:rsidRPr="00542CE6">
              <w:rPr>
                <w:rFonts w:ascii="Arial" w:hAnsi="Arial" w:cs="Arial"/>
                <w:i/>
                <w:sz w:val="16"/>
                <w:szCs w:val="16"/>
              </w:rPr>
              <w:t>PPARG</w:t>
            </w:r>
            <w:r w:rsidRPr="00542CE6">
              <w:rPr>
                <w:rFonts w:ascii="Arial" w:hAnsi="Arial" w:cs="Arial"/>
                <w:sz w:val="16"/>
                <w:szCs w:val="16"/>
              </w:rPr>
              <w:t>)</w:t>
            </w:r>
          </w:p>
        </w:tc>
        <w:tc>
          <w:tcPr>
            <w:tcW w:w="1156" w:type="dxa"/>
          </w:tcPr>
          <w:p w14:paraId="414DB345"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417CEA58" w14:textId="77777777" w:rsidR="00A46C22" w:rsidRPr="00542CE6" w:rsidRDefault="0093321A">
            <w:pPr>
              <w:rPr>
                <w:rFonts w:ascii="Arial" w:hAnsi="Arial" w:cs="Arial"/>
                <w:sz w:val="16"/>
                <w:szCs w:val="16"/>
              </w:rPr>
            </w:pPr>
            <w:r w:rsidRPr="00542CE6">
              <w:rPr>
                <w:rFonts w:ascii="Arial" w:hAnsi="Arial" w:cs="Arial"/>
                <w:sz w:val="16"/>
                <w:szCs w:val="16"/>
              </w:rPr>
              <w:t>GCTTCTGGATTTCACTATGG</w:t>
            </w:r>
          </w:p>
        </w:tc>
        <w:tc>
          <w:tcPr>
            <w:tcW w:w="2564" w:type="dxa"/>
          </w:tcPr>
          <w:p w14:paraId="350704F9" w14:textId="77777777" w:rsidR="00A46C22" w:rsidRPr="00542CE6" w:rsidRDefault="0093321A">
            <w:pPr>
              <w:rPr>
                <w:rFonts w:ascii="Arial" w:hAnsi="Arial" w:cs="Arial"/>
                <w:sz w:val="16"/>
                <w:szCs w:val="16"/>
              </w:rPr>
            </w:pPr>
            <w:r w:rsidRPr="00542CE6">
              <w:rPr>
                <w:rFonts w:ascii="Arial" w:hAnsi="Arial" w:cs="Arial"/>
                <w:sz w:val="16"/>
                <w:szCs w:val="16"/>
              </w:rPr>
              <w:t>AAACCTGATGGCATTATGAG</w:t>
            </w:r>
          </w:p>
        </w:tc>
      </w:tr>
      <w:tr w:rsidR="00542CE6" w:rsidRPr="00542CE6" w14:paraId="31A9C059" w14:textId="77777777" w:rsidTr="00DB45DA">
        <w:tc>
          <w:tcPr>
            <w:tcW w:w="3507" w:type="dxa"/>
          </w:tcPr>
          <w:p w14:paraId="5FBF1A97" w14:textId="77777777" w:rsidR="00A46C22" w:rsidRPr="00542CE6" w:rsidRDefault="006E0E08" w:rsidP="006E0E08">
            <w:pPr>
              <w:rPr>
                <w:rFonts w:ascii="Arial" w:hAnsi="Arial" w:cs="Arial"/>
                <w:sz w:val="16"/>
                <w:szCs w:val="16"/>
              </w:rPr>
            </w:pPr>
            <w:r w:rsidRPr="00542CE6">
              <w:rPr>
                <w:rFonts w:ascii="Arial" w:hAnsi="Arial" w:cs="Arial"/>
                <w:sz w:val="16"/>
                <w:szCs w:val="16"/>
              </w:rPr>
              <w:t>CCAAT enhancer-binding protein alpha (</w:t>
            </w:r>
            <w:r w:rsidRPr="00542CE6">
              <w:rPr>
                <w:rFonts w:ascii="Arial" w:hAnsi="Arial" w:cs="Arial"/>
                <w:i/>
                <w:sz w:val="16"/>
                <w:szCs w:val="16"/>
              </w:rPr>
              <w:t>CEBPA</w:t>
            </w:r>
            <w:r w:rsidRPr="00542CE6">
              <w:rPr>
                <w:rFonts w:ascii="Arial" w:hAnsi="Arial" w:cs="Arial"/>
                <w:sz w:val="16"/>
                <w:szCs w:val="16"/>
              </w:rPr>
              <w:t>)</w:t>
            </w:r>
          </w:p>
        </w:tc>
        <w:tc>
          <w:tcPr>
            <w:tcW w:w="1156" w:type="dxa"/>
          </w:tcPr>
          <w:p w14:paraId="07B3A696"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05E587F6" w14:textId="77777777" w:rsidR="00A46C22" w:rsidRPr="00542CE6" w:rsidRDefault="0093321A">
            <w:pPr>
              <w:rPr>
                <w:rFonts w:ascii="Arial" w:hAnsi="Arial" w:cs="Arial"/>
                <w:sz w:val="16"/>
                <w:szCs w:val="16"/>
              </w:rPr>
            </w:pPr>
            <w:r w:rsidRPr="00542CE6">
              <w:rPr>
                <w:rFonts w:ascii="Arial" w:hAnsi="Arial" w:cs="Arial"/>
                <w:sz w:val="16"/>
                <w:szCs w:val="16"/>
              </w:rPr>
              <w:t>ACTGGGACCCTCAGCCTTG</w:t>
            </w:r>
          </w:p>
        </w:tc>
        <w:tc>
          <w:tcPr>
            <w:tcW w:w="2564" w:type="dxa"/>
          </w:tcPr>
          <w:p w14:paraId="1CC68DEF" w14:textId="77777777" w:rsidR="00A46C22" w:rsidRPr="00542CE6" w:rsidRDefault="0093321A">
            <w:pPr>
              <w:rPr>
                <w:rFonts w:ascii="Arial" w:hAnsi="Arial" w:cs="Arial"/>
                <w:sz w:val="16"/>
                <w:szCs w:val="16"/>
              </w:rPr>
            </w:pPr>
            <w:r w:rsidRPr="00542CE6">
              <w:rPr>
                <w:rFonts w:ascii="Arial" w:hAnsi="Arial" w:cs="Arial"/>
                <w:sz w:val="16"/>
                <w:szCs w:val="16"/>
              </w:rPr>
              <w:t>TGGACTGATCGTGCTTCGTG</w:t>
            </w:r>
          </w:p>
        </w:tc>
      </w:tr>
      <w:tr w:rsidR="00542CE6" w:rsidRPr="00542CE6" w14:paraId="544093C3" w14:textId="77777777" w:rsidTr="00DB45DA">
        <w:tc>
          <w:tcPr>
            <w:tcW w:w="3507" w:type="dxa"/>
          </w:tcPr>
          <w:p w14:paraId="546FFE61" w14:textId="77777777" w:rsidR="00A46C22" w:rsidRPr="00542CE6" w:rsidRDefault="006E0E08">
            <w:pPr>
              <w:rPr>
                <w:rFonts w:ascii="Arial" w:hAnsi="Arial" w:cs="Arial"/>
                <w:sz w:val="16"/>
                <w:szCs w:val="16"/>
              </w:rPr>
            </w:pPr>
            <w:r w:rsidRPr="00542CE6">
              <w:rPr>
                <w:rFonts w:ascii="Arial" w:hAnsi="Arial" w:cs="Arial"/>
                <w:sz w:val="16"/>
                <w:szCs w:val="16"/>
              </w:rPr>
              <w:t>Fatty acid binding protein 4 (</w:t>
            </w:r>
            <w:r w:rsidRPr="00542CE6">
              <w:rPr>
                <w:rFonts w:ascii="Arial" w:hAnsi="Arial" w:cs="Arial"/>
                <w:i/>
                <w:sz w:val="16"/>
                <w:szCs w:val="16"/>
              </w:rPr>
              <w:t>FABP4</w:t>
            </w:r>
            <w:r w:rsidRPr="00542CE6">
              <w:rPr>
                <w:rFonts w:ascii="Arial" w:hAnsi="Arial" w:cs="Arial"/>
                <w:sz w:val="16"/>
                <w:szCs w:val="16"/>
              </w:rPr>
              <w:t>)</w:t>
            </w:r>
          </w:p>
        </w:tc>
        <w:tc>
          <w:tcPr>
            <w:tcW w:w="1156" w:type="dxa"/>
          </w:tcPr>
          <w:p w14:paraId="01B3C6D1"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410C89FC" w14:textId="77777777" w:rsidR="00A46C22" w:rsidRPr="00542CE6" w:rsidRDefault="0093321A">
            <w:pPr>
              <w:rPr>
                <w:rFonts w:ascii="Arial" w:hAnsi="Arial" w:cs="Arial"/>
                <w:sz w:val="16"/>
                <w:szCs w:val="16"/>
              </w:rPr>
            </w:pPr>
            <w:r w:rsidRPr="00542CE6">
              <w:rPr>
                <w:rFonts w:ascii="Arial" w:hAnsi="Arial" w:cs="Arial"/>
                <w:sz w:val="16"/>
                <w:szCs w:val="16"/>
              </w:rPr>
              <w:t>AACCTTAGATGGGGGTGTCC</w:t>
            </w:r>
          </w:p>
        </w:tc>
        <w:tc>
          <w:tcPr>
            <w:tcW w:w="2564" w:type="dxa"/>
          </w:tcPr>
          <w:p w14:paraId="261BE13D" w14:textId="77777777" w:rsidR="00A46C22" w:rsidRPr="00542CE6" w:rsidRDefault="0093321A">
            <w:pPr>
              <w:rPr>
                <w:rFonts w:ascii="Arial" w:hAnsi="Arial" w:cs="Arial"/>
                <w:sz w:val="16"/>
                <w:szCs w:val="16"/>
              </w:rPr>
            </w:pPr>
            <w:r w:rsidRPr="00542CE6">
              <w:rPr>
                <w:rFonts w:ascii="Arial" w:hAnsi="Arial" w:cs="Arial"/>
                <w:sz w:val="16"/>
                <w:szCs w:val="16"/>
              </w:rPr>
              <w:t>TGGTTGATTTTCCATCCCAT</w:t>
            </w:r>
          </w:p>
        </w:tc>
      </w:tr>
      <w:tr w:rsidR="00542CE6" w:rsidRPr="00542CE6" w14:paraId="02137FD2" w14:textId="77777777" w:rsidTr="00DB45DA">
        <w:tc>
          <w:tcPr>
            <w:tcW w:w="3507" w:type="dxa"/>
          </w:tcPr>
          <w:p w14:paraId="717B7576" w14:textId="77777777" w:rsidR="00A46C22" w:rsidRPr="00542CE6" w:rsidRDefault="006E0E08">
            <w:pPr>
              <w:rPr>
                <w:rFonts w:ascii="Arial" w:hAnsi="Arial" w:cs="Arial"/>
                <w:sz w:val="16"/>
                <w:szCs w:val="16"/>
              </w:rPr>
            </w:pPr>
            <w:r w:rsidRPr="00542CE6">
              <w:rPr>
                <w:rFonts w:ascii="Arial" w:hAnsi="Arial" w:cs="Arial"/>
                <w:sz w:val="16"/>
                <w:szCs w:val="16"/>
              </w:rPr>
              <w:t>Interleukin 6 (</w:t>
            </w:r>
            <w:r w:rsidRPr="00542CE6">
              <w:rPr>
                <w:rFonts w:ascii="Arial" w:hAnsi="Arial" w:cs="Arial"/>
                <w:i/>
                <w:sz w:val="16"/>
                <w:szCs w:val="16"/>
              </w:rPr>
              <w:t>IL6</w:t>
            </w:r>
            <w:r w:rsidRPr="00542CE6">
              <w:rPr>
                <w:rFonts w:ascii="Arial" w:hAnsi="Arial" w:cs="Arial"/>
                <w:sz w:val="16"/>
                <w:szCs w:val="16"/>
              </w:rPr>
              <w:t>)</w:t>
            </w:r>
          </w:p>
        </w:tc>
        <w:tc>
          <w:tcPr>
            <w:tcW w:w="1156" w:type="dxa"/>
          </w:tcPr>
          <w:p w14:paraId="2B88269B"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68CB51D5" w14:textId="77777777" w:rsidR="00A46C22" w:rsidRPr="00542CE6" w:rsidRDefault="00FF4023">
            <w:pPr>
              <w:rPr>
                <w:rFonts w:ascii="Arial" w:hAnsi="Arial" w:cs="Arial"/>
                <w:sz w:val="16"/>
                <w:szCs w:val="16"/>
              </w:rPr>
            </w:pPr>
            <w:r w:rsidRPr="00542CE6">
              <w:rPr>
                <w:rFonts w:ascii="Arial" w:hAnsi="Arial" w:cs="Arial"/>
                <w:sz w:val="16"/>
                <w:szCs w:val="16"/>
              </w:rPr>
              <w:t>CCGGGAACGAAAGAGAAGCT</w:t>
            </w:r>
          </w:p>
        </w:tc>
        <w:tc>
          <w:tcPr>
            <w:tcW w:w="2564" w:type="dxa"/>
          </w:tcPr>
          <w:p w14:paraId="3DAEB20E" w14:textId="77777777" w:rsidR="00A46C22" w:rsidRPr="00542CE6" w:rsidRDefault="00FF4023">
            <w:pPr>
              <w:rPr>
                <w:rFonts w:ascii="Arial" w:hAnsi="Arial" w:cs="Arial"/>
                <w:sz w:val="16"/>
                <w:szCs w:val="16"/>
              </w:rPr>
            </w:pPr>
            <w:r w:rsidRPr="00542CE6">
              <w:rPr>
                <w:rFonts w:ascii="Arial" w:hAnsi="Arial" w:cs="Arial"/>
                <w:sz w:val="16"/>
                <w:szCs w:val="16"/>
              </w:rPr>
              <w:t>GCGCTTGTGGAGAAGGAGTT</w:t>
            </w:r>
          </w:p>
        </w:tc>
      </w:tr>
      <w:tr w:rsidR="00542CE6" w:rsidRPr="00542CE6" w14:paraId="1ED86817" w14:textId="77777777" w:rsidTr="00DB45DA">
        <w:tc>
          <w:tcPr>
            <w:tcW w:w="3507" w:type="dxa"/>
          </w:tcPr>
          <w:p w14:paraId="078F7B75" w14:textId="77777777" w:rsidR="00A46C22" w:rsidRPr="00542CE6" w:rsidRDefault="006E0E08">
            <w:pPr>
              <w:rPr>
                <w:rFonts w:ascii="Arial" w:hAnsi="Arial" w:cs="Arial"/>
                <w:sz w:val="16"/>
                <w:szCs w:val="16"/>
              </w:rPr>
            </w:pPr>
            <w:r w:rsidRPr="00542CE6">
              <w:rPr>
                <w:rFonts w:ascii="Arial" w:hAnsi="Arial" w:cs="Arial"/>
                <w:sz w:val="16"/>
                <w:szCs w:val="16"/>
              </w:rPr>
              <w:t>Colony stimulating factor 2 (</w:t>
            </w:r>
            <w:r w:rsidRPr="00542CE6">
              <w:rPr>
                <w:rFonts w:ascii="Arial" w:hAnsi="Arial" w:cs="Arial"/>
                <w:i/>
                <w:sz w:val="16"/>
                <w:szCs w:val="16"/>
              </w:rPr>
              <w:t>CSF2</w:t>
            </w:r>
            <w:r w:rsidRPr="00542CE6">
              <w:rPr>
                <w:rFonts w:ascii="Arial" w:hAnsi="Arial" w:cs="Arial"/>
                <w:sz w:val="16"/>
                <w:szCs w:val="16"/>
              </w:rPr>
              <w:t>)</w:t>
            </w:r>
          </w:p>
        </w:tc>
        <w:tc>
          <w:tcPr>
            <w:tcW w:w="1156" w:type="dxa"/>
          </w:tcPr>
          <w:p w14:paraId="33538229"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3189683E" w14:textId="77777777" w:rsidR="00A46C22" w:rsidRPr="00542CE6" w:rsidRDefault="00FF4023">
            <w:pPr>
              <w:rPr>
                <w:rFonts w:ascii="Arial" w:hAnsi="Arial" w:cs="Arial"/>
                <w:sz w:val="16"/>
                <w:szCs w:val="16"/>
              </w:rPr>
            </w:pPr>
            <w:r w:rsidRPr="00542CE6">
              <w:rPr>
                <w:rFonts w:ascii="Arial" w:hAnsi="Arial" w:cs="Arial"/>
                <w:sz w:val="16"/>
                <w:szCs w:val="16"/>
              </w:rPr>
              <w:t>GGCCCCTTGACCATGATG</w:t>
            </w:r>
          </w:p>
        </w:tc>
        <w:tc>
          <w:tcPr>
            <w:tcW w:w="2564" w:type="dxa"/>
          </w:tcPr>
          <w:p w14:paraId="3363C301" w14:textId="77777777" w:rsidR="00A46C22" w:rsidRPr="00542CE6" w:rsidRDefault="00FF4023">
            <w:pPr>
              <w:rPr>
                <w:rFonts w:ascii="Arial" w:hAnsi="Arial" w:cs="Arial"/>
                <w:sz w:val="16"/>
                <w:szCs w:val="16"/>
              </w:rPr>
            </w:pPr>
            <w:r w:rsidRPr="00542CE6">
              <w:rPr>
                <w:rFonts w:ascii="Arial" w:hAnsi="Arial" w:cs="Arial"/>
                <w:sz w:val="16"/>
                <w:szCs w:val="16"/>
              </w:rPr>
              <w:t>TCTGGGTTGCACAGGAAGTTT</w:t>
            </w:r>
          </w:p>
        </w:tc>
      </w:tr>
      <w:tr w:rsidR="00542CE6" w:rsidRPr="00542CE6" w14:paraId="384E80D0" w14:textId="77777777" w:rsidTr="00DB45DA">
        <w:tc>
          <w:tcPr>
            <w:tcW w:w="3507" w:type="dxa"/>
          </w:tcPr>
          <w:p w14:paraId="3E105CEF" w14:textId="77777777" w:rsidR="00A46C22" w:rsidRPr="00542CE6" w:rsidRDefault="006E0E08">
            <w:pPr>
              <w:rPr>
                <w:rFonts w:ascii="Arial" w:hAnsi="Arial" w:cs="Arial"/>
                <w:sz w:val="16"/>
                <w:szCs w:val="16"/>
              </w:rPr>
            </w:pPr>
            <w:r w:rsidRPr="00542CE6">
              <w:rPr>
                <w:rFonts w:ascii="Arial" w:hAnsi="Arial" w:cs="Arial"/>
                <w:sz w:val="16"/>
                <w:szCs w:val="16"/>
              </w:rPr>
              <w:t>Chemokine (C-X-C motif) ligand 1 (</w:t>
            </w:r>
            <w:r w:rsidRPr="00542CE6">
              <w:rPr>
                <w:rFonts w:ascii="Arial" w:hAnsi="Arial" w:cs="Arial"/>
                <w:i/>
                <w:sz w:val="16"/>
                <w:szCs w:val="16"/>
              </w:rPr>
              <w:t>CXCL1</w:t>
            </w:r>
            <w:r w:rsidRPr="00542CE6">
              <w:rPr>
                <w:rFonts w:ascii="Arial" w:hAnsi="Arial" w:cs="Arial"/>
                <w:sz w:val="16"/>
                <w:szCs w:val="16"/>
              </w:rPr>
              <w:t>)</w:t>
            </w:r>
          </w:p>
        </w:tc>
        <w:tc>
          <w:tcPr>
            <w:tcW w:w="1156" w:type="dxa"/>
          </w:tcPr>
          <w:p w14:paraId="7A8EF204"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340A5CFF" w14:textId="77777777" w:rsidR="00A46C22" w:rsidRPr="00542CE6" w:rsidRDefault="00FF4023">
            <w:pPr>
              <w:rPr>
                <w:rFonts w:ascii="Arial" w:hAnsi="Arial" w:cs="Arial"/>
                <w:sz w:val="16"/>
                <w:szCs w:val="16"/>
              </w:rPr>
            </w:pPr>
            <w:r w:rsidRPr="00542CE6">
              <w:rPr>
                <w:rFonts w:ascii="Arial" w:hAnsi="Arial" w:cs="Arial"/>
                <w:sz w:val="16"/>
                <w:szCs w:val="16"/>
              </w:rPr>
              <w:t>GAAAGCTTGCCTCAATCCTG</w:t>
            </w:r>
          </w:p>
        </w:tc>
        <w:tc>
          <w:tcPr>
            <w:tcW w:w="2564" w:type="dxa"/>
          </w:tcPr>
          <w:p w14:paraId="05DA293D" w14:textId="77777777" w:rsidR="00A46C22" w:rsidRPr="00542CE6" w:rsidRDefault="00FF4023">
            <w:pPr>
              <w:rPr>
                <w:rFonts w:ascii="Arial" w:hAnsi="Arial" w:cs="Arial"/>
                <w:sz w:val="16"/>
                <w:szCs w:val="16"/>
              </w:rPr>
            </w:pPr>
            <w:r w:rsidRPr="00542CE6">
              <w:rPr>
                <w:rFonts w:ascii="Arial" w:hAnsi="Arial" w:cs="Arial"/>
                <w:sz w:val="16"/>
                <w:szCs w:val="16"/>
              </w:rPr>
              <w:t>CACCAGTGAGCTTCCTCCTC</w:t>
            </w:r>
          </w:p>
        </w:tc>
      </w:tr>
      <w:tr w:rsidR="00542CE6" w:rsidRPr="00542CE6" w14:paraId="1E97EC7D" w14:textId="77777777" w:rsidTr="00DB45DA">
        <w:tc>
          <w:tcPr>
            <w:tcW w:w="3507" w:type="dxa"/>
          </w:tcPr>
          <w:p w14:paraId="04F72EFE" w14:textId="77777777" w:rsidR="00A46C22" w:rsidRPr="00542CE6" w:rsidRDefault="006E0E08" w:rsidP="006E0E08">
            <w:pPr>
              <w:rPr>
                <w:rFonts w:ascii="Arial" w:hAnsi="Arial" w:cs="Arial"/>
                <w:sz w:val="16"/>
                <w:szCs w:val="16"/>
              </w:rPr>
            </w:pPr>
            <w:r w:rsidRPr="00542CE6">
              <w:rPr>
                <w:rFonts w:ascii="Arial" w:hAnsi="Arial" w:cs="Arial"/>
                <w:sz w:val="16"/>
                <w:szCs w:val="16"/>
              </w:rPr>
              <w:t>Chemokine (C-X-C motif) ligand 2 (</w:t>
            </w:r>
            <w:r w:rsidRPr="00542CE6">
              <w:rPr>
                <w:rFonts w:ascii="Arial" w:hAnsi="Arial" w:cs="Arial"/>
                <w:i/>
                <w:sz w:val="16"/>
                <w:szCs w:val="16"/>
              </w:rPr>
              <w:t>CXCL2</w:t>
            </w:r>
            <w:r w:rsidRPr="00542CE6">
              <w:rPr>
                <w:rFonts w:ascii="Arial" w:hAnsi="Arial" w:cs="Arial"/>
                <w:sz w:val="16"/>
                <w:szCs w:val="16"/>
              </w:rPr>
              <w:t>)</w:t>
            </w:r>
          </w:p>
        </w:tc>
        <w:tc>
          <w:tcPr>
            <w:tcW w:w="1156" w:type="dxa"/>
          </w:tcPr>
          <w:p w14:paraId="4FC8A78F"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38645F67" w14:textId="77777777" w:rsidR="00A46C22" w:rsidRPr="00542CE6" w:rsidRDefault="00FF4023">
            <w:pPr>
              <w:rPr>
                <w:rFonts w:ascii="Arial" w:hAnsi="Arial" w:cs="Arial"/>
                <w:sz w:val="16"/>
                <w:szCs w:val="16"/>
              </w:rPr>
            </w:pPr>
            <w:r w:rsidRPr="00542CE6">
              <w:rPr>
                <w:rFonts w:ascii="Arial" w:hAnsi="Arial" w:cs="Arial"/>
                <w:sz w:val="16"/>
                <w:szCs w:val="16"/>
              </w:rPr>
              <w:t>AACTGCGCTGCCAGTGCT</w:t>
            </w:r>
          </w:p>
        </w:tc>
        <w:tc>
          <w:tcPr>
            <w:tcW w:w="2564" w:type="dxa"/>
          </w:tcPr>
          <w:p w14:paraId="29522739" w14:textId="77777777" w:rsidR="00A46C22" w:rsidRPr="00542CE6" w:rsidRDefault="00FF4023">
            <w:pPr>
              <w:rPr>
                <w:rFonts w:ascii="Arial" w:hAnsi="Arial" w:cs="Arial"/>
                <w:sz w:val="16"/>
                <w:szCs w:val="16"/>
              </w:rPr>
            </w:pPr>
            <w:r w:rsidRPr="00542CE6">
              <w:rPr>
                <w:rFonts w:ascii="Arial" w:hAnsi="Arial" w:cs="Arial"/>
                <w:sz w:val="16"/>
                <w:szCs w:val="16"/>
              </w:rPr>
              <w:t>CCCATTCTTGAGTGTGGCTA</w:t>
            </w:r>
          </w:p>
        </w:tc>
      </w:tr>
      <w:tr w:rsidR="00542CE6" w:rsidRPr="00542CE6" w14:paraId="4FFF69B2" w14:textId="77777777" w:rsidTr="00DB45DA">
        <w:tc>
          <w:tcPr>
            <w:tcW w:w="3507" w:type="dxa"/>
          </w:tcPr>
          <w:p w14:paraId="3290483E" w14:textId="77777777" w:rsidR="00A46C22" w:rsidRPr="00542CE6" w:rsidRDefault="006E0E08">
            <w:pPr>
              <w:rPr>
                <w:rFonts w:ascii="Arial" w:hAnsi="Arial" w:cs="Arial"/>
                <w:sz w:val="16"/>
                <w:szCs w:val="16"/>
              </w:rPr>
            </w:pPr>
            <w:r w:rsidRPr="00542CE6">
              <w:rPr>
                <w:rFonts w:ascii="Arial" w:hAnsi="Arial" w:cs="Arial"/>
                <w:sz w:val="16"/>
                <w:szCs w:val="16"/>
              </w:rPr>
              <w:t>Interleukin 6 (</w:t>
            </w:r>
            <w:r w:rsidRPr="00542CE6">
              <w:rPr>
                <w:rFonts w:ascii="Arial" w:hAnsi="Arial" w:cs="Arial"/>
                <w:i/>
                <w:sz w:val="16"/>
                <w:szCs w:val="16"/>
              </w:rPr>
              <w:t>Il6</w:t>
            </w:r>
            <w:r w:rsidRPr="00542CE6">
              <w:rPr>
                <w:rFonts w:ascii="Arial" w:hAnsi="Arial" w:cs="Arial"/>
                <w:sz w:val="16"/>
                <w:szCs w:val="16"/>
              </w:rPr>
              <w:t>)</w:t>
            </w:r>
          </w:p>
        </w:tc>
        <w:tc>
          <w:tcPr>
            <w:tcW w:w="1156" w:type="dxa"/>
          </w:tcPr>
          <w:p w14:paraId="07696DBA"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2CE695AC" w14:textId="77777777" w:rsidR="00A46C22" w:rsidRPr="00542CE6" w:rsidRDefault="00FF4023">
            <w:pPr>
              <w:rPr>
                <w:rFonts w:ascii="Arial" w:hAnsi="Arial" w:cs="Arial"/>
                <w:sz w:val="16"/>
                <w:szCs w:val="16"/>
              </w:rPr>
            </w:pPr>
            <w:r w:rsidRPr="00542CE6">
              <w:rPr>
                <w:rFonts w:ascii="Arial" w:hAnsi="Arial" w:cs="Arial"/>
                <w:sz w:val="16"/>
                <w:szCs w:val="16"/>
              </w:rPr>
              <w:t>TCCTCTCTGCAAGAGACTTCC</w:t>
            </w:r>
          </w:p>
        </w:tc>
        <w:tc>
          <w:tcPr>
            <w:tcW w:w="2564" w:type="dxa"/>
          </w:tcPr>
          <w:p w14:paraId="67DDBDBE" w14:textId="77777777" w:rsidR="00A46C22" w:rsidRPr="00542CE6" w:rsidRDefault="00FF4023">
            <w:pPr>
              <w:rPr>
                <w:rFonts w:ascii="Arial" w:hAnsi="Arial" w:cs="Arial"/>
                <w:sz w:val="16"/>
                <w:szCs w:val="16"/>
              </w:rPr>
            </w:pPr>
            <w:r w:rsidRPr="00542CE6">
              <w:rPr>
                <w:rFonts w:ascii="Arial" w:hAnsi="Arial" w:cs="Arial"/>
                <w:sz w:val="16"/>
                <w:szCs w:val="16"/>
              </w:rPr>
              <w:t>GGAGAGCATTGGAAATTGGGG</w:t>
            </w:r>
          </w:p>
        </w:tc>
      </w:tr>
      <w:tr w:rsidR="00542CE6" w:rsidRPr="00542CE6" w14:paraId="7C6411B1" w14:textId="77777777" w:rsidTr="00DB45DA">
        <w:tc>
          <w:tcPr>
            <w:tcW w:w="3507" w:type="dxa"/>
          </w:tcPr>
          <w:p w14:paraId="050D7E81" w14:textId="77777777" w:rsidR="00A46C22" w:rsidRPr="00542CE6" w:rsidRDefault="006E0E08" w:rsidP="006E0E08">
            <w:pPr>
              <w:rPr>
                <w:rFonts w:ascii="Arial" w:hAnsi="Arial" w:cs="Arial"/>
                <w:sz w:val="16"/>
                <w:szCs w:val="16"/>
              </w:rPr>
            </w:pPr>
            <w:r w:rsidRPr="00542CE6">
              <w:rPr>
                <w:rFonts w:ascii="Arial" w:hAnsi="Arial" w:cs="Arial"/>
                <w:sz w:val="16"/>
                <w:szCs w:val="16"/>
              </w:rPr>
              <w:t>Chemokine (C-X-C motif) ligand 1 (</w:t>
            </w:r>
            <w:r w:rsidRPr="00542CE6">
              <w:rPr>
                <w:rFonts w:ascii="Arial" w:hAnsi="Arial" w:cs="Arial"/>
                <w:i/>
                <w:sz w:val="16"/>
                <w:szCs w:val="16"/>
              </w:rPr>
              <w:t>Cxcl1</w:t>
            </w:r>
            <w:r w:rsidRPr="00542CE6">
              <w:rPr>
                <w:rFonts w:ascii="Arial" w:hAnsi="Arial" w:cs="Arial"/>
                <w:sz w:val="16"/>
                <w:szCs w:val="16"/>
              </w:rPr>
              <w:t>)</w:t>
            </w:r>
          </w:p>
        </w:tc>
        <w:tc>
          <w:tcPr>
            <w:tcW w:w="1156" w:type="dxa"/>
          </w:tcPr>
          <w:p w14:paraId="0D4B57C0"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7CD09DD1" w14:textId="77777777" w:rsidR="00A46C22" w:rsidRPr="00542CE6" w:rsidRDefault="00FF4023">
            <w:pPr>
              <w:rPr>
                <w:rFonts w:ascii="Arial" w:hAnsi="Arial" w:cs="Arial"/>
                <w:sz w:val="16"/>
                <w:szCs w:val="16"/>
              </w:rPr>
            </w:pPr>
            <w:r w:rsidRPr="00542CE6">
              <w:rPr>
                <w:rFonts w:ascii="Arial" w:hAnsi="Arial" w:cs="Arial"/>
                <w:sz w:val="16"/>
                <w:szCs w:val="16"/>
              </w:rPr>
              <w:t>CCGAAGTCATAGCCACACTCA</w:t>
            </w:r>
          </w:p>
        </w:tc>
        <w:tc>
          <w:tcPr>
            <w:tcW w:w="2564" w:type="dxa"/>
          </w:tcPr>
          <w:p w14:paraId="09C31DD4" w14:textId="77777777" w:rsidR="00A46C22" w:rsidRPr="00542CE6" w:rsidRDefault="00FF4023">
            <w:pPr>
              <w:rPr>
                <w:rFonts w:ascii="Arial" w:hAnsi="Arial" w:cs="Arial"/>
                <w:sz w:val="16"/>
                <w:szCs w:val="16"/>
              </w:rPr>
            </w:pPr>
            <w:r w:rsidRPr="00542CE6">
              <w:rPr>
                <w:rFonts w:ascii="Arial" w:hAnsi="Arial" w:cs="Arial"/>
                <w:sz w:val="16"/>
                <w:szCs w:val="16"/>
              </w:rPr>
              <w:t>CTCCCACACATGTCCTCACC</w:t>
            </w:r>
          </w:p>
        </w:tc>
      </w:tr>
      <w:tr w:rsidR="00542CE6" w:rsidRPr="00542CE6" w14:paraId="350E48AC" w14:textId="77777777" w:rsidTr="00DB45DA">
        <w:tc>
          <w:tcPr>
            <w:tcW w:w="3507" w:type="dxa"/>
          </w:tcPr>
          <w:p w14:paraId="37FECD99" w14:textId="77777777" w:rsidR="00A46C22" w:rsidRPr="00542CE6" w:rsidRDefault="006E0E08" w:rsidP="006E0E08">
            <w:pPr>
              <w:rPr>
                <w:rFonts w:ascii="Arial" w:hAnsi="Arial" w:cs="Arial"/>
                <w:sz w:val="16"/>
                <w:szCs w:val="16"/>
              </w:rPr>
            </w:pPr>
            <w:r w:rsidRPr="00542CE6">
              <w:rPr>
                <w:rFonts w:ascii="Arial" w:hAnsi="Arial" w:cs="Arial"/>
                <w:sz w:val="16"/>
                <w:szCs w:val="16"/>
              </w:rPr>
              <w:t>Chemokine (C-X-C motif) ligand 2 (</w:t>
            </w:r>
            <w:r w:rsidRPr="00542CE6">
              <w:rPr>
                <w:rFonts w:ascii="Arial" w:hAnsi="Arial" w:cs="Arial"/>
                <w:i/>
                <w:sz w:val="16"/>
                <w:szCs w:val="16"/>
              </w:rPr>
              <w:t>Cxcl2</w:t>
            </w:r>
            <w:r w:rsidRPr="00542CE6">
              <w:rPr>
                <w:rFonts w:ascii="Arial" w:hAnsi="Arial" w:cs="Arial"/>
                <w:sz w:val="16"/>
                <w:szCs w:val="16"/>
              </w:rPr>
              <w:t>)</w:t>
            </w:r>
          </w:p>
        </w:tc>
        <w:tc>
          <w:tcPr>
            <w:tcW w:w="1156" w:type="dxa"/>
          </w:tcPr>
          <w:p w14:paraId="537F29E0" w14:textId="77777777" w:rsidR="00A46C22" w:rsidRPr="00542CE6" w:rsidRDefault="006E0E08">
            <w:pPr>
              <w:rPr>
                <w:rFonts w:ascii="Arial" w:hAnsi="Arial" w:cs="Arial"/>
                <w:sz w:val="16"/>
                <w:szCs w:val="16"/>
              </w:rPr>
            </w:pPr>
            <w:r w:rsidRPr="00542CE6">
              <w:rPr>
                <w:rFonts w:ascii="Arial" w:hAnsi="Arial" w:cs="Arial"/>
                <w:sz w:val="16"/>
                <w:szCs w:val="16"/>
              </w:rPr>
              <w:t>Mouse</w:t>
            </w:r>
          </w:p>
        </w:tc>
        <w:tc>
          <w:tcPr>
            <w:tcW w:w="2349" w:type="dxa"/>
          </w:tcPr>
          <w:p w14:paraId="77342534" w14:textId="77777777" w:rsidR="00A46C22" w:rsidRPr="00542CE6" w:rsidRDefault="00FF4023">
            <w:pPr>
              <w:rPr>
                <w:rFonts w:ascii="Arial" w:hAnsi="Arial" w:cs="Arial"/>
                <w:sz w:val="16"/>
                <w:szCs w:val="16"/>
              </w:rPr>
            </w:pPr>
            <w:r w:rsidRPr="00542CE6">
              <w:rPr>
                <w:rFonts w:ascii="Arial" w:hAnsi="Arial" w:cs="Arial"/>
                <w:sz w:val="16"/>
                <w:szCs w:val="16"/>
              </w:rPr>
              <w:t>CAGGCTACAGGGGCTGTTGT</w:t>
            </w:r>
          </w:p>
        </w:tc>
        <w:tc>
          <w:tcPr>
            <w:tcW w:w="2564" w:type="dxa"/>
          </w:tcPr>
          <w:p w14:paraId="6D084E63" w14:textId="77777777" w:rsidR="00A46C22" w:rsidRPr="00542CE6" w:rsidRDefault="00FF4023">
            <w:pPr>
              <w:rPr>
                <w:rFonts w:ascii="Arial" w:hAnsi="Arial" w:cs="Arial"/>
                <w:sz w:val="16"/>
                <w:szCs w:val="16"/>
              </w:rPr>
            </w:pPr>
            <w:r w:rsidRPr="00542CE6">
              <w:rPr>
                <w:rFonts w:ascii="Arial" w:hAnsi="Arial" w:cs="Arial"/>
                <w:sz w:val="16"/>
                <w:szCs w:val="16"/>
              </w:rPr>
              <w:t>ACATCAGGTACGATCCAGGC</w:t>
            </w:r>
          </w:p>
        </w:tc>
      </w:tr>
      <w:tr w:rsidR="00542CE6" w:rsidRPr="00542CE6" w14:paraId="63BB6F89" w14:textId="77777777" w:rsidTr="00DB45DA">
        <w:tc>
          <w:tcPr>
            <w:tcW w:w="3507" w:type="dxa"/>
          </w:tcPr>
          <w:p w14:paraId="3B93C4D4" w14:textId="77777777" w:rsidR="00A46C22" w:rsidRPr="00542CE6" w:rsidRDefault="006E0E08">
            <w:pPr>
              <w:rPr>
                <w:rFonts w:ascii="Arial" w:hAnsi="Arial" w:cs="Arial"/>
                <w:sz w:val="16"/>
                <w:szCs w:val="16"/>
              </w:rPr>
            </w:pPr>
            <w:r w:rsidRPr="00542CE6">
              <w:rPr>
                <w:rFonts w:ascii="Arial" w:hAnsi="Arial" w:cs="Arial"/>
                <w:sz w:val="16"/>
                <w:szCs w:val="16"/>
              </w:rPr>
              <w:t>FK506 binding protein 51 (</w:t>
            </w:r>
            <w:r w:rsidRPr="00542CE6">
              <w:rPr>
                <w:rFonts w:ascii="Arial" w:hAnsi="Arial" w:cs="Arial"/>
                <w:i/>
                <w:sz w:val="16"/>
                <w:szCs w:val="16"/>
              </w:rPr>
              <w:t>FKBP5</w:t>
            </w:r>
            <w:r w:rsidRPr="00542CE6">
              <w:rPr>
                <w:rFonts w:ascii="Arial" w:hAnsi="Arial" w:cs="Arial"/>
                <w:sz w:val="16"/>
                <w:szCs w:val="16"/>
              </w:rPr>
              <w:t>)</w:t>
            </w:r>
          </w:p>
        </w:tc>
        <w:tc>
          <w:tcPr>
            <w:tcW w:w="1156" w:type="dxa"/>
          </w:tcPr>
          <w:p w14:paraId="7BF2DF0A"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27D27011" w14:textId="77777777" w:rsidR="00A46C22" w:rsidRPr="00542CE6" w:rsidRDefault="00FF4023">
            <w:pPr>
              <w:rPr>
                <w:rFonts w:ascii="Arial" w:hAnsi="Arial" w:cs="Arial"/>
                <w:sz w:val="16"/>
                <w:szCs w:val="16"/>
              </w:rPr>
            </w:pPr>
            <w:r w:rsidRPr="00542CE6">
              <w:rPr>
                <w:rFonts w:ascii="Arial" w:hAnsi="Arial" w:cs="Arial"/>
                <w:sz w:val="16"/>
                <w:szCs w:val="16"/>
              </w:rPr>
              <w:t>AGTTACATCCCCCATGCCAAG</w:t>
            </w:r>
          </w:p>
        </w:tc>
        <w:tc>
          <w:tcPr>
            <w:tcW w:w="2564" w:type="dxa"/>
          </w:tcPr>
          <w:p w14:paraId="2A32B60F" w14:textId="77777777" w:rsidR="00A46C22" w:rsidRPr="00542CE6" w:rsidRDefault="00FF4023">
            <w:pPr>
              <w:rPr>
                <w:rFonts w:ascii="Arial" w:hAnsi="Arial" w:cs="Arial"/>
                <w:sz w:val="16"/>
                <w:szCs w:val="16"/>
              </w:rPr>
            </w:pPr>
            <w:r w:rsidRPr="00542CE6">
              <w:rPr>
                <w:rFonts w:ascii="Arial" w:hAnsi="Arial" w:cs="Arial"/>
                <w:sz w:val="16"/>
                <w:szCs w:val="16"/>
              </w:rPr>
              <w:t>GGGGATTGTCGCTTCGTAGT</w:t>
            </w:r>
          </w:p>
        </w:tc>
      </w:tr>
      <w:tr w:rsidR="00542CE6" w:rsidRPr="00542CE6" w14:paraId="6A7F0A4D" w14:textId="77777777" w:rsidTr="00DB45DA">
        <w:tc>
          <w:tcPr>
            <w:tcW w:w="3507" w:type="dxa"/>
          </w:tcPr>
          <w:p w14:paraId="34550398" w14:textId="77777777" w:rsidR="00A46C22" w:rsidRPr="00542CE6" w:rsidRDefault="006E0E08">
            <w:pPr>
              <w:rPr>
                <w:rFonts w:ascii="Arial" w:hAnsi="Arial" w:cs="Arial"/>
                <w:sz w:val="16"/>
                <w:szCs w:val="16"/>
              </w:rPr>
            </w:pPr>
            <w:proofErr w:type="spellStart"/>
            <w:r w:rsidRPr="00542CE6">
              <w:rPr>
                <w:rFonts w:ascii="Arial" w:hAnsi="Arial" w:cs="Arial"/>
                <w:sz w:val="16"/>
                <w:szCs w:val="16"/>
              </w:rPr>
              <w:t>Kruppel</w:t>
            </w:r>
            <w:proofErr w:type="spellEnd"/>
            <w:r w:rsidRPr="00542CE6">
              <w:rPr>
                <w:rFonts w:ascii="Arial" w:hAnsi="Arial" w:cs="Arial"/>
                <w:sz w:val="16"/>
                <w:szCs w:val="16"/>
              </w:rPr>
              <w:t xml:space="preserve"> Like Factor 9 (</w:t>
            </w:r>
            <w:r w:rsidRPr="00542CE6">
              <w:rPr>
                <w:rFonts w:ascii="Arial" w:hAnsi="Arial" w:cs="Arial"/>
                <w:i/>
                <w:sz w:val="16"/>
                <w:szCs w:val="16"/>
              </w:rPr>
              <w:t>KLF9</w:t>
            </w:r>
            <w:r w:rsidRPr="00542CE6">
              <w:rPr>
                <w:rFonts w:ascii="Arial" w:hAnsi="Arial" w:cs="Arial"/>
                <w:sz w:val="16"/>
                <w:szCs w:val="16"/>
              </w:rPr>
              <w:t>)</w:t>
            </w:r>
          </w:p>
        </w:tc>
        <w:tc>
          <w:tcPr>
            <w:tcW w:w="1156" w:type="dxa"/>
          </w:tcPr>
          <w:p w14:paraId="50207A0B"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1BAD7E07" w14:textId="77777777" w:rsidR="00A46C22" w:rsidRPr="00542CE6" w:rsidRDefault="00FF4023">
            <w:pPr>
              <w:rPr>
                <w:rFonts w:ascii="Arial" w:hAnsi="Arial" w:cs="Arial"/>
                <w:sz w:val="16"/>
                <w:szCs w:val="16"/>
              </w:rPr>
            </w:pPr>
            <w:r w:rsidRPr="00542CE6">
              <w:rPr>
                <w:rFonts w:ascii="Arial" w:hAnsi="Arial" w:cs="Arial"/>
                <w:sz w:val="16"/>
                <w:szCs w:val="16"/>
              </w:rPr>
              <w:t>CACCGAATCTGGGTCGAGTC</w:t>
            </w:r>
          </w:p>
        </w:tc>
        <w:tc>
          <w:tcPr>
            <w:tcW w:w="2564" w:type="dxa"/>
          </w:tcPr>
          <w:p w14:paraId="7853293F" w14:textId="77777777" w:rsidR="00A46C22" w:rsidRPr="00542CE6" w:rsidRDefault="00FF4023">
            <w:pPr>
              <w:rPr>
                <w:rFonts w:ascii="Arial" w:hAnsi="Arial" w:cs="Arial"/>
                <w:sz w:val="16"/>
                <w:szCs w:val="16"/>
              </w:rPr>
            </w:pPr>
            <w:r w:rsidRPr="00542CE6">
              <w:rPr>
                <w:rFonts w:ascii="Arial" w:hAnsi="Arial" w:cs="Arial"/>
                <w:sz w:val="16"/>
                <w:szCs w:val="16"/>
              </w:rPr>
              <w:t>GCCGTTCACCTGTATGCACT</w:t>
            </w:r>
          </w:p>
        </w:tc>
      </w:tr>
      <w:tr w:rsidR="00A46C22" w:rsidRPr="00542CE6" w14:paraId="476D569F" w14:textId="77777777" w:rsidTr="00DB45DA">
        <w:tc>
          <w:tcPr>
            <w:tcW w:w="3507" w:type="dxa"/>
          </w:tcPr>
          <w:p w14:paraId="6184976C" w14:textId="77777777" w:rsidR="00A46C22" w:rsidRPr="00542CE6" w:rsidRDefault="006E0E08">
            <w:pPr>
              <w:rPr>
                <w:rFonts w:ascii="Arial" w:hAnsi="Arial" w:cs="Arial"/>
                <w:sz w:val="16"/>
                <w:szCs w:val="16"/>
              </w:rPr>
            </w:pPr>
            <w:r w:rsidRPr="00542CE6">
              <w:rPr>
                <w:rFonts w:ascii="Arial" w:hAnsi="Arial" w:cs="Arial"/>
                <w:sz w:val="16"/>
                <w:szCs w:val="16"/>
              </w:rPr>
              <w:t>Poly(ADP-Ribose) Polymerase Family Member 9 (</w:t>
            </w:r>
            <w:r w:rsidRPr="00542CE6">
              <w:rPr>
                <w:rFonts w:ascii="Arial" w:hAnsi="Arial" w:cs="Arial"/>
                <w:i/>
                <w:sz w:val="16"/>
                <w:szCs w:val="16"/>
              </w:rPr>
              <w:t>PARP9</w:t>
            </w:r>
            <w:r w:rsidRPr="00542CE6">
              <w:rPr>
                <w:rFonts w:ascii="Arial" w:hAnsi="Arial" w:cs="Arial"/>
                <w:sz w:val="16"/>
                <w:szCs w:val="16"/>
              </w:rPr>
              <w:t>)</w:t>
            </w:r>
          </w:p>
        </w:tc>
        <w:tc>
          <w:tcPr>
            <w:tcW w:w="1156" w:type="dxa"/>
          </w:tcPr>
          <w:p w14:paraId="354DFCB8" w14:textId="77777777" w:rsidR="00A46C22" w:rsidRPr="00542CE6" w:rsidRDefault="006E0E08">
            <w:pPr>
              <w:rPr>
                <w:rFonts w:ascii="Arial" w:hAnsi="Arial" w:cs="Arial"/>
                <w:sz w:val="16"/>
                <w:szCs w:val="16"/>
              </w:rPr>
            </w:pPr>
            <w:r w:rsidRPr="00542CE6">
              <w:rPr>
                <w:rFonts w:ascii="Arial" w:hAnsi="Arial" w:cs="Arial"/>
                <w:sz w:val="16"/>
                <w:szCs w:val="16"/>
              </w:rPr>
              <w:t>Human</w:t>
            </w:r>
          </w:p>
        </w:tc>
        <w:tc>
          <w:tcPr>
            <w:tcW w:w="2349" w:type="dxa"/>
          </w:tcPr>
          <w:p w14:paraId="4CF99262" w14:textId="77777777" w:rsidR="00A46C22" w:rsidRPr="00542CE6" w:rsidRDefault="00FF4023">
            <w:pPr>
              <w:rPr>
                <w:rFonts w:ascii="Arial" w:hAnsi="Arial" w:cs="Arial"/>
                <w:sz w:val="16"/>
                <w:szCs w:val="16"/>
              </w:rPr>
            </w:pPr>
            <w:r w:rsidRPr="00542CE6">
              <w:rPr>
                <w:rFonts w:ascii="Arial" w:hAnsi="Arial" w:cs="Arial"/>
                <w:sz w:val="16"/>
                <w:szCs w:val="16"/>
              </w:rPr>
              <w:t>CCGGAAGTGGGCCACCATATC</w:t>
            </w:r>
          </w:p>
        </w:tc>
        <w:tc>
          <w:tcPr>
            <w:tcW w:w="2564" w:type="dxa"/>
          </w:tcPr>
          <w:p w14:paraId="13EC67CA" w14:textId="77777777" w:rsidR="00A46C22" w:rsidRPr="00542CE6" w:rsidRDefault="00FF4023">
            <w:pPr>
              <w:rPr>
                <w:rFonts w:ascii="Arial" w:hAnsi="Arial" w:cs="Arial"/>
                <w:sz w:val="16"/>
                <w:szCs w:val="16"/>
              </w:rPr>
            </w:pPr>
            <w:r w:rsidRPr="00542CE6">
              <w:rPr>
                <w:rFonts w:ascii="Arial" w:hAnsi="Arial" w:cs="Arial"/>
                <w:sz w:val="16"/>
                <w:szCs w:val="16"/>
              </w:rPr>
              <w:t>CGGCCACCATGGAAAAGTCC</w:t>
            </w:r>
          </w:p>
        </w:tc>
      </w:tr>
    </w:tbl>
    <w:p w14:paraId="672A6659" w14:textId="77777777" w:rsidR="00467412" w:rsidRPr="00542CE6" w:rsidRDefault="00467412" w:rsidP="00467412">
      <w:pPr>
        <w:pStyle w:val="Heading2"/>
        <w:rPr>
          <w:sz w:val="20"/>
          <w:szCs w:val="20"/>
        </w:rPr>
      </w:pPr>
    </w:p>
    <w:p w14:paraId="044A3286" w14:textId="77777777" w:rsidR="00467412" w:rsidRPr="00542CE6" w:rsidRDefault="00467412" w:rsidP="00467412">
      <w:pPr>
        <w:pStyle w:val="Heading2"/>
        <w:rPr>
          <w:sz w:val="20"/>
          <w:szCs w:val="20"/>
        </w:rPr>
      </w:pPr>
      <w:r w:rsidRPr="00542CE6">
        <w:rPr>
          <w:sz w:val="20"/>
          <w:szCs w:val="20"/>
        </w:rPr>
        <w:t>Microarray gene expression analysis- Continued</w:t>
      </w:r>
    </w:p>
    <w:p w14:paraId="3F84C756" w14:textId="73038822" w:rsidR="00467412" w:rsidRPr="00542CE6" w:rsidRDefault="00396468" w:rsidP="009B4BC8">
      <w:pPr>
        <w:rPr>
          <w:rFonts w:ascii="Arial" w:hAnsi="Arial" w:cs="Arial"/>
          <w:sz w:val="20"/>
          <w:szCs w:val="20"/>
        </w:rPr>
      </w:pPr>
      <w:proofErr w:type="spellStart"/>
      <w:r w:rsidRPr="00542CE6">
        <w:rPr>
          <w:rFonts w:ascii="Arial" w:hAnsi="Arial" w:cs="Arial"/>
          <w:sz w:val="20"/>
          <w:szCs w:val="20"/>
        </w:rPr>
        <w:t>Ribolock</w:t>
      </w:r>
      <w:proofErr w:type="spellEnd"/>
      <w:r w:rsidRPr="00542CE6">
        <w:rPr>
          <w:rFonts w:ascii="Arial" w:hAnsi="Arial" w:cs="Arial"/>
          <w:sz w:val="20"/>
          <w:szCs w:val="20"/>
        </w:rPr>
        <w:t xml:space="preserve"> (</w:t>
      </w:r>
      <w:proofErr w:type="spellStart"/>
      <w:r w:rsidRPr="00542CE6">
        <w:rPr>
          <w:rFonts w:ascii="Arial" w:hAnsi="Arial" w:cs="Arial"/>
          <w:sz w:val="20"/>
          <w:szCs w:val="20"/>
        </w:rPr>
        <w:t>Thermo</w:t>
      </w:r>
      <w:proofErr w:type="spellEnd"/>
      <w:r w:rsidRPr="00542CE6">
        <w:rPr>
          <w:rFonts w:ascii="Arial" w:hAnsi="Arial" w:cs="Arial"/>
          <w:sz w:val="20"/>
          <w:szCs w:val="20"/>
        </w:rPr>
        <w:t xml:space="preserve"> Fisher Scientific,</w:t>
      </w:r>
      <w:r w:rsidR="00A344FF" w:rsidRPr="00542CE6">
        <w:rPr>
          <w:rFonts w:ascii="Arial" w:hAnsi="Arial" w:cs="Arial"/>
          <w:sz w:val="20"/>
          <w:szCs w:val="20"/>
        </w:rPr>
        <w:t xml:space="preserve"> </w:t>
      </w:r>
      <w:r w:rsidRPr="00542CE6">
        <w:rPr>
          <w:rFonts w:ascii="Arial" w:hAnsi="Arial" w:cs="Arial"/>
          <w:sz w:val="20"/>
          <w:szCs w:val="20"/>
        </w:rPr>
        <w:t>Waltham, MA) was added to inhibit RNA degradation in samples processed for microarray at a final concentration of 1U/µL</w:t>
      </w:r>
      <w:r w:rsidRPr="00542CE6">
        <w:rPr>
          <w:rFonts w:ascii="Arial" w:hAnsi="Arial" w:cs="Arial"/>
        </w:rPr>
        <w:t xml:space="preserve">. </w:t>
      </w:r>
      <w:r w:rsidR="00467412" w:rsidRPr="00542CE6">
        <w:rPr>
          <w:rFonts w:ascii="Arial" w:hAnsi="Arial" w:cs="Arial"/>
          <w:sz w:val="20"/>
          <w:szCs w:val="20"/>
        </w:rPr>
        <w:t xml:space="preserve">Differential expression of functional groups was assessed through Pathway-ANOVA and GO-ANOVA analyses in </w:t>
      </w:r>
      <w:proofErr w:type="spellStart"/>
      <w:r w:rsidR="00467412" w:rsidRPr="00542CE6">
        <w:rPr>
          <w:rFonts w:ascii="Arial" w:hAnsi="Arial" w:cs="Arial"/>
          <w:sz w:val="20"/>
          <w:szCs w:val="20"/>
        </w:rPr>
        <w:t>Partek</w:t>
      </w:r>
      <w:proofErr w:type="spellEnd"/>
      <w:r w:rsidR="00467412" w:rsidRPr="00542CE6">
        <w:rPr>
          <w:rFonts w:ascii="Arial" w:hAnsi="Arial" w:cs="Arial"/>
          <w:sz w:val="20"/>
          <w:szCs w:val="20"/>
        </w:rPr>
        <w:t xml:space="preserve"> Genomic Suite, which utilized KEGG Pathway and GO term databases, respectively. Normalized gene expression values were also subjected to a gene set enrichment analysis (GSEA) using the Java implementation from the Broad Institute </w:t>
      </w:r>
      <w:r w:rsidR="00467412"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{"citationItems":[{"id":"ITEM-1","itemData":{"DOI":"10.1073/pnas.0506580102","ISSN":"0027-8424","PMID":"16199517","abstract":"Although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America","id":"ITEM-1","issue":"43","issued":{"date-parts":[["2005","10","25"]]},"page":"15545-50","title":"Gene set enrichment analysis: a knowledge-based approach for interpreting genome-wide expression profiles.","type":"article-journal","volume":"102"},"uris":["http://www.mendeley.com/documents/?uuid=de0a9e90-fe3e-342b-ac92-96888d022dd4"]}],"mendeley":{"formattedCitation":"(6)","plainTextFormattedCitation":"(6)","previouslyFormattedCitation":"(5)"},"properties":{"noteIndex":0},"schema":"https://github.com/citation-style-language/schema/raw/master/csl-citation.json"}</w:instrText>
      </w:r>
      <w:r w:rsidR="00467412" w:rsidRPr="00542CE6">
        <w:rPr>
          <w:rFonts w:ascii="Arial" w:hAnsi="Arial" w:cs="Arial"/>
          <w:sz w:val="20"/>
          <w:szCs w:val="20"/>
        </w:rPr>
        <w:fldChar w:fldCharType="separate"/>
      </w:r>
      <w:r w:rsidR="005A117A" w:rsidRPr="00542CE6">
        <w:rPr>
          <w:rFonts w:ascii="Arial" w:hAnsi="Arial" w:cs="Arial"/>
          <w:noProof/>
          <w:sz w:val="20"/>
          <w:szCs w:val="20"/>
        </w:rPr>
        <w:t>(6)</w:t>
      </w:r>
      <w:r w:rsidR="00467412" w:rsidRPr="00542CE6">
        <w:rPr>
          <w:rFonts w:ascii="Arial" w:hAnsi="Arial" w:cs="Arial"/>
          <w:sz w:val="20"/>
          <w:szCs w:val="20"/>
        </w:rPr>
        <w:fldChar w:fldCharType="end"/>
      </w:r>
      <w:r w:rsidR="00467412" w:rsidRPr="00542CE6">
        <w:rPr>
          <w:rFonts w:ascii="Arial" w:hAnsi="Arial" w:cs="Arial"/>
          <w:sz w:val="20"/>
          <w:szCs w:val="20"/>
        </w:rPr>
        <w:t>. Several Molecular Signatures Database (</w:t>
      </w:r>
      <w:proofErr w:type="spellStart"/>
      <w:r w:rsidR="00467412" w:rsidRPr="00542CE6">
        <w:rPr>
          <w:rFonts w:ascii="Arial" w:hAnsi="Arial" w:cs="Arial"/>
          <w:sz w:val="20"/>
          <w:szCs w:val="20"/>
        </w:rPr>
        <w:t>MSigDB</w:t>
      </w:r>
      <w:proofErr w:type="spellEnd"/>
      <w:r w:rsidR="00467412" w:rsidRPr="00542CE6">
        <w:rPr>
          <w:rFonts w:ascii="Arial" w:hAnsi="Arial" w:cs="Arial"/>
          <w:sz w:val="20"/>
          <w:szCs w:val="20"/>
        </w:rPr>
        <w:t xml:space="preserve"> v6.1, Dec 2, 2017) collections were used to identify gene sets significantly enriched in MM.1S vs control cultures, including H (Hallmark), C2 (curated gene sets) and C5 (Gene Ontology, GO, gene sets), which contain 50, 3689, and 4429 gene sets respectively, when gene set size filters min=15 and max=500 were applied </w:t>
      </w:r>
      <w:r w:rsidR="00467412"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{"citationItems":[{"id":"ITEM-1","itemData":{"DOI":"10.1016/j.cels.2015.12.004","ISSN":"24054712","PMID":"26771021","abstract":"Summary The Molecular Signatures Database (MSigDB) is one of the most widely used and comprehensive databases of gene sets for performing gene set enrichment analysis. Since its creation, MSigDB has grown beyond its roots in metabolic disease and cancer to include &gt;10,000 gene sets. These better represent a wider range of biological processes and diseases, but the utility of the database is reduced by increased redundancy across, and heterogeneity within, gene sets. To address this challenge, here we use a combination of automated approaches and expert curation to develop a collection of \"hallmark\" gene sets as part of MSigDB. Each hallmark in this collection consists of a \"refined\" gene set, derived from multiple \"founder\" sets, that conveys a specific biological state or process and displays coherent expression. The hallmarks effectively summarize most of the relevant information of the original founder sets and, by reducing both variation and redundancy, provide more refined and concise inputs for gene set enrichment analysis.","author":[{"dropping-particle":"","family":"Liberzon","given":"Arthur","non-dropping-particle":"","parse-names":false,"suffix":""},{"dropping-particle":"","family":"Birger","given":"Chet","non-dropping-particle":"","parse-names":false,"suffix":""},{"dropping-particle":"","family":"Thorvaldsdóttir","given":"Helga","non-dropping-particle":"","parse-names":false,"suffix":""},{"dropping-particle":"","family":"Ghandi","given":"Mahmoud","non-dropping-particle":"","parse-names":false,"suffix":""},{"dropping-particle":"","family":"Mesirov","given":"Jill P.","non-dropping-particle":"","parse-names":false,"suffix":""},{"dropping-particle":"","family":"Tamayo","given":"Pablo","non-dropping-particle":"","parse-names":false,"suffix":""}],"container-title":"Cell Systems","id":"ITEM-1","issue":"6","issued":{"date-parts":[["2015","12"]]},"page":"417-425","publisher":"Cell Press","title":"The Molecular Signatures Database Hallmark Gene Set Collection","type":"article-journal","volume":"1"},"uris":["http://www.mendeley.com/documents/?uuid=af5e8461-a41c-3161-874e-0328eb358fed","http://www.mendeley.com/documents/?uuid=f821b3a0-dcbe-4879-b7b0-73d34e986e9a"]}],"mendeley":{"formattedCitation":"(7)","plainTextFormattedCitation":"(7)","previouslyFormattedCitation":"(6)"},"properties":{"noteIndex":0},"schema":"https://github.com/citation-style-language/schema/raw/master/csl-citation.json"}</w:instrText>
      </w:r>
      <w:r w:rsidR="00467412" w:rsidRPr="00542CE6">
        <w:rPr>
          <w:rFonts w:ascii="Arial" w:hAnsi="Arial" w:cs="Arial"/>
          <w:sz w:val="20"/>
          <w:szCs w:val="20"/>
        </w:rPr>
        <w:fldChar w:fldCharType="separate"/>
      </w:r>
      <w:r w:rsidR="005A117A" w:rsidRPr="00542CE6">
        <w:rPr>
          <w:rFonts w:ascii="Arial" w:hAnsi="Arial" w:cs="Arial"/>
          <w:noProof/>
          <w:sz w:val="20"/>
          <w:szCs w:val="20"/>
        </w:rPr>
        <w:t>(7)</w:t>
      </w:r>
      <w:r w:rsidR="00467412" w:rsidRPr="00542CE6">
        <w:rPr>
          <w:rFonts w:ascii="Arial" w:hAnsi="Arial" w:cs="Arial"/>
          <w:sz w:val="20"/>
          <w:szCs w:val="20"/>
        </w:rPr>
        <w:fldChar w:fldCharType="end"/>
      </w:r>
      <w:r w:rsidR="00467412" w:rsidRPr="00542CE6">
        <w:rPr>
          <w:rFonts w:ascii="Arial" w:hAnsi="Arial" w:cs="Arial"/>
          <w:sz w:val="20"/>
          <w:szCs w:val="20"/>
        </w:rPr>
        <w:t>. Only those gene sets with a false discovery rate (FDR) &lt; 25% were considered significantly enriched.</w:t>
      </w:r>
    </w:p>
    <w:p w14:paraId="39ECA5D2" w14:textId="3AB28ECA" w:rsidR="00CB4774" w:rsidRPr="00542CE6" w:rsidRDefault="00CB4774" w:rsidP="00CB4774">
      <w:pPr>
        <w:pStyle w:val="Heading2"/>
        <w:rPr>
          <w:sz w:val="20"/>
          <w:szCs w:val="20"/>
        </w:rPr>
      </w:pPr>
      <w:r w:rsidRPr="00542CE6">
        <w:rPr>
          <w:sz w:val="20"/>
          <w:szCs w:val="20"/>
        </w:rPr>
        <w:t>RNA-Sequencing of human BMA</w:t>
      </w:r>
      <w:r w:rsidR="00610C26" w:rsidRPr="00542CE6">
        <w:rPr>
          <w:sz w:val="20"/>
          <w:szCs w:val="20"/>
        </w:rPr>
        <w:t>T</w:t>
      </w:r>
      <w:r w:rsidRPr="00542CE6">
        <w:rPr>
          <w:sz w:val="20"/>
          <w:szCs w:val="20"/>
        </w:rPr>
        <w:t xml:space="preserve"> and MM cell co-cultures- Continued</w:t>
      </w:r>
    </w:p>
    <w:p w14:paraId="55585CCA" w14:textId="059FF006" w:rsidR="00CB4774" w:rsidRPr="00542CE6" w:rsidRDefault="00CB4774" w:rsidP="00CB4774">
      <w:pPr>
        <w:rPr>
          <w:rFonts w:ascii="Arial" w:hAnsi="Arial" w:cs="Arial"/>
          <w:sz w:val="20"/>
          <w:szCs w:val="20"/>
        </w:rPr>
      </w:pPr>
      <w:r w:rsidRPr="00542CE6">
        <w:rPr>
          <w:rFonts w:ascii="Arial" w:hAnsi="Arial" w:cs="Arial"/>
          <w:sz w:val="20"/>
          <w:szCs w:val="20"/>
        </w:rPr>
        <w:lastRenderedPageBreak/>
        <w:t>All downstream analyses were completed utilizing an expression cutoff of 0.3 RPKM. For differentially expressed genes, relative</w:t>
      </w:r>
      <w:r w:rsidR="00520D9E" w:rsidRPr="00542CE6">
        <w:rPr>
          <w:rFonts w:ascii="Arial" w:hAnsi="Arial" w:cs="Arial"/>
          <w:sz w:val="20"/>
          <w:szCs w:val="20"/>
        </w:rPr>
        <w:t xml:space="preserve"> fold change</w:t>
      </w:r>
      <w:r w:rsidRPr="00542CE6">
        <w:rPr>
          <w:rFonts w:ascii="Arial" w:hAnsi="Arial" w:cs="Arial"/>
          <w:sz w:val="20"/>
          <w:szCs w:val="20"/>
        </w:rPr>
        <w:t xml:space="preserve"> of &gt;2.0 for co-cultured samples vs. their control was used for downstream analyses. Analysis of MM-adipocytes compared to control adipocytes utilized an additional layer of stringency (p&lt;0.05 by Student’s T-test), for the selection of up- and down-regulated genes. Gene networks were compared utilizing STRING v11 (ELIXIR; </w:t>
      </w:r>
      <w:proofErr w:type="spellStart"/>
      <w:r w:rsidRPr="00542CE6">
        <w:rPr>
          <w:rFonts w:ascii="Arial" w:hAnsi="Arial" w:cs="Arial"/>
          <w:sz w:val="20"/>
          <w:szCs w:val="20"/>
        </w:rPr>
        <w:t>Hinxton</w:t>
      </w:r>
      <w:proofErr w:type="spellEnd"/>
      <w:r w:rsidRPr="00542CE6">
        <w:rPr>
          <w:rFonts w:ascii="Arial" w:hAnsi="Arial" w:cs="Arial"/>
          <w:sz w:val="20"/>
          <w:szCs w:val="20"/>
        </w:rPr>
        <w:t xml:space="preserve">, UK) </w:t>
      </w:r>
      <w:r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{"citationItems":[{"id":"ITEM-1","itemData":{"DOI":"10.1093/nar/gky1131","ISSN":"0305-1048","PMID":"30476243","abstract":"Proteins and their functional interactions form the backbone of the cellular machinery. Their connectivity network needs to be considered for the full understanding of biological phenomena, but the available information on protein-protein associations is incomplete and exhibits varying levels of annotation granularity and reliability. The STRING database aims to collect, score and integrate all publicly available sources of protein-protein interaction information, and to complement these with computational predictions. Its goal is to achieve a comprehensive and objective global network, including direct (physical) as well as indirect (functional) interactions. The latest version of STRING (11.0) more than doubles the number of organisms it covers, to 5090. The most important new feature is an option to upload entire, genome-wide datasets as input, allowing users to visualize subsets as interaction networks and to perform gene-set enrichment analysis on the entire input. For the enrichment analysis, STRING implements well-known classification systems such as Gene Ontology and KEGG, but also offers additional, new classification systems based on high-throughput text-mining as well as on a hierarchical clustering of the association network itself. The STRING resource is available online at https://string-db.org/.","author":[{"dropping-particle":"","family":"Szklarczyk","given":"Damian","non-dropping-particle":"","parse-names":false,"suffix":""},{"dropping-particle":"","family":"Gable","given":"Annika L","non-dropping-particle":"","parse-names":false,"suffix":""},{"dropping-particle":"","family":"Lyon","given":"David","non-dropping-particle":"","parse-names":false,"suffix":""},{"dropping-particle":"","family":"Junge","given":"Alexander","non-dropping-particle":"","parse-names":false,"suffix":""},{"dropping-particle":"","family":"Wyder","given":"Stefan","non-dropping-particle":"","parse-names":false,"suffix":""},{"dropping-particle":"","family":"Huerta-Cepas","given":"Jaime","non-dropping-particle":"","parse-names":false,"suffix":""},{"dropping-particle":"","family":"Simonovic","given":"Milan","non-dropping-particle":"","parse-names":false,"suffix":""},{"dropping-particle":"","family":"Doncheva","given":"Nadezhda T","non-dropping-particle":"","parse-names":false,"suffix":""},{"dropping-particle":"","family":"Morris","given":"John H","non-dropping-particle":"","parse-names":false,"suffix":""},{"dropping-particle":"","family":"Bork","given":"Peer","non-dropping-particle":"","parse-names":false,"suffix":""},{"dropping-particle":"","family":"Jensen","given":"Lars J","non-dropping-particle":"","parse-names":false,"suffix":""},{"dropping-particle":"","family":"Mering","given":"Christian von","non-dropping-particle":"","parse-names":false,"suffix":""}],"container-title":"Nucleic Acids Research","id":"ITEM-1","issue":"D1","issued":{"date-parts":[["2019","1"]]},"page":"D607-D613","title":"STRING v11: protein–protein association networks with increased coverage, supporting functional discovery in genome-wide experimental datasets","type":"article-journal","volume":"47"},"uris":["http://www.mendeley.com/documents/?uuid=67702bd4-ea3b-4926-87c8-134eb91504f3"]}],"mendeley":{"formattedCitation":"(8)","plainTextFormattedCitation":"(8)","previouslyFormattedCitation":"(7)"},"properties":{"noteIndex":0},"schema":"https://github.com/citation-style-language/schema/raw/master/csl-citation.json"}</w:instrText>
      </w:r>
      <w:r w:rsidRPr="00542CE6">
        <w:rPr>
          <w:rFonts w:ascii="Arial" w:hAnsi="Arial" w:cs="Arial"/>
          <w:sz w:val="20"/>
          <w:szCs w:val="20"/>
        </w:rPr>
        <w:fldChar w:fldCharType="separate"/>
      </w:r>
      <w:r w:rsidR="005A117A" w:rsidRPr="00542CE6">
        <w:rPr>
          <w:rFonts w:ascii="Arial" w:hAnsi="Arial" w:cs="Arial"/>
          <w:noProof/>
          <w:sz w:val="20"/>
          <w:szCs w:val="20"/>
        </w:rPr>
        <w:t>(8)</w:t>
      </w:r>
      <w:r w:rsidRPr="00542CE6">
        <w:rPr>
          <w:rFonts w:ascii="Arial" w:hAnsi="Arial" w:cs="Arial"/>
          <w:sz w:val="20"/>
          <w:szCs w:val="20"/>
        </w:rPr>
        <w:fldChar w:fldCharType="end"/>
      </w:r>
      <w:r w:rsidRPr="00542CE6">
        <w:rPr>
          <w:rFonts w:ascii="Arial" w:hAnsi="Arial" w:cs="Arial"/>
          <w:sz w:val="20"/>
          <w:szCs w:val="20"/>
        </w:rPr>
        <w:t xml:space="preserve"> and </w:t>
      </w:r>
      <w:proofErr w:type="spellStart"/>
      <w:r w:rsidRPr="00542CE6">
        <w:rPr>
          <w:rFonts w:ascii="Arial" w:hAnsi="Arial" w:cs="Arial"/>
          <w:sz w:val="20"/>
          <w:szCs w:val="20"/>
        </w:rPr>
        <w:t>GeneMania</w:t>
      </w:r>
      <w:proofErr w:type="spellEnd"/>
      <w:r w:rsidRPr="00542CE6">
        <w:rPr>
          <w:rFonts w:ascii="Arial" w:hAnsi="Arial" w:cs="Arial"/>
          <w:sz w:val="20"/>
          <w:szCs w:val="20"/>
        </w:rPr>
        <w:t xml:space="preserve"> </w:t>
      </w:r>
      <w:r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{"citationItems":[{"id":"ITEM-1","itemData":{"DOI":"10.1093/nar/gkq537","ISSN":"1362-4962","PMID":"20576703","abstract":"GeneMANIA (http://www.genemania.org) is a flexible, user-friendly web interface for generating hypotheses about gene function, analyzing gene lists and prioritizing genes for functional assays. Given a query list, GeneMANIA extends the list with functionally similar genes that it identifies using available genomics and proteomics data. GeneMANIA also reports weights that indicate the predictive value of each selected data set for the query. Six organisms are currently supported (Arabidopsis thaliana, Caenorhabditis elegans, Drosophila melanogaster, Mus musculus, Homo sapiens and Saccharomyces cerevisiae) and hundreds of data sets have been collected from GEO, BioGRID, Pathway Commons and I2D, as well as organism-specific functional genomics data sets. Users can select arbitrary subsets of the data sets associated with an organism to perform their analyses and can upload their own data sets to analyze. The GeneMANIA algorithm performs as well or better than other gene function prediction methods on yeast and mouse benchmarks. The high accuracy of the GeneMANIA prediction algorithm, an intuitive user interface and large database make GeneMANIA a useful tool for any biologist.","author":[{"dropping-particle":"","family":"Warde-Farley","given":"David","non-dropping-particle":"","parse-names":false,"suffix":""},{"dropping-particle":"","family":"Donaldson","given":"Sylva L.","non-dropping-particle":"","parse-names":false,"suffix":""},{"dropping-particle":"","family":"Comes","given":"Ovi","non-dropping-particle":"","parse-names":false,"suffix":""},{"dropping-particle":"","family":"Zuberi","given":"Khalid","non-dropping-particle":"","parse-names":false,"suffix":""},{"dropping-particle":"","family":"Badrawi","given":"Rashad","non-dropping-particle":"","parse-names":false,"suffix":""},{"dropping-particle":"","family":"Chao","given":"Pauline","non-dropping-particle":"","parse-names":false,"suffix":""},{"dropping-particle":"","family":"Franz","given":"Max","non-dropping-particle":"","parse-names":false,"suffix":""},{"dropping-particle":"","family":"Grouios","given":"Chris","non-dropping-particle":"","parse-names":false,"suffix":""},{"dropping-particle":"","family":"Kazi","given":"Farzana","non-dropping-particle":"","parse-names":false,"suffix":""},{"dropping-particle":"","family":"Lopes","given":"Christian Tannus","non-dropping-particle":"","parse-names":false,"suffix":""},{"dropping-particle":"","family":"Maitland","given":"Anson","non-dropping-particle":"","parse-names":false,"suffix":""},{"dropping-particle":"","family":"Mostafavi","given":"Sara","non-dropping-particle":"","parse-names":false,"suffix":""},{"dropping-particle":"","family":"Montojo","given":"Jason","non-dropping-particle":"","parse-names":false,"suffix":""},{"dropping-particle":"","family":"Shao","given":"Quentin","non-dropping-particle":"","parse-names":false,"suffix":""},{"dropping-particle":"","family":"Wright","given":"George","non-dropping-particle":"","parse-names":false,"suffix":""},{"dropping-particle":"","family":"Bader","given":"Gary D.","non-dropping-particle":"","parse-names":false,"suffix":""},{"dropping-particle":"","family":"Morris","given":"Quaid","non-dropping-particle":"","parse-names":false,"suffix":""}],"container-title":"Nucleic Acids Research","id":"ITEM-1","issue":"suppl_2","issued":{"date-parts":[["2010","7"]]},"page":"W214-W220","title":"The GeneMANIA prediction server: biological network integration for gene prioritization and predicting gene function","type":"article-journal","volume":"38"},"uris":["http://www.mendeley.com/documents/?uuid=110672c2-e8fb-4ea6-809e-f1006aa4873d"]}],"mendeley":{"formattedCitation":"(9)","plainTextFormattedCitation":"(9)","previouslyFormattedCitation":"(8)"},"properties":{"noteIndex":0},"schema":"https://github.com/citation-style-language/schema/raw/master/csl-citation.json"}</w:instrText>
      </w:r>
      <w:r w:rsidRPr="00542CE6">
        <w:rPr>
          <w:rFonts w:ascii="Arial" w:hAnsi="Arial" w:cs="Arial"/>
          <w:sz w:val="20"/>
          <w:szCs w:val="20"/>
        </w:rPr>
        <w:fldChar w:fldCharType="separate"/>
      </w:r>
      <w:r w:rsidR="005A117A" w:rsidRPr="00542CE6">
        <w:rPr>
          <w:rFonts w:ascii="Arial" w:hAnsi="Arial" w:cs="Arial"/>
          <w:noProof/>
          <w:sz w:val="20"/>
          <w:szCs w:val="20"/>
        </w:rPr>
        <w:t>(9)</w:t>
      </w:r>
      <w:r w:rsidRPr="00542CE6">
        <w:rPr>
          <w:rFonts w:ascii="Arial" w:hAnsi="Arial" w:cs="Arial"/>
          <w:sz w:val="20"/>
          <w:szCs w:val="20"/>
        </w:rPr>
        <w:fldChar w:fldCharType="end"/>
      </w:r>
      <w:r w:rsidRPr="00542CE6">
        <w:rPr>
          <w:rFonts w:ascii="Arial" w:hAnsi="Arial" w:cs="Arial"/>
          <w:sz w:val="20"/>
          <w:szCs w:val="20"/>
        </w:rPr>
        <w:t xml:space="preserve">. Common and unique gene expression changes were compared and visualized using </w:t>
      </w:r>
      <w:proofErr w:type="spellStart"/>
      <w:r w:rsidRPr="00542CE6">
        <w:rPr>
          <w:rFonts w:ascii="Arial" w:hAnsi="Arial" w:cs="Arial"/>
          <w:sz w:val="20"/>
          <w:szCs w:val="20"/>
        </w:rPr>
        <w:t>FunRich</w:t>
      </w:r>
      <w:proofErr w:type="spellEnd"/>
      <w:r w:rsidRPr="00542CE6">
        <w:rPr>
          <w:rFonts w:ascii="Arial" w:hAnsi="Arial" w:cs="Arial"/>
          <w:sz w:val="20"/>
          <w:szCs w:val="20"/>
        </w:rPr>
        <w:t xml:space="preserve"> v3.1.3 </w:t>
      </w:r>
      <w:r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10.1002/pmic.201400515","ISSN":"16159853","author":[{"dropping-particle":"","family":"Pathan","given":"Mohashin","non-dropping-particle":"","parse-names":false,"suffix":""},{"dropping-particle":"","family":"Keerthikumar","given":"Shivakumar","non-dropping-particle":"","parse-names":false,"suffix":""},{"dropping-particle":"","family":"Ang","given":"Ching-Seng","non-dropping-particle":"","parse-names":false,"suffix":""},{"dropping-particle":"","family":"Gangoda","given":"Lahiru","non-dropping-particle":"","parse-names":false,"suffix":""},{"dropping-particle":"","family":"Quek","given":"Camelia Y.J.","non-dropping-particle":"","parse-names":false,"suffix":""},{"dropping-particle":"","family":"Williamson","given":"Nicholas A.","non-dropping-particle":"","parse-names":false,"suffix":""},{"dropping-particle":"","family":"Mouradov","given":"Dmitri","non-dropping-particle":"","parse-names":false,"suffix":""},{"dropping-particle":"","family":"Sieber","given":"Oliver M.","non-dropping-particle":"","parse-names":false,"suffix":""},{"dropping-particle":"","family":"Simpson","given":"Richard J.","non-dropping-particle":"","parse-names":false,"suffix":""},{"dropping-particle":"","family":"Salim","given":"Agus","non-dropping-particle":"","parse-names":false,"suffix":""},{"dropping-particle":"","family":"Bacic","given":"Antony","non-dropping-particle":"","parse-names":false,"suffix":""},{"dropping-particle":"","family":"Hill","given":"Andrew F.","non-dropping-particle":"","parse-names":false,"suffix":""},{"dropping-particle":"","family":"Stroud","given":"David A.","non-dropping-particle":"","parse-names":false,"suffix":""},{"dropping-particle":"","family":"Ryan","given":"Michael T.","non-dropping-particle":"","parse-names":false,"suffix":""},{"dropping-particle":"","family":"Agbinya","given":"Johnson I.","non-dropping-particle":"","parse-names":false,"suffix":""},{"dropping-particle":"","family":"Mariadason","given":"John M.","non-dropping-particle":"","parse-names":false,"suffix":""},{"dropping-particle":"","family":"Burgess","given":"Antony W.","non-dropping-particle":"","parse-names":false,"suffix":""},{"dropping-particle":"","family":"Mathivanan","given":"Suresh","non-dropping-particle":"","parse-names":false,"suffix":""}],"container-title":"PROTEOMICS","id":"ITEM-1","issue":"15","issued":{"date-parts":[["2015","8"]]},"page":"2597-2601","publisher":"John Wiley &amp; Sons, Ltd","title":"FunRich: An open access standalone functional enrichment and interaction network analysis tool","type":"article-journal","volume":"15"},"uris":["http://www.mendeley.com/documents/?uuid=bfa6a871-42f0-4d38-a3e4-efad3a86c964"]}],"mendeley":{"formattedCitation":"(10)","plainTextFormattedCitation":"(10)","previouslyFormattedCitation":"(9)"},"properties":{"noteIndex":0},"schema":"https://github.com/citation-style-language/schema/raw/master/csl-citation.json"}</w:instrText>
      </w:r>
      <w:r w:rsidRPr="00542CE6">
        <w:rPr>
          <w:rFonts w:ascii="Arial" w:hAnsi="Arial" w:cs="Arial"/>
          <w:sz w:val="20"/>
          <w:szCs w:val="20"/>
        </w:rPr>
        <w:fldChar w:fldCharType="separate"/>
      </w:r>
      <w:r w:rsidR="005A117A" w:rsidRPr="00542CE6">
        <w:rPr>
          <w:rFonts w:ascii="Arial" w:hAnsi="Arial" w:cs="Arial"/>
          <w:noProof/>
          <w:sz w:val="20"/>
          <w:szCs w:val="20"/>
        </w:rPr>
        <w:t>(10)</w:t>
      </w:r>
      <w:r w:rsidRPr="00542CE6">
        <w:rPr>
          <w:rFonts w:ascii="Arial" w:hAnsi="Arial" w:cs="Arial"/>
          <w:sz w:val="20"/>
          <w:szCs w:val="20"/>
        </w:rPr>
        <w:fldChar w:fldCharType="end"/>
      </w:r>
      <w:r w:rsidRPr="00542CE6">
        <w:rPr>
          <w:rFonts w:ascii="Arial" w:hAnsi="Arial" w:cs="Arial"/>
          <w:sz w:val="20"/>
          <w:szCs w:val="20"/>
        </w:rPr>
        <w:t xml:space="preserve">. Supervised analysis of genes encoding senescence associated secretory proteins, described in </w:t>
      </w:r>
      <w:r w:rsidRPr="00542CE6">
        <w:rPr>
          <w:rFonts w:ascii="Arial" w:hAnsi="Arial" w:cs="Arial"/>
          <w:sz w:val="20"/>
          <w:szCs w:val="20"/>
        </w:rPr>
        <w:fldChar w:fldCharType="begin" w:fldLock="1"/>
      </w:r>
      <w:r w:rsidR="005A117A" w:rsidRPr="00542CE6">
        <w:rPr>
          <w:rFonts w:ascii="Arial" w:hAnsi="Arial" w:cs="Arial"/>
          <w:sz w:val="20"/>
          <w:szCs w:val="20"/>
        </w:rPr>
        <w:instrText>ADDIN CSL_CITATION {"citationItems":[{"id":"ITEM-1","itemData":{"DOI":"10.1371/journal.pbio.0060301","ISSN":"1545-7885","PMID":"19053174","abstract":"Cellular senescence suppresses cancer by arresting cell proliferation, essentially permanently, in response to oncogenic stimuli, including genotoxic stress. We modified the use of antibody arrays to provide a quantitative assessment of factors secreted by senescent cells. We show that human cells induced to senesce by genotoxic stress secrete myriad factors associated with inflammation and malignancy. This senescence-associated secretory phenotype (SASP) developed slowly over several days and only after DNA damage of sufficient magnitude to induce senescence. Remarkably similar SASPs developed in normal fibroblasts, normal epithelial cells, and epithelial tumor cells after genotoxic stress in culture, and in epithelial tumor cells in vivo after treatment of prostate cancer patients with DNA-damaging chemotherapy. In cultured premalignant epithelial cells, SASPs induced an epithelial-mesenchyme transition and invasiveness, hallmarks of malignancy, by a paracrine mechanism that depended largely on the SASP factors interleukin (IL)-6 and IL-8. Strikingly, two manipulations markedly amplified, and accelerated development of, the SASPs: oncogenic RAS expression, which causes genotoxic stress and senescence in normal cells, and functional loss of the p53 tumor suppressor protein. Both loss of p53 and gain of oncogenic RAS also exacerbated the promalignant paracrine activities of the SASPs. Our findings define a central feature of genotoxic stress-induced senescence. Moreover, they suggest a cell-nonautonomous mechanism by which p53 can restrain, and oncogenic RAS can promote, the development of age-related cancer by altering the tissue microenvironment.","author":[{"dropping-particle":"","family":"Coppé","given":"Jean-Philippe","non-dropping-particle":"","parse-names":false,"suffix":""},{"dropping-particle":"","family":"Patil","given":"Christopher K","non-dropping-particle":"","parse-names":false,"suffix":""},{"dropping-particle":"","family":"Rodier","given":"Francis","non-dropping-particle":"","parse-names":false,"suffix":""},{"dropping-particle":"","family":"Sun","given":"Yu","non-dropping-particle":"","parse-names":false,"suffix":""},{"dropping-particle":"","family":"Muñoz","given":"Denise P","non-dropping-particle":"","parse-names":false,"suffix":""},{"dropping-particle":"","family":"Goldstein","given":"Joshua","non-dropping-particle":"","parse-names":false,"suffix":""},{"dropping-particle":"","family":"Nelson","given":"Peter S","non-dropping-particle":"","parse-names":false,"suffix":""},{"dropping-particle":"","family":"Desprez","given":"Pierre-Yves","non-dropping-particle":"","parse-names":false,"suffix":""},{"dropping-particle":"","family":"Campisi","given":"Judith","non-dropping-particle":"","parse-names":false,"suffix":""}],"container-title":"PLoS biology","editor":[{"dropping-particle":"","family":"Downward","given":"Julian","non-dropping-particle":"","parse-names":false,"suffix":""}],"id":"ITEM-1","issue":"12","issued":{"date-parts":[["2008","12"]]},"page":"2853-68","title":"Senescence-associated secretory phenotypes reveal cell-nonautonomous functions of oncogenic RAS and the p53 tumor suppressor.","type":"article-journal","volume":"6"},"uris":["http://www.mendeley.com/documents/?uuid=55dafc43-1f30-4b4a-bd0a-8a6728d86505"]}],"mendeley":{"formattedCitation":"(11)","plainTextFormattedCitation":"(11)","previouslyFormattedCitation":"(10)"},"properties":{"noteIndex":0},"schema":"https://github.com/citation-style-language/schema/raw/master/csl-citation.json"}</w:instrText>
      </w:r>
      <w:r w:rsidRPr="00542CE6">
        <w:rPr>
          <w:rFonts w:ascii="Arial" w:hAnsi="Arial" w:cs="Arial"/>
          <w:sz w:val="20"/>
          <w:szCs w:val="20"/>
        </w:rPr>
        <w:fldChar w:fldCharType="separate"/>
      </w:r>
      <w:r w:rsidR="005A117A" w:rsidRPr="00542CE6">
        <w:rPr>
          <w:rFonts w:ascii="Arial" w:hAnsi="Arial" w:cs="Arial"/>
          <w:noProof/>
          <w:sz w:val="20"/>
          <w:szCs w:val="20"/>
        </w:rPr>
        <w:t>(11)</w:t>
      </w:r>
      <w:r w:rsidRPr="00542CE6">
        <w:rPr>
          <w:rFonts w:ascii="Arial" w:hAnsi="Arial" w:cs="Arial"/>
          <w:sz w:val="20"/>
          <w:szCs w:val="20"/>
        </w:rPr>
        <w:fldChar w:fldCharType="end"/>
      </w:r>
      <w:r w:rsidRPr="00542CE6">
        <w:rPr>
          <w:rFonts w:ascii="Arial" w:hAnsi="Arial" w:cs="Arial"/>
          <w:sz w:val="20"/>
          <w:szCs w:val="20"/>
        </w:rPr>
        <w:t>, and those involved in adipogenesis (KEGG Pathway Database; Kyoto, Japan) via expression values and hierarchical clustering was performed with matrix visualization and MORPHEUS analysis software (</w:t>
      </w:r>
      <w:hyperlink r:id="rId5">
        <w:r w:rsidRPr="00542CE6">
          <w:rPr>
            <w:rStyle w:val="Hyperlink"/>
            <w:rFonts w:ascii="Arial" w:hAnsi="Arial" w:cs="Arial"/>
            <w:color w:val="auto"/>
            <w:sz w:val="20"/>
            <w:szCs w:val="20"/>
          </w:rPr>
          <w:t>https://software.broadinstitute.org/morpheus</w:t>
        </w:r>
      </w:hyperlink>
      <w:r w:rsidRPr="00542CE6">
        <w:rPr>
          <w:rFonts w:ascii="Arial" w:hAnsi="Arial" w:cs="Arial"/>
          <w:sz w:val="20"/>
          <w:szCs w:val="20"/>
        </w:rPr>
        <w:t>).</w:t>
      </w:r>
    </w:p>
    <w:p w14:paraId="510ABC24" w14:textId="77777777" w:rsidR="00B3423C" w:rsidRPr="00542CE6" w:rsidRDefault="00B3423C" w:rsidP="00B3423C">
      <w:pPr>
        <w:jc w:val="both"/>
        <w:rPr>
          <w:rFonts w:ascii="Arial" w:hAnsi="Arial" w:cs="Arial"/>
          <w:b/>
          <w:i/>
          <w:sz w:val="20"/>
          <w:szCs w:val="20"/>
        </w:rPr>
      </w:pPr>
      <w:bookmarkStart w:id="1" w:name="OLE_LINK2"/>
      <w:r w:rsidRPr="00542CE6">
        <w:rPr>
          <w:rFonts w:ascii="Arial" w:hAnsi="Arial" w:cs="Arial"/>
          <w:b/>
          <w:i/>
          <w:sz w:val="20"/>
          <w:szCs w:val="20"/>
        </w:rPr>
        <w:t>Protein assessment in adipocyte conditioned media- additional details</w:t>
      </w:r>
    </w:p>
    <w:p w14:paraId="23E08500" w14:textId="77777777" w:rsidR="00B3423C" w:rsidRPr="00542CE6" w:rsidRDefault="00B3423C" w:rsidP="00B3423C">
      <w:pPr>
        <w:jc w:val="both"/>
        <w:rPr>
          <w:rFonts w:ascii="Arial" w:hAnsi="Arial" w:cs="Arial"/>
          <w:sz w:val="20"/>
          <w:szCs w:val="20"/>
        </w:rPr>
      </w:pPr>
      <w:r w:rsidRPr="00542CE6">
        <w:rPr>
          <w:rFonts w:ascii="Arial" w:hAnsi="Arial" w:cs="Arial"/>
          <w:sz w:val="20"/>
          <w:szCs w:val="20"/>
        </w:rPr>
        <w:t xml:space="preserve">Array membranes were imaged using the </w:t>
      </w:r>
      <w:proofErr w:type="spellStart"/>
      <w:r w:rsidRPr="00542CE6">
        <w:rPr>
          <w:rFonts w:ascii="Arial" w:hAnsi="Arial" w:cs="Arial"/>
          <w:sz w:val="20"/>
          <w:szCs w:val="20"/>
        </w:rPr>
        <w:t>ChemiDoc</w:t>
      </w:r>
      <w:proofErr w:type="spellEnd"/>
      <w:r w:rsidRPr="00542CE6">
        <w:rPr>
          <w:rFonts w:ascii="Arial" w:hAnsi="Arial" w:cs="Arial"/>
          <w:sz w:val="20"/>
          <w:szCs w:val="20"/>
        </w:rPr>
        <w:t xml:space="preserve"> Touch Imaging System (Bio-Rad), and relative protein levels (MM-adipocyte versus adipocyte) were determined utilizing Image Lab 6.0 Software (Bio-Rad).</w:t>
      </w:r>
    </w:p>
    <w:p w14:paraId="15AB2650" w14:textId="16A5063E" w:rsidR="00DF1B5A" w:rsidRPr="00542CE6" w:rsidRDefault="00DF1B5A" w:rsidP="00DF1B5A">
      <w:pPr>
        <w:pStyle w:val="Heading2"/>
        <w:rPr>
          <w:sz w:val="20"/>
          <w:szCs w:val="20"/>
        </w:rPr>
      </w:pPr>
      <w:r w:rsidRPr="00542CE6">
        <w:rPr>
          <w:sz w:val="20"/>
          <w:szCs w:val="20"/>
        </w:rPr>
        <w:t>Mitochondria functional analysis - Continued</w:t>
      </w:r>
    </w:p>
    <w:bookmarkEnd w:id="1"/>
    <w:p w14:paraId="1209F9B0" w14:textId="20E9704E" w:rsidR="00DF1B5A" w:rsidRPr="00542CE6" w:rsidRDefault="00DF1B5A" w:rsidP="008C0FC1">
      <w:pPr>
        <w:pStyle w:val="NormalWeb"/>
        <w:spacing w:before="0" w:beforeAutospacing="0" w:after="0" w:afterAutospacing="0" w:line="276" w:lineRule="auto"/>
        <w:rPr>
          <w:rFonts w:ascii="Arial" w:hAnsi="Arial" w:cs="Arial"/>
          <w:sz w:val="20"/>
          <w:szCs w:val="20"/>
        </w:rPr>
      </w:pPr>
      <w:r w:rsidRPr="00542CE6">
        <w:rPr>
          <w:rFonts w:ascii="Arial" w:hAnsi="Arial" w:cs="Arial"/>
          <w:sz w:val="20"/>
          <w:szCs w:val="20"/>
        </w:rPr>
        <w:t xml:space="preserve">Briefly, medium was changed to Seahorse XF Base Medium Minimal DMEM without phenol red supplemented with 1 </w:t>
      </w:r>
      <w:proofErr w:type="spellStart"/>
      <w:r w:rsidRPr="00542CE6">
        <w:rPr>
          <w:rFonts w:ascii="Arial" w:hAnsi="Arial" w:cs="Arial"/>
          <w:sz w:val="20"/>
          <w:szCs w:val="20"/>
        </w:rPr>
        <w:t>mM</w:t>
      </w:r>
      <w:proofErr w:type="spellEnd"/>
      <w:r w:rsidRPr="00542CE6">
        <w:rPr>
          <w:rFonts w:ascii="Arial" w:hAnsi="Arial" w:cs="Arial"/>
          <w:sz w:val="20"/>
          <w:szCs w:val="20"/>
        </w:rPr>
        <w:t xml:space="preserve"> pyruvate, 2 </w:t>
      </w:r>
      <w:proofErr w:type="spellStart"/>
      <w:r w:rsidRPr="00542CE6">
        <w:rPr>
          <w:rFonts w:ascii="Arial" w:hAnsi="Arial" w:cs="Arial"/>
          <w:sz w:val="20"/>
          <w:szCs w:val="20"/>
        </w:rPr>
        <w:t>mM</w:t>
      </w:r>
      <w:proofErr w:type="spellEnd"/>
      <w:r w:rsidRPr="00542CE6">
        <w:rPr>
          <w:rFonts w:ascii="Arial" w:hAnsi="Arial" w:cs="Arial"/>
          <w:sz w:val="20"/>
          <w:szCs w:val="20"/>
        </w:rPr>
        <w:t xml:space="preserve"> glutamine, and 25 </w:t>
      </w:r>
      <w:proofErr w:type="spellStart"/>
      <w:r w:rsidRPr="00542CE6">
        <w:rPr>
          <w:rFonts w:ascii="Arial" w:hAnsi="Arial" w:cs="Arial"/>
          <w:sz w:val="20"/>
          <w:szCs w:val="20"/>
        </w:rPr>
        <w:t>mM</w:t>
      </w:r>
      <w:proofErr w:type="spellEnd"/>
      <w:r w:rsidRPr="00542CE6">
        <w:rPr>
          <w:rFonts w:ascii="Arial" w:hAnsi="Arial" w:cs="Arial"/>
          <w:sz w:val="20"/>
          <w:szCs w:val="20"/>
        </w:rPr>
        <w:t xml:space="preserve"> glucose, pH 7.4, and the cells were equilibrated for 1 h at 37°C in a CO</w:t>
      </w:r>
      <w:r w:rsidRPr="00542CE6">
        <w:rPr>
          <w:rFonts w:ascii="Arial" w:hAnsi="Arial" w:cs="Arial"/>
          <w:position w:val="-4"/>
          <w:sz w:val="20"/>
          <w:szCs w:val="20"/>
          <w:vertAlign w:val="subscript"/>
        </w:rPr>
        <w:t>2</w:t>
      </w:r>
      <w:r w:rsidRPr="00542CE6">
        <w:rPr>
          <w:rFonts w:ascii="Arial" w:hAnsi="Arial" w:cs="Arial"/>
          <w:sz w:val="20"/>
          <w:szCs w:val="20"/>
        </w:rPr>
        <w:t xml:space="preserve">-free incubator. After measurements of basal respiration rate, cells were treated sequentially with </w:t>
      </w:r>
      <w:proofErr w:type="spellStart"/>
      <w:r w:rsidRPr="00542CE6">
        <w:rPr>
          <w:rFonts w:ascii="Arial" w:hAnsi="Arial" w:cs="Arial"/>
          <w:sz w:val="20"/>
          <w:szCs w:val="20"/>
        </w:rPr>
        <w:t>oligomycin</w:t>
      </w:r>
      <w:proofErr w:type="spellEnd"/>
      <w:r w:rsidRPr="00542CE6">
        <w:rPr>
          <w:rFonts w:ascii="Arial" w:hAnsi="Arial" w:cs="Arial"/>
          <w:sz w:val="20"/>
          <w:szCs w:val="20"/>
        </w:rPr>
        <w:t xml:space="preserve"> (1.25 </w:t>
      </w:r>
      <w:proofErr w:type="spellStart"/>
      <w:r w:rsidRPr="00542CE6">
        <w:rPr>
          <w:rFonts w:ascii="Arial" w:hAnsi="Arial" w:cs="Arial"/>
          <w:sz w:val="20"/>
          <w:szCs w:val="20"/>
        </w:rPr>
        <w:t>μM</w:t>
      </w:r>
      <w:proofErr w:type="spellEnd"/>
      <w:r w:rsidRPr="00542CE6">
        <w:rPr>
          <w:rFonts w:ascii="Arial" w:hAnsi="Arial" w:cs="Arial"/>
          <w:sz w:val="20"/>
          <w:szCs w:val="20"/>
        </w:rPr>
        <w:t xml:space="preserve"> final concentration), FCCP (1 </w:t>
      </w:r>
      <w:proofErr w:type="spellStart"/>
      <w:r w:rsidRPr="00542CE6">
        <w:rPr>
          <w:rFonts w:ascii="Arial" w:hAnsi="Arial" w:cs="Arial"/>
          <w:sz w:val="20"/>
          <w:szCs w:val="20"/>
        </w:rPr>
        <w:t>μM</w:t>
      </w:r>
      <w:proofErr w:type="spellEnd"/>
      <w:r w:rsidRPr="00542CE6">
        <w:rPr>
          <w:rFonts w:ascii="Arial" w:hAnsi="Arial" w:cs="Arial"/>
          <w:sz w:val="20"/>
          <w:szCs w:val="20"/>
        </w:rPr>
        <w:t xml:space="preserve">), and a combination of </w:t>
      </w:r>
      <w:proofErr w:type="spellStart"/>
      <w:r w:rsidRPr="00542CE6">
        <w:rPr>
          <w:rFonts w:ascii="Arial" w:hAnsi="Arial" w:cs="Arial"/>
          <w:sz w:val="20"/>
          <w:szCs w:val="20"/>
        </w:rPr>
        <w:t>antimycin</w:t>
      </w:r>
      <w:proofErr w:type="spellEnd"/>
      <w:r w:rsidRPr="00542CE6">
        <w:rPr>
          <w:rFonts w:ascii="Arial" w:hAnsi="Arial" w:cs="Arial"/>
          <w:sz w:val="20"/>
          <w:szCs w:val="20"/>
        </w:rPr>
        <w:t xml:space="preserve"> (0.5 </w:t>
      </w:r>
      <w:proofErr w:type="spellStart"/>
      <w:r w:rsidRPr="00542CE6">
        <w:rPr>
          <w:rFonts w:ascii="Arial" w:hAnsi="Arial" w:cs="Arial"/>
          <w:sz w:val="20"/>
          <w:szCs w:val="20"/>
        </w:rPr>
        <w:t>uM</w:t>
      </w:r>
      <w:proofErr w:type="spellEnd"/>
      <w:r w:rsidRPr="00542CE6">
        <w:rPr>
          <w:rFonts w:ascii="Arial" w:hAnsi="Arial" w:cs="Arial"/>
          <w:sz w:val="20"/>
          <w:szCs w:val="20"/>
        </w:rPr>
        <w:t xml:space="preserve">)/rotenone (0.5 </w:t>
      </w:r>
      <w:proofErr w:type="spellStart"/>
      <w:r w:rsidRPr="00542CE6">
        <w:rPr>
          <w:rFonts w:ascii="Arial" w:hAnsi="Arial" w:cs="Arial"/>
          <w:sz w:val="20"/>
          <w:szCs w:val="20"/>
        </w:rPr>
        <w:t>μM</w:t>
      </w:r>
      <w:proofErr w:type="spellEnd"/>
      <w:r w:rsidRPr="00542CE6">
        <w:rPr>
          <w:rFonts w:ascii="Arial" w:hAnsi="Arial" w:cs="Arial"/>
          <w:sz w:val="20"/>
          <w:szCs w:val="20"/>
        </w:rPr>
        <w:t>)/20mM Hoechst Dye and respiration rates after each treatment were measured. Post assay cells were lysed and total protein content per well was measured using a standard BSA assay. The resulting protein values were then used to normalize the data per well. OCR</w:t>
      </w:r>
      <w:r w:rsidR="008C0FC1" w:rsidRPr="00542CE6">
        <w:rPr>
          <w:rFonts w:ascii="Arial" w:hAnsi="Arial" w:cs="Arial"/>
          <w:sz w:val="20"/>
          <w:szCs w:val="20"/>
        </w:rPr>
        <w:t xml:space="preserve"> and</w:t>
      </w:r>
      <w:r w:rsidRPr="00542CE6">
        <w:rPr>
          <w:rFonts w:ascii="Arial" w:hAnsi="Arial" w:cs="Arial"/>
          <w:sz w:val="20"/>
          <w:szCs w:val="20"/>
        </w:rPr>
        <w:t xml:space="preserve"> ECAR were calculated by the Seahorse XFe96 software, Wave version 2.6. Seahorse experiments were run at least three different times with an n=46</w:t>
      </w:r>
      <w:r w:rsidR="008C0FC1" w:rsidRPr="00542CE6">
        <w:rPr>
          <w:rFonts w:ascii="Arial" w:hAnsi="Arial" w:cs="Arial"/>
          <w:sz w:val="20"/>
          <w:szCs w:val="20"/>
        </w:rPr>
        <w:t xml:space="preserve"> </w:t>
      </w:r>
      <w:r w:rsidRPr="00542CE6">
        <w:rPr>
          <w:rFonts w:ascii="Arial" w:hAnsi="Arial" w:cs="Arial"/>
          <w:sz w:val="20"/>
          <w:szCs w:val="20"/>
        </w:rPr>
        <w:t>wells/treatment. Depicted within is a representative run of these experiments.</w:t>
      </w:r>
    </w:p>
    <w:p w14:paraId="6965D0C9" w14:textId="77777777" w:rsidR="008C0FC1" w:rsidRPr="00542CE6" w:rsidRDefault="008C0FC1" w:rsidP="008C0FC1">
      <w:pPr>
        <w:pStyle w:val="NormalWeb"/>
        <w:spacing w:before="0" w:beforeAutospacing="0" w:after="0" w:afterAutospacing="0" w:line="276" w:lineRule="auto"/>
        <w:rPr>
          <w:rFonts w:ascii="Arial" w:hAnsi="Arial" w:cs="Arial"/>
          <w:sz w:val="20"/>
          <w:szCs w:val="20"/>
        </w:rPr>
      </w:pPr>
    </w:p>
    <w:p w14:paraId="2EB20F6D" w14:textId="77777777" w:rsidR="00CB4774" w:rsidRPr="00542CE6" w:rsidRDefault="00CB4774" w:rsidP="00CB4774">
      <w:pPr>
        <w:pStyle w:val="Heading2"/>
        <w:rPr>
          <w:sz w:val="20"/>
          <w:szCs w:val="20"/>
        </w:rPr>
      </w:pPr>
      <w:r w:rsidRPr="00542CE6">
        <w:rPr>
          <w:sz w:val="20"/>
          <w:szCs w:val="20"/>
        </w:rPr>
        <w:t>New analyses of previously published datasets</w:t>
      </w:r>
    </w:p>
    <w:p w14:paraId="000692EE" w14:textId="5EDE2FF1" w:rsidR="00CB4774" w:rsidRPr="00542CE6" w:rsidRDefault="00CB4774" w:rsidP="009B4BC8">
      <w:pPr>
        <w:rPr>
          <w:rFonts w:ascii="Arial" w:hAnsi="Arial" w:cs="Arial"/>
          <w:sz w:val="20"/>
          <w:szCs w:val="20"/>
        </w:rPr>
      </w:pPr>
      <w:r w:rsidRPr="00542CE6">
        <w:rPr>
          <w:rFonts w:ascii="Arial" w:hAnsi="Arial" w:cs="Arial"/>
          <w:sz w:val="20"/>
          <w:szCs w:val="20"/>
        </w:rPr>
        <w:t xml:space="preserve">Publicly available microarray data from 160 clinical patient primary plasma cell samples (GSE6477; </w:t>
      </w:r>
      <w:proofErr w:type="spellStart"/>
      <w:r w:rsidRPr="00542CE6">
        <w:rPr>
          <w:rFonts w:ascii="Arial" w:hAnsi="Arial" w:cs="Arial"/>
          <w:sz w:val="20"/>
          <w:szCs w:val="20"/>
        </w:rPr>
        <w:t>Chng</w:t>
      </w:r>
      <w:proofErr w:type="spellEnd"/>
      <w:r w:rsidRPr="00542CE6">
        <w:rPr>
          <w:rFonts w:ascii="Arial" w:hAnsi="Arial" w:cs="Arial"/>
          <w:sz w:val="20"/>
          <w:szCs w:val="20"/>
        </w:rPr>
        <w:t xml:space="preserve"> et al. 2007) w</w:t>
      </w:r>
      <w:r w:rsidR="008C0FC1" w:rsidRPr="00542CE6">
        <w:rPr>
          <w:rFonts w:ascii="Arial" w:hAnsi="Arial" w:cs="Arial"/>
          <w:sz w:val="20"/>
          <w:szCs w:val="20"/>
        </w:rPr>
        <w:t>ere</w:t>
      </w:r>
      <w:r w:rsidRPr="00542CE6">
        <w:rPr>
          <w:rFonts w:ascii="Arial" w:hAnsi="Arial" w:cs="Arial"/>
          <w:sz w:val="20"/>
          <w:szCs w:val="20"/>
        </w:rPr>
        <w:t xml:space="preserve"> downloaded via GEO. Expression data w</w:t>
      </w:r>
      <w:r w:rsidR="008C0FC1" w:rsidRPr="00542CE6">
        <w:rPr>
          <w:rFonts w:ascii="Arial" w:hAnsi="Arial" w:cs="Arial"/>
          <w:sz w:val="20"/>
          <w:szCs w:val="20"/>
        </w:rPr>
        <w:t>ere</w:t>
      </w:r>
      <w:r w:rsidRPr="00542CE6">
        <w:rPr>
          <w:rFonts w:ascii="Arial" w:hAnsi="Arial" w:cs="Arial"/>
          <w:sz w:val="20"/>
          <w:szCs w:val="20"/>
        </w:rPr>
        <w:t xml:space="preserve"> log transformed prior to an ANOVA to compare expression between healthy plasma cells and plasma cells extracted from patients in different stages of myeloma disease progression. Estimated means and effect relative to normal were calcu</w:t>
      </w:r>
      <w:r w:rsidR="008C0FC1" w:rsidRPr="00542CE6">
        <w:rPr>
          <w:rFonts w:ascii="Arial" w:hAnsi="Arial" w:cs="Arial"/>
          <w:sz w:val="20"/>
          <w:szCs w:val="20"/>
        </w:rPr>
        <w:t>lated for each MM disease stage,</w:t>
      </w:r>
      <w:r w:rsidRPr="00542CE6">
        <w:rPr>
          <w:rFonts w:ascii="Arial" w:hAnsi="Arial" w:cs="Arial"/>
          <w:sz w:val="20"/>
          <w:szCs w:val="20"/>
        </w:rPr>
        <w:t xml:space="preserve"> yielding approximately 35% differentially expressed genes captured in the array. These differentially expressed genes were then cross-referenced with a gene list derived from GO terms relating to adipogenesis (see below).</w:t>
      </w:r>
    </w:p>
    <w:tbl>
      <w:tblPr>
        <w:tblStyle w:val="TableGrid"/>
        <w:tblW w:w="0" w:type="auto"/>
        <w:tblLook w:val="04A0" w:firstRow="1" w:lastRow="0" w:firstColumn="1" w:lastColumn="0" w:noHBand="0" w:noVBand="1"/>
      </w:tblPr>
      <w:tblGrid>
        <w:gridCol w:w="5058"/>
      </w:tblGrid>
      <w:tr w:rsidR="00542CE6" w:rsidRPr="00542CE6" w14:paraId="77972771" w14:textId="77777777" w:rsidTr="002E538B">
        <w:tc>
          <w:tcPr>
            <w:tcW w:w="5058" w:type="dxa"/>
          </w:tcPr>
          <w:p w14:paraId="173F6F22" w14:textId="77777777" w:rsidR="00CB4774" w:rsidRPr="00542CE6" w:rsidRDefault="00CB4774" w:rsidP="002E538B">
            <w:pPr>
              <w:rPr>
                <w:rFonts w:ascii="Arial" w:hAnsi="Arial" w:cs="Arial"/>
                <w:b/>
                <w:sz w:val="20"/>
                <w:szCs w:val="20"/>
              </w:rPr>
            </w:pPr>
            <w:r w:rsidRPr="00542CE6">
              <w:rPr>
                <w:rFonts w:ascii="Arial" w:hAnsi="Arial" w:cs="Arial"/>
                <w:b/>
                <w:sz w:val="20"/>
                <w:szCs w:val="20"/>
              </w:rPr>
              <w:t>GO Term</w:t>
            </w:r>
          </w:p>
        </w:tc>
      </w:tr>
      <w:tr w:rsidR="00542CE6" w:rsidRPr="00542CE6" w14:paraId="7D17B750" w14:textId="77777777" w:rsidTr="002E538B">
        <w:tc>
          <w:tcPr>
            <w:tcW w:w="5058" w:type="dxa"/>
          </w:tcPr>
          <w:p w14:paraId="7CD11B78" w14:textId="77777777" w:rsidR="00CB4774" w:rsidRPr="00542CE6" w:rsidRDefault="00CB4774" w:rsidP="002E538B">
            <w:pPr>
              <w:rPr>
                <w:rFonts w:ascii="Arial" w:hAnsi="Arial" w:cs="Arial"/>
                <w:sz w:val="20"/>
                <w:szCs w:val="20"/>
              </w:rPr>
            </w:pPr>
            <w:r w:rsidRPr="00542CE6">
              <w:rPr>
                <w:rFonts w:ascii="Arial" w:hAnsi="Arial" w:cs="Arial"/>
                <w:sz w:val="20"/>
                <w:szCs w:val="20"/>
              </w:rPr>
              <w:t>White fat cell differentiation involved in mammary gland fat development</w:t>
            </w:r>
          </w:p>
        </w:tc>
      </w:tr>
      <w:tr w:rsidR="00542CE6" w:rsidRPr="00542CE6" w14:paraId="68EEB76B" w14:textId="77777777" w:rsidTr="002E538B">
        <w:tc>
          <w:tcPr>
            <w:tcW w:w="5058" w:type="dxa"/>
          </w:tcPr>
          <w:p w14:paraId="11E0677C" w14:textId="77777777" w:rsidR="00CB4774" w:rsidRPr="00542CE6" w:rsidRDefault="00CB4774" w:rsidP="002E538B">
            <w:pPr>
              <w:rPr>
                <w:rFonts w:ascii="Arial" w:hAnsi="Arial" w:cs="Arial"/>
                <w:sz w:val="20"/>
                <w:szCs w:val="20"/>
              </w:rPr>
            </w:pPr>
            <w:r w:rsidRPr="00542CE6">
              <w:rPr>
                <w:rFonts w:ascii="Arial" w:hAnsi="Arial" w:cs="Arial"/>
                <w:sz w:val="20"/>
                <w:szCs w:val="20"/>
              </w:rPr>
              <w:t>White fat cell differentiation</w:t>
            </w:r>
          </w:p>
        </w:tc>
      </w:tr>
      <w:tr w:rsidR="00542CE6" w:rsidRPr="00542CE6" w14:paraId="6910F166" w14:textId="77777777" w:rsidTr="002E538B">
        <w:tc>
          <w:tcPr>
            <w:tcW w:w="5058" w:type="dxa"/>
          </w:tcPr>
          <w:p w14:paraId="28FF66A1" w14:textId="77777777" w:rsidR="00CB4774" w:rsidRPr="00542CE6" w:rsidRDefault="00CB4774" w:rsidP="002E538B">
            <w:pPr>
              <w:rPr>
                <w:rFonts w:ascii="Arial" w:hAnsi="Arial" w:cs="Arial"/>
                <w:sz w:val="20"/>
                <w:szCs w:val="20"/>
              </w:rPr>
            </w:pPr>
            <w:r w:rsidRPr="00542CE6">
              <w:rPr>
                <w:rFonts w:ascii="Arial" w:hAnsi="Arial" w:cs="Arial"/>
                <w:sz w:val="20"/>
                <w:szCs w:val="20"/>
              </w:rPr>
              <w:t>Leptin-mediated signaling pathway</w:t>
            </w:r>
          </w:p>
        </w:tc>
      </w:tr>
      <w:tr w:rsidR="00542CE6" w:rsidRPr="00542CE6" w14:paraId="71DB8848" w14:textId="77777777" w:rsidTr="002E538B">
        <w:tc>
          <w:tcPr>
            <w:tcW w:w="5058" w:type="dxa"/>
          </w:tcPr>
          <w:p w14:paraId="4A09B7C3" w14:textId="77777777" w:rsidR="00CB4774" w:rsidRPr="00542CE6" w:rsidRDefault="00CB4774" w:rsidP="002E538B">
            <w:pPr>
              <w:rPr>
                <w:rFonts w:ascii="Arial" w:hAnsi="Arial" w:cs="Arial"/>
                <w:sz w:val="20"/>
                <w:szCs w:val="20"/>
              </w:rPr>
            </w:pPr>
            <w:r w:rsidRPr="00542CE6">
              <w:rPr>
                <w:rFonts w:ascii="Arial" w:hAnsi="Arial" w:cs="Arial"/>
                <w:sz w:val="20"/>
                <w:szCs w:val="20"/>
              </w:rPr>
              <w:t>Fat cell differentiation</w:t>
            </w:r>
          </w:p>
        </w:tc>
      </w:tr>
      <w:tr w:rsidR="00542CE6" w:rsidRPr="00542CE6" w14:paraId="69D47883" w14:textId="77777777" w:rsidTr="002E538B">
        <w:tc>
          <w:tcPr>
            <w:tcW w:w="5058" w:type="dxa"/>
          </w:tcPr>
          <w:p w14:paraId="0E082733" w14:textId="77777777" w:rsidR="00CB4774" w:rsidRPr="00542CE6" w:rsidRDefault="00CB4774" w:rsidP="002E538B">
            <w:pPr>
              <w:rPr>
                <w:rFonts w:ascii="Arial" w:hAnsi="Arial" w:cs="Arial"/>
                <w:sz w:val="20"/>
                <w:szCs w:val="20"/>
              </w:rPr>
            </w:pPr>
            <w:r w:rsidRPr="00542CE6">
              <w:rPr>
                <w:rFonts w:ascii="Arial" w:hAnsi="Arial" w:cs="Arial"/>
                <w:sz w:val="20"/>
                <w:szCs w:val="20"/>
              </w:rPr>
              <w:t>Positive regulation of fat cell differentiation</w:t>
            </w:r>
          </w:p>
        </w:tc>
      </w:tr>
      <w:tr w:rsidR="00542CE6" w:rsidRPr="00542CE6" w14:paraId="46A43CF7" w14:textId="77777777" w:rsidTr="002E538B">
        <w:tc>
          <w:tcPr>
            <w:tcW w:w="5058" w:type="dxa"/>
          </w:tcPr>
          <w:p w14:paraId="17202125" w14:textId="77777777" w:rsidR="00CB4774" w:rsidRPr="00542CE6" w:rsidRDefault="00CB4774" w:rsidP="002E538B">
            <w:pPr>
              <w:rPr>
                <w:rFonts w:ascii="Arial" w:hAnsi="Arial" w:cs="Arial"/>
                <w:sz w:val="20"/>
                <w:szCs w:val="20"/>
              </w:rPr>
            </w:pPr>
            <w:r w:rsidRPr="00542CE6">
              <w:rPr>
                <w:rFonts w:ascii="Arial" w:hAnsi="Arial" w:cs="Arial"/>
                <w:sz w:val="20"/>
                <w:szCs w:val="20"/>
              </w:rPr>
              <w:t>Negative regulation of fat cell apoptotic process</w:t>
            </w:r>
          </w:p>
        </w:tc>
      </w:tr>
      <w:tr w:rsidR="00542CE6" w:rsidRPr="00542CE6" w14:paraId="6032E1DA" w14:textId="77777777" w:rsidTr="002E538B">
        <w:tc>
          <w:tcPr>
            <w:tcW w:w="5058" w:type="dxa"/>
          </w:tcPr>
          <w:p w14:paraId="25C3B63C" w14:textId="77777777" w:rsidR="00CB4774" w:rsidRPr="00542CE6" w:rsidRDefault="00CB4774" w:rsidP="002E538B">
            <w:pPr>
              <w:rPr>
                <w:rFonts w:ascii="Arial" w:hAnsi="Arial" w:cs="Arial"/>
                <w:sz w:val="20"/>
                <w:szCs w:val="20"/>
              </w:rPr>
            </w:pPr>
            <w:r w:rsidRPr="00542CE6">
              <w:rPr>
                <w:rFonts w:ascii="Arial" w:hAnsi="Arial" w:cs="Arial"/>
                <w:sz w:val="20"/>
                <w:szCs w:val="20"/>
              </w:rPr>
              <w:t>Regulation of fat cell apoptotic process</w:t>
            </w:r>
          </w:p>
        </w:tc>
      </w:tr>
      <w:tr w:rsidR="00542CE6" w:rsidRPr="00542CE6" w14:paraId="38308DB8" w14:textId="77777777" w:rsidTr="002E538B">
        <w:tc>
          <w:tcPr>
            <w:tcW w:w="5058" w:type="dxa"/>
          </w:tcPr>
          <w:p w14:paraId="1B0F6208" w14:textId="77777777" w:rsidR="00CB4774" w:rsidRPr="00542CE6" w:rsidRDefault="00CB4774" w:rsidP="002E538B">
            <w:pPr>
              <w:rPr>
                <w:rFonts w:ascii="Arial" w:hAnsi="Arial" w:cs="Arial"/>
                <w:sz w:val="20"/>
                <w:szCs w:val="20"/>
              </w:rPr>
            </w:pPr>
            <w:r w:rsidRPr="00542CE6">
              <w:rPr>
                <w:rFonts w:ascii="Arial" w:hAnsi="Arial" w:cs="Arial"/>
                <w:sz w:val="20"/>
                <w:szCs w:val="20"/>
              </w:rPr>
              <w:t>Fat cell apoptotic process</w:t>
            </w:r>
          </w:p>
        </w:tc>
      </w:tr>
      <w:tr w:rsidR="00542CE6" w:rsidRPr="00542CE6" w14:paraId="22C5545C" w14:textId="77777777" w:rsidTr="002E538B">
        <w:tc>
          <w:tcPr>
            <w:tcW w:w="5058" w:type="dxa"/>
          </w:tcPr>
          <w:p w14:paraId="39B9AA41" w14:textId="77777777" w:rsidR="00CB4774" w:rsidRPr="00542CE6" w:rsidRDefault="00CB4774" w:rsidP="002E538B">
            <w:pPr>
              <w:rPr>
                <w:rFonts w:ascii="Arial" w:hAnsi="Arial" w:cs="Arial"/>
                <w:sz w:val="20"/>
                <w:szCs w:val="20"/>
              </w:rPr>
            </w:pPr>
            <w:r w:rsidRPr="00542CE6">
              <w:rPr>
                <w:rFonts w:ascii="Arial" w:hAnsi="Arial" w:cs="Arial"/>
                <w:sz w:val="20"/>
                <w:szCs w:val="20"/>
              </w:rPr>
              <w:t>Positive regulation of white fat cell proliferation</w:t>
            </w:r>
          </w:p>
        </w:tc>
      </w:tr>
      <w:tr w:rsidR="00542CE6" w:rsidRPr="00542CE6" w14:paraId="0CAA4C64" w14:textId="77777777" w:rsidTr="002E538B">
        <w:tc>
          <w:tcPr>
            <w:tcW w:w="5058" w:type="dxa"/>
          </w:tcPr>
          <w:p w14:paraId="0742119C" w14:textId="77777777" w:rsidR="00CB4774" w:rsidRPr="00542CE6" w:rsidRDefault="00CB4774" w:rsidP="002E538B">
            <w:pPr>
              <w:rPr>
                <w:rFonts w:ascii="Arial" w:hAnsi="Arial" w:cs="Arial"/>
                <w:sz w:val="20"/>
                <w:szCs w:val="20"/>
              </w:rPr>
            </w:pPr>
            <w:r w:rsidRPr="00542CE6">
              <w:rPr>
                <w:rFonts w:ascii="Arial" w:hAnsi="Arial" w:cs="Arial"/>
                <w:sz w:val="20"/>
                <w:szCs w:val="20"/>
              </w:rPr>
              <w:t>Negative regulation of white fat cell proliferation</w:t>
            </w:r>
          </w:p>
        </w:tc>
      </w:tr>
      <w:tr w:rsidR="00542CE6" w:rsidRPr="00542CE6" w14:paraId="7036CD4E" w14:textId="77777777" w:rsidTr="002E538B">
        <w:tc>
          <w:tcPr>
            <w:tcW w:w="5058" w:type="dxa"/>
          </w:tcPr>
          <w:p w14:paraId="7C414D13" w14:textId="77777777" w:rsidR="00CB4774" w:rsidRPr="00542CE6" w:rsidRDefault="00CB4774" w:rsidP="002E538B">
            <w:pPr>
              <w:rPr>
                <w:rFonts w:ascii="Arial" w:hAnsi="Arial" w:cs="Arial"/>
                <w:sz w:val="20"/>
                <w:szCs w:val="20"/>
              </w:rPr>
            </w:pPr>
            <w:r w:rsidRPr="00542CE6">
              <w:rPr>
                <w:rFonts w:ascii="Arial" w:hAnsi="Arial" w:cs="Arial"/>
                <w:sz w:val="20"/>
                <w:szCs w:val="20"/>
              </w:rPr>
              <w:lastRenderedPageBreak/>
              <w:t>Regulation of white fat cell proliferation</w:t>
            </w:r>
          </w:p>
        </w:tc>
      </w:tr>
      <w:tr w:rsidR="00542CE6" w:rsidRPr="00542CE6" w14:paraId="218ADA05" w14:textId="77777777" w:rsidTr="002E538B">
        <w:tc>
          <w:tcPr>
            <w:tcW w:w="5058" w:type="dxa"/>
          </w:tcPr>
          <w:p w14:paraId="016F2FD6" w14:textId="77777777" w:rsidR="00CB4774" w:rsidRPr="00542CE6" w:rsidRDefault="00CB4774" w:rsidP="002E538B">
            <w:pPr>
              <w:rPr>
                <w:rFonts w:ascii="Arial" w:hAnsi="Arial" w:cs="Arial"/>
                <w:sz w:val="20"/>
                <w:szCs w:val="20"/>
              </w:rPr>
            </w:pPr>
            <w:r w:rsidRPr="00542CE6">
              <w:rPr>
                <w:rFonts w:ascii="Arial" w:hAnsi="Arial" w:cs="Arial"/>
                <w:sz w:val="20"/>
                <w:szCs w:val="20"/>
              </w:rPr>
              <w:t>White fat cell proliferation</w:t>
            </w:r>
          </w:p>
        </w:tc>
      </w:tr>
      <w:tr w:rsidR="00542CE6" w:rsidRPr="00542CE6" w14:paraId="6DDBA1B8" w14:textId="77777777" w:rsidTr="002E538B">
        <w:tc>
          <w:tcPr>
            <w:tcW w:w="5058" w:type="dxa"/>
          </w:tcPr>
          <w:p w14:paraId="66DAAAE9" w14:textId="77777777" w:rsidR="00CB4774" w:rsidRPr="00542CE6" w:rsidRDefault="00CB4774" w:rsidP="002E538B">
            <w:pPr>
              <w:rPr>
                <w:rFonts w:ascii="Arial" w:hAnsi="Arial" w:cs="Arial"/>
                <w:sz w:val="20"/>
                <w:szCs w:val="20"/>
              </w:rPr>
            </w:pPr>
            <w:r w:rsidRPr="00542CE6">
              <w:rPr>
                <w:rFonts w:ascii="Arial" w:hAnsi="Arial" w:cs="Arial"/>
                <w:sz w:val="20"/>
                <w:szCs w:val="20"/>
              </w:rPr>
              <w:t>Response to leptin</w:t>
            </w:r>
          </w:p>
        </w:tc>
      </w:tr>
      <w:tr w:rsidR="00542CE6" w:rsidRPr="00542CE6" w14:paraId="00FB7B6E" w14:textId="77777777" w:rsidTr="002E538B">
        <w:tc>
          <w:tcPr>
            <w:tcW w:w="5058" w:type="dxa"/>
          </w:tcPr>
          <w:p w14:paraId="1DD7F5C0" w14:textId="77777777" w:rsidR="00CB4774" w:rsidRPr="00542CE6" w:rsidRDefault="00CB4774" w:rsidP="002E538B">
            <w:pPr>
              <w:rPr>
                <w:rFonts w:ascii="Arial" w:hAnsi="Arial" w:cs="Arial"/>
                <w:sz w:val="20"/>
                <w:szCs w:val="20"/>
              </w:rPr>
            </w:pPr>
            <w:r w:rsidRPr="00542CE6">
              <w:rPr>
                <w:rFonts w:ascii="Arial" w:hAnsi="Arial" w:cs="Arial"/>
                <w:sz w:val="20"/>
                <w:szCs w:val="20"/>
              </w:rPr>
              <w:t>Regulation of fat cell differentiation</w:t>
            </w:r>
          </w:p>
        </w:tc>
      </w:tr>
      <w:tr w:rsidR="00542CE6" w:rsidRPr="00542CE6" w14:paraId="7C30F4A9" w14:textId="77777777" w:rsidTr="002E538B">
        <w:tc>
          <w:tcPr>
            <w:tcW w:w="5058" w:type="dxa"/>
          </w:tcPr>
          <w:p w14:paraId="4ABAD2AC" w14:textId="77777777" w:rsidR="00CB4774" w:rsidRPr="00542CE6" w:rsidRDefault="00CB4774" w:rsidP="002E538B">
            <w:pPr>
              <w:rPr>
                <w:rFonts w:ascii="Arial" w:hAnsi="Arial" w:cs="Arial"/>
                <w:sz w:val="20"/>
                <w:szCs w:val="20"/>
              </w:rPr>
            </w:pPr>
            <w:r w:rsidRPr="00542CE6">
              <w:rPr>
                <w:rFonts w:ascii="Arial" w:hAnsi="Arial" w:cs="Arial"/>
                <w:sz w:val="20"/>
                <w:szCs w:val="20"/>
              </w:rPr>
              <w:t>Negative regulation of fat cell differentiation</w:t>
            </w:r>
          </w:p>
        </w:tc>
      </w:tr>
      <w:tr w:rsidR="00CB4774" w:rsidRPr="00542CE6" w14:paraId="5BD5B03D" w14:textId="77777777" w:rsidTr="002E538B">
        <w:tc>
          <w:tcPr>
            <w:tcW w:w="5058" w:type="dxa"/>
          </w:tcPr>
          <w:p w14:paraId="7D26FD70" w14:textId="77777777" w:rsidR="00CB4774" w:rsidRPr="00542CE6" w:rsidRDefault="00CB4774" w:rsidP="002E538B">
            <w:pPr>
              <w:rPr>
                <w:rFonts w:ascii="Arial" w:hAnsi="Arial" w:cs="Arial"/>
                <w:sz w:val="20"/>
                <w:szCs w:val="20"/>
              </w:rPr>
            </w:pPr>
            <w:r w:rsidRPr="00542CE6">
              <w:rPr>
                <w:rFonts w:ascii="Arial" w:hAnsi="Arial" w:cs="Arial"/>
                <w:sz w:val="20"/>
                <w:szCs w:val="20"/>
              </w:rPr>
              <w:t>Positive regulation of fat cell apoptotic process</w:t>
            </w:r>
          </w:p>
        </w:tc>
      </w:tr>
    </w:tbl>
    <w:p w14:paraId="4DD8C777" w14:textId="77777777" w:rsidR="000D22BF" w:rsidRPr="00542CE6" w:rsidRDefault="000D22BF" w:rsidP="00467412">
      <w:pPr>
        <w:jc w:val="both"/>
        <w:rPr>
          <w:rFonts w:ascii="Arial" w:hAnsi="Arial" w:cs="Arial"/>
          <w:b/>
          <w:i/>
          <w:sz w:val="20"/>
          <w:szCs w:val="20"/>
        </w:rPr>
      </w:pPr>
    </w:p>
    <w:p w14:paraId="149119BA" w14:textId="0286D391" w:rsidR="00467412" w:rsidRPr="00542CE6" w:rsidRDefault="0005238C" w:rsidP="0005238C">
      <w:pPr>
        <w:jc w:val="both"/>
        <w:rPr>
          <w:rFonts w:ascii="Arial" w:hAnsi="Arial" w:cs="Arial"/>
          <w:b/>
          <w:i/>
          <w:sz w:val="16"/>
          <w:szCs w:val="16"/>
        </w:rPr>
      </w:pPr>
      <w:r w:rsidRPr="00542CE6">
        <w:rPr>
          <w:b/>
          <w:i/>
          <w:sz w:val="20"/>
          <w:szCs w:val="20"/>
        </w:rPr>
        <w:t>R</w:t>
      </w:r>
      <w:r w:rsidR="001D3335" w:rsidRPr="00542CE6">
        <w:rPr>
          <w:b/>
          <w:i/>
          <w:sz w:val="20"/>
          <w:szCs w:val="20"/>
        </w:rPr>
        <w:t xml:space="preserve">EFERENCES UTILIZED IN </w:t>
      </w:r>
      <w:r w:rsidRPr="00542CE6">
        <w:rPr>
          <w:b/>
          <w:i/>
          <w:sz w:val="20"/>
          <w:szCs w:val="20"/>
        </w:rPr>
        <w:t>SUPPLEMENTAL INFO</w:t>
      </w:r>
    </w:p>
    <w:p w14:paraId="0EF92F38" w14:textId="628E6760" w:rsidR="005A117A" w:rsidRPr="00542CE6" w:rsidRDefault="00467412"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sz w:val="20"/>
          <w:szCs w:val="20"/>
        </w:rPr>
        <w:fldChar w:fldCharType="begin" w:fldLock="1"/>
      </w:r>
      <w:r w:rsidRPr="00542CE6">
        <w:rPr>
          <w:rFonts w:ascii="Arial" w:hAnsi="Arial" w:cs="Arial"/>
          <w:sz w:val="20"/>
          <w:szCs w:val="20"/>
        </w:rPr>
        <w:instrText xml:space="preserve">ADDIN Mendeley Bibliography CSL_BIBLIOGRAPHY </w:instrText>
      </w:r>
      <w:r w:rsidRPr="00542CE6">
        <w:rPr>
          <w:rFonts w:ascii="Arial" w:hAnsi="Arial" w:cs="Arial"/>
          <w:sz w:val="20"/>
          <w:szCs w:val="20"/>
        </w:rPr>
        <w:fldChar w:fldCharType="separate"/>
      </w:r>
      <w:r w:rsidR="005A117A" w:rsidRPr="00542CE6">
        <w:rPr>
          <w:rFonts w:ascii="Arial" w:hAnsi="Arial" w:cs="Arial"/>
          <w:noProof/>
          <w:sz w:val="20"/>
          <w:szCs w:val="24"/>
        </w:rPr>
        <w:t xml:space="preserve">1. </w:t>
      </w:r>
      <w:r w:rsidR="005A117A" w:rsidRPr="00542CE6">
        <w:rPr>
          <w:rFonts w:ascii="Arial" w:hAnsi="Arial" w:cs="Arial"/>
          <w:noProof/>
          <w:sz w:val="20"/>
          <w:szCs w:val="24"/>
        </w:rPr>
        <w:tab/>
        <w:t xml:space="preserve">Hinge M, Delaisse J-M, Plesner T, Clasen-Linde E, Salomo M, Andersen TL. High-dose therapy improves the bone remodelling compartment canopy coverage and bone formation in multiple myeloma. Br J Haematol. 2015;171:355–65. </w:t>
      </w:r>
    </w:p>
    <w:p w14:paraId="0895244E"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2. </w:t>
      </w:r>
      <w:r w:rsidRPr="00542CE6">
        <w:rPr>
          <w:rFonts w:ascii="Arial" w:hAnsi="Arial" w:cs="Arial"/>
          <w:noProof/>
          <w:sz w:val="20"/>
          <w:szCs w:val="24"/>
        </w:rPr>
        <w:tab/>
        <w:t xml:space="preserve">Fairfield H, Falank C, Harris E, Demambro V, McDonald M, Pettitt JAJ, et al. The skeletal cell-derived molecule sclerostin drives bone marrow adipogenesis. J Cell Physiol. 2017;233:1156–67. </w:t>
      </w:r>
    </w:p>
    <w:p w14:paraId="5C9E7736"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3. </w:t>
      </w:r>
      <w:r w:rsidRPr="00542CE6">
        <w:rPr>
          <w:rFonts w:ascii="Arial" w:hAnsi="Arial" w:cs="Arial"/>
          <w:noProof/>
          <w:sz w:val="20"/>
          <w:szCs w:val="24"/>
        </w:rPr>
        <w:tab/>
        <w:t xml:space="preserve">Dudakovic A, Camilleri E, Riester SM, Lewallen EA, Kvasha S, Chen X, et al. High-resolution molecular validation of self-renewal and spontaneous differentiation in clinical-grade adipose-tissue derived human mesenchymal stem cells. J Cell Biochem. NIH Public Access; 2014;115:1816–28. </w:t>
      </w:r>
    </w:p>
    <w:p w14:paraId="46503945"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4. </w:t>
      </w:r>
      <w:r w:rsidRPr="00542CE6">
        <w:rPr>
          <w:rFonts w:ascii="Arial" w:hAnsi="Arial" w:cs="Arial"/>
          <w:noProof/>
          <w:sz w:val="20"/>
          <w:szCs w:val="24"/>
        </w:rPr>
        <w:tab/>
        <w:t xml:space="preserve">Ghandi M, Huang FW, Jané-Valbuena J, Kryukov G V., Lo CC, McDonald ER, et al. Next-generation characterization of the Cancer Cell Line Encyclopedia. Nature. Nature Publishing Group; 2019;569:503–8. </w:t>
      </w:r>
    </w:p>
    <w:p w14:paraId="0EB1E010"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5. </w:t>
      </w:r>
      <w:r w:rsidRPr="00542CE6">
        <w:rPr>
          <w:rFonts w:ascii="Arial" w:hAnsi="Arial" w:cs="Arial"/>
          <w:noProof/>
          <w:sz w:val="20"/>
          <w:szCs w:val="24"/>
        </w:rPr>
        <w:tab/>
        <w:t xml:space="preserve">Afgan E, Baker D, Batut B, van den Beek M, Bouvier D, Cech M, et al. The Galaxy platform for accessible, reproducible and collaborative biomedical analyses: 2018 update. Nucleic Acids Res. 2018;46:W537–44. </w:t>
      </w:r>
    </w:p>
    <w:p w14:paraId="58ED910A"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6. </w:t>
      </w:r>
      <w:r w:rsidRPr="00542CE6">
        <w:rPr>
          <w:rFonts w:ascii="Arial" w:hAnsi="Arial" w:cs="Arial"/>
          <w:noProof/>
          <w:sz w:val="20"/>
          <w:szCs w:val="24"/>
        </w:rPr>
        <w:tab/>
        <w:t xml:space="preserve">Subramanian A, Tamayo P, Mootha VK, Mukherjee S, Ebert BL, Gillette MA, et al. Gene set enrichment analysis: a knowledge-based approach for interpreting genome-wide expression profiles. Proc Natl Acad Sci U S A. 2005;102:15545–50. </w:t>
      </w:r>
    </w:p>
    <w:p w14:paraId="2CE2148F"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7. </w:t>
      </w:r>
      <w:r w:rsidRPr="00542CE6">
        <w:rPr>
          <w:rFonts w:ascii="Arial" w:hAnsi="Arial" w:cs="Arial"/>
          <w:noProof/>
          <w:sz w:val="20"/>
          <w:szCs w:val="24"/>
        </w:rPr>
        <w:tab/>
        <w:t xml:space="preserve">Liberzon A, Birger C, Thorvaldsdóttir H, Ghandi M, Mesirov JP, Tamayo P. The Molecular Signatures Database Hallmark Gene Set Collection. Cell Syst. Cell Press; 2015;1:417–25. </w:t>
      </w:r>
    </w:p>
    <w:p w14:paraId="783B8950"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8. </w:t>
      </w:r>
      <w:r w:rsidRPr="00542CE6">
        <w:rPr>
          <w:rFonts w:ascii="Arial" w:hAnsi="Arial" w:cs="Arial"/>
          <w:noProof/>
          <w:sz w:val="20"/>
          <w:szCs w:val="24"/>
        </w:rPr>
        <w:tab/>
        <w:t xml:space="preserve">Szklarczyk D, Gable AL, Lyon D, Junge A, Wyder S, Huerta-Cepas J, et al. STRING v11: protein–protein association networks with increased coverage, supporting functional discovery in genome-wide experimental datasets. Nucleic Acids Res. 2019;47:D607–13. </w:t>
      </w:r>
    </w:p>
    <w:p w14:paraId="1F0FBA53"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9. </w:t>
      </w:r>
      <w:r w:rsidRPr="00542CE6">
        <w:rPr>
          <w:rFonts w:ascii="Arial" w:hAnsi="Arial" w:cs="Arial"/>
          <w:noProof/>
          <w:sz w:val="20"/>
          <w:szCs w:val="24"/>
        </w:rPr>
        <w:tab/>
        <w:t xml:space="preserve">Warde-Farley D, Donaldson SL, Comes O, Zuberi K, Badrawi R, Chao P, et al. The GeneMANIA prediction server: biological network integration for gene prioritization and predicting gene function. Nucleic Acids Res. 2010;38:W214–20. </w:t>
      </w:r>
    </w:p>
    <w:p w14:paraId="396BCA29"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szCs w:val="24"/>
        </w:rPr>
      </w:pPr>
      <w:r w:rsidRPr="00542CE6">
        <w:rPr>
          <w:rFonts w:ascii="Arial" w:hAnsi="Arial" w:cs="Arial"/>
          <w:noProof/>
          <w:sz w:val="20"/>
          <w:szCs w:val="24"/>
        </w:rPr>
        <w:t xml:space="preserve">10. </w:t>
      </w:r>
      <w:r w:rsidRPr="00542CE6">
        <w:rPr>
          <w:rFonts w:ascii="Arial" w:hAnsi="Arial" w:cs="Arial"/>
          <w:noProof/>
          <w:sz w:val="20"/>
          <w:szCs w:val="24"/>
        </w:rPr>
        <w:tab/>
        <w:t xml:space="preserve">Pathan M, Keerthikumar S, Ang C-S, Gangoda L, Quek CYJ, Williamson NA, et al. FunRich: An open access standalone functional enrichment and interaction network analysis tool. Proteomics. John Wiley &amp; Sons, Ltd; 2015;15:2597–601. </w:t>
      </w:r>
    </w:p>
    <w:p w14:paraId="77374FB9" w14:textId="77777777" w:rsidR="005A117A" w:rsidRPr="00542CE6" w:rsidRDefault="005A117A" w:rsidP="005A117A">
      <w:pPr>
        <w:widowControl w:val="0"/>
        <w:autoSpaceDE w:val="0"/>
        <w:autoSpaceDN w:val="0"/>
        <w:adjustRightInd w:val="0"/>
        <w:spacing w:line="240" w:lineRule="auto"/>
        <w:ind w:left="640" w:hanging="640"/>
        <w:rPr>
          <w:rFonts w:ascii="Arial" w:hAnsi="Arial" w:cs="Arial"/>
          <w:noProof/>
          <w:sz w:val="20"/>
        </w:rPr>
      </w:pPr>
      <w:r w:rsidRPr="00542CE6">
        <w:rPr>
          <w:rFonts w:ascii="Arial" w:hAnsi="Arial" w:cs="Arial"/>
          <w:noProof/>
          <w:sz w:val="20"/>
          <w:szCs w:val="24"/>
        </w:rPr>
        <w:t xml:space="preserve">11. </w:t>
      </w:r>
      <w:r w:rsidRPr="00542CE6">
        <w:rPr>
          <w:rFonts w:ascii="Arial" w:hAnsi="Arial" w:cs="Arial"/>
          <w:noProof/>
          <w:sz w:val="20"/>
          <w:szCs w:val="24"/>
        </w:rPr>
        <w:tab/>
        <w:t xml:space="preserve">Coppé J-P, Patil CK, Rodier F, Sun Y, Muñoz DP, Goldstein J, et al. Senescence-associated secretory phenotypes reveal cell-nonautonomous functions of oncogenic RAS and the p53 tumor suppressor. Downward J, editor. PLoS Biol. 2008;6:2853–68. </w:t>
      </w:r>
    </w:p>
    <w:p w14:paraId="5DAB6C7B" w14:textId="77777777" w:rsidR="00467412" w:rsidRPr="00542CE6" w:rsidRDefault="00467412" w:rsidP="00467412">
      <w:pPr>
        <w:rPr>
          <w:rFonts w:ascii="Arial" w:hAnsi="Arial" w:cs="Arial"/>
          <w:sz w:val="20"/>
          <w:szCs w:val="20"/>
        </w:rPr>
      </w:pPr>
      <w:r w:rsidRPr="00542CE6">
        <w:rPr>
          <w:rFonts w:ascii="Arial" w:hAnsi="Arial" w:cs="Arial"/>
          <w:sz w:val="20"/>
          <w:szCs w:val="20"/>
        </w:rPr>
        <w:fldChar w:fldCharType="end"/>
      </w:r>
    </w:p>
    <w:sectPr w:rsidR="00467412" w:rsidRPr="0054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22"/>
    <w:rsid w:val="00006CD2"/>
    <w:rsid w:val="00037341"/>
    <w:rsid w:val="0005238C"/>
    <w:rsid w:val="00057D28"/>
    <w:rsid w:val="000878EE"/>
    <w:rsid w:val="000D22BF"/>
    <w:rsid w:val="000E4295"/>
    <w:rsid w:val="001200A1"/>
    <w:rsid w:val="00172560"/>
    <w:rsid w:val="001D3335"/>
    <w:rsid w:val="001F3CA7"/>
    <w:rsid w:val="00241E7D"/>
    <w:rsid w:val="00263575"/>
    <w:rsid w:val="002A2BE5"/>
    <w:rsid w:val="002A6F04"/>
    <w:rsid w:val="002B15ED"/>
    <w:rsid w:val="002D02BA"/>
    <w:rsid w:val="002D46A1"/>
    <w:rsid w:val="002E09C4"/>
    <w:rsid w:val="00323409"/>
    <w:rsid w:val="003559BC"/>
    <w:rsid w:val="00370EF8"/>
    <w:rsid w:val="00396468"/>
    <w:rsid w:val="003A11CD"/>
    <w:rsid w:val="004474EA"/>
    <w:rsid w:val="00467412"/>
    <w:rsid w:val="004924EF"/>
    <w:rsid w:val="004D6A21"/>
    <w:rsid w:val="00520372"/>
    <w:rsid w:val="00520D9E"/>
    <w:rsid w:val="00525A08"/>
    <w:rsid w:val="00542CE6"/>
    <w:rsid w:val="005A117A"/>
    <w:rsid w:val="005A1FFD"/>
    <w:rsid w:val="00610C26"/>
    <w:rsid w:val="00610F85"/>
    <w:rsid w:val="00631D77"/>
    <w:rsid w:val="00671E9B"/>
    <w:rsid w:val="006C2DA5"/>
    <w:rsid w:val="006D1A7D"/>
    <w:rsid w:val="006D6D8A"/>
    <w:rsid w:val="006E0E08"/>
    <w:rsid w:val="0075609A"/>
    <w:rsid w:val="00756F49"/>
    <w:rsid w:val="00770AEE"/>
    <w:rsid w:val="0077138C"/>
    <w:rsid w:val="0084517A"/>
    <w:rsid w:val="008C0FC1"/>
    <w:rsid w:val="008F6016"/>
    <w:rsid w:val="00927B27"/>
    <w:rsid w:val="0093321A"/>
    <w:rsid w:val="0094543A"/>
    <w:rsid w:val="00950543"/>
    <w:rsid w:val="00967FAE"/>
    <w:rsid w:val="009772A2"/>
    <w:rsid w:val="009959FA"/>
    <w:rsid w:val="009B4BC8"/>
    <w:rsid w:val="009F7485"/>
    <w:rsid w:val="00A249EE"/>
    <w:rsid w:val="00A32F58"/>
    <w:rsid w:val="00A344FF"/>
    <w:rsid w:val="00A46C22"/>
    <w:rsid w:val="00A65384"/>
    <w:rsid w:val="00AE4FBF"/>
    <w:rsid w:val="00AF7714"/>
    <w:rsid w:val="00B1544F"/>
    <w:rsid w:val="00B3423C"/>
    <w:rsid w:val="00B62606"/>
    <w:rsid w:val="00B64631"/>
    <w:rsid w:val="00B73FBC"/>
    <w:rsid w:val="00B960B1"/>
    <w:rsid w:val="00BE754D"/>
    <w:rsid w:val="00BF55A2"/>
    <w:rsid w:val="00C7794B"/>
    <w:rsid w:val="00CB4774"/>
    <w:rsid w:val="00CD087D"/>
    <w:rsid w:val="00CF6E37"/>
    <w:rsid w:val="00D04623"/>
    <w:rsid w:val="00D060F0"/>
    <w:rsid w:val="00D56B3F"/>
    <w:rsid w:val="00D6078C"/>
    <w:rsid w:val="00DB45DA"/>
    <w:rsid w:val="00DF1B5A"/>
    <w:rsid w:val="00E50DB4"/>
    <w:rsid w:val="00E837F8"/>
    <w:rsid w:val="00EF4BED"/>
    <w:rsid w:val="00F1381E"/>
    <w:rsid w:val="00F31843"/>
    <w:rsid w:val="00F501C3"/>
    <w:rsid w:val="00F80C49"/>
    <w:rsid w:val="00F97855"/>
    <w:rsid w:val="00FC3E15"/>
    <w:rsid w:val="00FE6842"/>
    <w:rsid w:val="00FF273E"/>
    <w:rsid w:val="00FF4023"/>
    <w:rsid w:val="046DB978"/>
    <w:rsid w:val="5172D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FE26"/>
  <w15:docId w15:val="{270AE056-B37C-46B5-BD75-513CB288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4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467412"/>
    <w:pPr>
      <w:keepNext w:val="0"/>
      <w:keepLines w:val="0"/>
      <w:spacing w:before="0" w:after="200"/>
      <w:outlineLvl w:val="1"/>
    </w:pPr>
    <w:rPr>
      <w:rFonts w:ascii="Arial" w:eastAsiaTheme="minorHAnsi" w:hAnsi="Arial" w:cs="Arial"/>
      <w:b/>
      <w: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412"/>
    <w:rPr>
      <w:color w:val="0000FF" w:themeColor="hyperlink"/>
      <w:u w:val="single"/>
    </w:rPr>
  </w:style>
  <w:style w:type="character" w:customStyle="1" w:styleId="Heading2Char">
    <w:name w:val="Heading 2 Char"/>
    <w:basedOn w:val="DefaultParagraphFont"/>
    <w:link w:val="Heading2"/>
    <w:uiPriority w:val="9"/>
    <w:rsid w:val="00467412"/>
    <w:rPr>
      <w:rFonts w:ascii="Arial" w:hAnsi="Arial" w:cs="Arial"/>
      <w:b/>
      <w:i/>
    </w:rPr>
  </w:style>
  <w:style w:type="character" w:customStyle="1" w:styleId="Heading1Char">
    <w:name w:val="Heading 1 Char"/>
    <w:basedOn w:val="DefaultParagraphFont"/>
    <w:link w:val="Heading1"/>
    <w:uiPriority w:val="9"/>
    <w:rsid w:val="0046741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F1B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6CD2"/>
    <w:rPr>
      <w:sz w:val="16"/>
      <w:szCs w:val="16"/>
    </w:rPr>
  </w:style>
  <w:style w:type="paragraph" w:styleId="CommentText">
    <w:name w:val="annotation text"/>
    <w:basedOn w:val="Normal"/>
    <w:link w:val="CommentTextChar"/>
    <w:uiPriority w:val="99"/>
    <w:semiHidden/>
    <w:unhideWhenUsed/>
    <w:rsid w:val="00006CD2"/>
    <w:pPr>
      <w:spacing w:line="240" w:lineRule="auto"/>
    </w:pPr>
    <w:rPr>
      <w:sz w:val="20"/>
      <w:szCs w:val="20"/>
    </w:rPr>
  </w:style>
  <w:style w:type="character" w:customStyle="1" w:styleId="CommentTextChar">
    <w:name w:val="Comment Text Char"/>
    <w:basedOn w:val="DefaultParagraphFont"/>
    <w:link w:val="CommentText"/>
    <w:uiPriority w:val="99"/>
    <w:semiHidden/>
    <w:rsid w:val="00006CD2"/>
    <w:rPr>
      <w:sz w:val="20"/>
      <w:szCs w:val="20"/>
    </w:rPr>
  </w:style>
  <w:style w:type="paragraph" w:styleId="CommentSubject">
    <w:name w:val="annotation subject"/>
    <w:basedOn w:val="CommentText"/>
    <w:next w:val="CommentText"/>
    <w:link w:val="CommentSubjectChar"/>
    <w:uiPriority w:val="99"/>
    <w:semiHidden/>
    <w:unhideWhenUsed/>
    <w:rsid w:val="00006CD2"/>
    <w:rPr>
      <w:b/>
      <w:bCs/>
    </w:rPr>
  </w:style>
  <w:style w:type="character" w:customStyle="1" w:styleId="CommentSubjectChar">
    <w:name w:val="Comment Subject Char"/>
    <w:basedOn w:val="CommentTextChar"/>
    <w:link w:val="CommentSubject"/>
    <w:uiPriority w:val="99"/>
    <w:semiHidden/>
    <w:rsid w:val="00006CD2"/>
    <w:rPr>
      <w:b/>
      <w:bCs/>
      <w:sz w:val="20"/>
      <w:szCs w:val="20"/>
    </w:rPr>
  </w:style>
  <w:style w:type="paragraph" w:styleId="BalloonText">
    <w:name w:val="Balloon Text"/>
    <w:basedOn w:val="Normal"/>
    <w:link w:val="BalloonTextChar"/>
    <w:uiPriority w:val="99"/>
    <w:semiHidden/>
    <w:unhideWhenUsed/>
    <w:rsid w:val="00006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4839">
      <w:bodyDiv w:val="1"/>
      <w:marLeft w:val="0"/>
      <w:marRight w:val="0"/>
      <w:marTop w:val="0"/>
      <w:marBottom w:val="0"/>
      <w:divBdr>
        <w:top w:val="none" w:sz="0" w:space="0" w:color="auto"/>
        <w:left w:val="none" w:sz="0" w:space="0" w:color="auto"/>
        <w:bottom w:val="none" w:sz="0" w:space="0" w:color="auto"/>
        <w:right w:val="none" w:sz="0" w:space="0" w:color="auto"/>
      </w:divBdr>
    </w:div>
    <w:div w:id="14303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oftware.broadinstitute.org/morph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08CD-CDE7-4B3C-BF40-0863B71E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5919</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Fairfield</dc:creator>
  <cp:lastModifiedBy>Michaela R. Reagan</cp:lastModifiedBy>
  <cp:revision>3</cp:revision>
  <dcterms:created xsi:type="dcterms:W3CDTF">2020-10-01T20:11:00Z</dcterms:created>
  <dcterms:modified xsi:type="dcterms:W3CDTF">2020-10-01T20:21:00Z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2704bf17-9964-31cf-88e0-060fb5da6efc</vt:lpwstr>
  </property>
  <property fmtid="{D5CDD505-2E9C-101B-9397-08002B2CF9AE}" pid="4" name="Mendeley Citation Style_1">
    <vt:lpwstr>http://www.zotero.org/styles/cancer-research</vt:lpwstr>
  </property>
  <property fmtid="{D5CDD505-2E9C-101B-9397-08002B2CF9AE}" pid="5" name="Mendeley Recent Style Id 0_1">
    <vt:lpwstr>http://www.zotero.org/styles/cancer-research</vt:lpwstr>
  </property>
  <property fmtid="{D5CDD505-2E9C-101B-9397-08002B2CF9AE}" pid="6" name="Mendeley Recent Style Name 0_1">
    <vt:lpwstr>Cancer Research</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http://www.zotero.org/styles/frontiers-in-oncology</vt:lpwstr>
  </property>
  <property fmtid="{D5CDD505-2E9C-101B-9397-08002B2CF9AE}" pid="12" name="Mendeley Recent Style Name 3_1">
    <vt:lpwstr>Frontiers in Oncology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http://www.zotero.org/styles/journal-of-bone-and-mineral-research</vt:lpwstr>
  </property>
  <property fmtid="{D5CDD505-2E9C-101B-9397-08002B2CF9AE}" pid="16" name="Mendeley Recent Style Name 5_1">
    <vt:lpwstr>Journal of Bone and Mineral Research</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