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89F94" w14:textId="77777777" w:rsidR="0009243D" w:rsidRPr="00B27EF7" w:rsidRDefault="0009243D" w:rsidP="0009243D">
      <w:pPr>
        <w:pStyle w:val="Heading1"/>
        <w:rPr>
          <w:color w:val="000000" w:themeColor="text1"/>
        </w:rPr>
      </w:pPr>
      <w:bookmarkStart w:id="0" w:name="_w3yq29wvrux3" w:colFirst="0" w:colLast="0"/>
      <w:bookmarkStart w:id="1" w:name="_p4h7gybhqgca" w:colFirst="0" w:colLast="0"/>
      <w:bookmarkEnd w:id="0"/>
      <w:bookmarkEnd w:id="1"/>
      <w:r>
        <w:rPr>
          <w:b/>
          <w:color w:val="000000" w:themeColor="text1"/>
        </w:rPr>
        <w:t xml:space="preserve">List of </w:t>
      </w:r>
      <w:r w:rsidRPr="00B27EF7">
        <w:rPr>
          <w:b/>
          <w:color w:val="000000" w:themeColor="text1"/>
        </w:rPr>
        <w:t>Supplemental Material</w:t>
      </w:r>
    </w:p>
    <w:p w14:paraId="7E2ED192" w14:textId="77777777" w:rsidR="0009243D" w:rsidRPr="00B27EF7" w:rsidRDefault="0009243D" w:rsidP="0009243D">
      <w:pPr>
        <w:rPr>
          <w:color w:val="000000" w:themeColor="text1"/>
        </w:rPr>
      </w:pPr>
    </w:p>
    <w:p w14:paraId="652AC1F4" w14:textId="0D346F75" w:rsidR="0009243D" w:rsidRDefault="0009243D" w:rsidP="0009243D">
      <w:pPr>
        <w:jc w:val="both"/>
        <w:rPr>
          <w:color w:val="000000" w:themeColor="text1"/>
          <w:u w:val="single"/>
        </w:rPr>
      </w:pPr>
      <w:r w:rsidRPr="00B27EF7">
        <w:rPr>
          <w:b/>
          <w:color w:val="000000" w:themeColor="text1"/>
        </w:rPr>
        <w:t>Supplemental File 1</w:t>
      </w:r>
      <w:r w:rsidR="00180659">
        <w:rPr>
          <w:b/>
          <w:color w:val="000000" w:themeColor="text1"/>
        </w:rPr>
        <w:t>-2</w:t>
      </w:r>
      <w:r>
        <w:rPr>
          <w:color w:val="000000" w:themeColor="text1"/>
          <w:u w:val="single"/>
        </w:rPr>
        <w:t xml:space="preserve"> </w:t>
      </w:r>
    </w:p>
    <w:p w14:paraId="345F877B" w14:textId="77777777" w:rsidR="0009243D" w:rsidRPr="00B27EF7" w:rsidRDefault="0009243D" w:rsidP="0009243D">
      <w:pPr>
        <w:jc w:val="both"/>
        <w:rPr>
          <w:color w:val="000000" w:themeColor="text1"/>
        </w:rPr>
      </w:pPr>
    </w:p>
    <w:p w14:paraId="4FDD4B5B" w14:textId="77777777" w:rsidR="0009243D" w:rsidRPr="00B27EF7" w:rsidRDefault="0009243D" w:rsidP="0009243D">
      <w:pPr>
        <w:jc w:val="both"/>
        <w:rPr>
          <w:b/>
          <w:color w:val="000000" w:themeColor="text1"/>
        </w:rPr>
      </w:pPr>
      <w:r w:rsidRPr="00B27EF7">
        <w:rPr>
          <w:b/>
          <w:color w:val="000000" w:themeColor="text1"/>
        </w:rPr>
        <w:t>Supplemental Text</w:t>
      </w:r>
    </w:p>
    <w:p w14:paraId="77A0BB72" w14:textId="77777777" w:rsidR="0009243D" w:rsidRPr="00B27EF7" w:rsidRDefault="0009243D" w:rsidP="0009243D">
      <w:pPr>
        <w:jc w:val="both"/>
        <w:rPr>
          <w:b/>
          <w:color w:val="000000" w:themeColor="text1"/>
        </w:rPr>
      </w:pPr>
    </w:p>
    <w:p w14:paraId="0DAD8374" w14:textId="06B4671F" w:rsidR="0009243D" w:rsidRPr="0009243D" w:rsidRDefault="0009243D">
      <w:pPr>
        <w:jc w:val="both"/>
        <w:rPr>
          <w:b/>
          <w:color w:val="000000" w:themeColor="text1"/>
        </w:rPr>
      </w:pPr>
      <w:r w:rsidRPr="00B27EF7">
        <w:rPr>
          <w:b/>
          <w:color w:val="000000" w:themeColor="text1"/>
        </w:rPr>
        <w:t>Supplemental Figures S1-S6</w:t>
      </w:r>
      <w:bookmarkStart w:id="2" w:name="_92bddeio88cg" w:colFirst="0" w:colLast="0"/>
      <w:bookmarkEnd w:id="2"/>
    </w:p>
    <w:p w14:paraId="09D9E586" w14:textId="77777777" w:rsidR="00180659" w:rsidRDefault="00180659">
      <w:pPr>
        <w:rPr>
          <w:b/>
          <w:color w:val="000000" w:themeColor="text1"/>
        </w:rPr>
      </w:pPr>
      <w:bookmarkStart w:id="3" w:name="_tarcrvd4y4r1" w:colFirst="0" w:colLast="0"/>
      <w:bookmarkEnd w:id="3"/>
    </w:p>
    <w:p w14:paraId="112CC8D8" w14:textId="3230F651" w:rsidR="00AC1B25" w:rsidRPr="00180659" w:rsidRDefault="00180659">
      <w:pPr>
        <w:rPr>
          <w:b/>
          <w:color w:val="000000" w:themeColor="text1"/>
        </w:rPr>
      </w:pPr>
      <w:r>
        <w:rPr>
          <w:b/>
          <w:color w:val="000000" w:themeColor="text1"/>
        </w:rPr>
        <w:t>Supplemental Tables S1-S2</w:t>
      </w:r>
    </w:p>
    <w:p w14:paraId="20B7871B" w14:textId="4364E833" w:rsidR="00E20B20" w:rsidRPr="00B27EF7" w:rsidRDefault="00E20B20" w:rsidP="00E20B20">
      <w:pPr>
        <w:pStyle w:val="Heading1"/>
        <w:rPr>
          <w:b/>
          <w:color w:val="000000" w:themeColor="text1"/>
        </w:rPr>
      </w:pPr>
      <w:r w:rsidRPr="00B27EF7">
        <w:rPr>
          <w:b/>
          <w:color w:val="000000" w:themeColor="text1"/>
        </w:rPr>
        <w:t>Supplemental Text</w:t>
      </w:r>
    </w:p>
    <w:p w14:paraId="3BB2CB3E" w14:textId="23182C2D" w:rsidR="00820256" w:rsidRPr="00DE5B80" w:rsidRDefault="00E20B20" w:rsidP="00820256">
      <w:pPr>
        <w:pStyle w:val="Heading2"/>
        <w:jc w:val="both"/>
        <w:rPr>
          <w:b/>
          <w:color w:val="000000" w:themeColor="text1"/>
        </w:rPr>
      </w:pPr>
      <w:bookmarkStart w:id="4" w:name="_z1koj2ohr7u8" w:colFirst="0" w:colLast="0"/>
      <w:bookmarkEnd w:id="4"/>
      <w:r w:rsidRPr="00DE5B80">
        <w:rPr>
          <w:b/>
          <w:color w:val="000000" w:themeColor="text1"/>
        </w:rPr>
        <w:t>Updated network model</w:t>
      </w:r>
      <w:r w:rsidR="00820256">
        <w:rPr>
          <w:b/>
          <w:color w:val="000000" w:themeColor="text1"/>
        </w:rPr>
        <w:t xml:space="preserve"> (2020 version)</w:t>
      </w:r>
    </w:p>
    <w:p w14:paraId="591C4CB6" w14:textId="77777777" w:rsidR="00E20B20" w:rsidRPr="00B27EF7" w:rsidRDefault="00E20B20" w:rsidP="00E20B20">
      <w:pPr>
        <w:jc w:val="both"/>
        <w:rPr>
          <w:color w:val="000000" w:themeColor="text1"/>
        </w:rPr>
      </w:pPr>
    </w:p>
    <w:p w14:paraId="2DB7B849" w14:textId="4C4E6165" w:rsidR="00E20B20" w:rsidRPr="008B09AE" w:rsidRDefault="00E20B20" w:rsidP="00E20B20">
      <w:pPr>
        <w:jc w:val="both"/>
        <w:rPr>
          <w:color w:val="000000" w:themeColor="text1"/>
        </w:rPr>
      </w:pPr>
      <w:r w:rsidRPr="008B09AE">
        <w:rPr>
          <w:color w:val="000000" w:themeColor="text1"/>
        </w:rPr>
        <w:t>The updated network model</w:t>
      </w:r>
      <w:r w:rsidR="00820256" w:rsidRPr="008B09AE">
        <w:rPr>
          <w:color w:val="000000" w:themeColor="text1"/>
        </w:rPr>
        <w:t xml:space="preserve"> (the 2020 version)</w:t>
      </w:r>
      <w:r w:rsidRPr="008B09AE">
        <w:rPr>
          <w:color w:val="000000" w:themeColor="text1"/>
        </w:rPr>
        <w:t xml:space="preserve"> used for the cell line-specific network models of MCF7 and T47D is based on our previous model </w:t>
      </w:r>
      <w:r w:rsidR="00820256" w:rsidRPr="008B09AE">
        <w:rPr>
          <w:color w:val="000000" w:themeColor="text1"/>
        </w:rPr>
        <w:t xml:space="preserve">(the 2017 version) </w:t>
      </w:r>
      <w:r w:rsidR="00E65535" w:rsidRPr="008B09AE">
        <w:rPr>
          <w:noProof/>
          <w:color w:val="000000" w:themeColor="text1"/>
        </w:rPr>
        <w:t>(1)</w:t>
      </w:r>
      <w:r w:rsidR="00E65535" w:rsidRPr="008B09AE">
        <w:rPr>
          <w:color w:val="000000" w:themeColor="text1"/>
        </w:rPr>
        <w:t>.</w:t>
      </w:r>
      <w:r w:rsidRPr="008B09AE">
        <w:rPr>
          <w:color w:val="000000" w:themeColor="text1"/>
        </w:rPr>
        <w:t xml:space="preserve"> The main modifications to the </w:t>
      </w:r>
      <w:r w:rsidR="00820256" w:rsidRPr="008B09AE">
        <w:rPr>
          <w:color w:val="000000" w:themeColor="text1"/>
        </w:rPr>
        <w:t xml:space="preserve">2017 </w:t>
      </w:r>
      <w:r w:rsidRPr="008B09AE">
        <w:rPr>
          <w:color w:val="000000" w:themeColor="text1"/>
        </w:rPr>
        <w:t>network model are (i) the addition of nodes to explicitly represent gene products that were previously a single combined node (</w:t>
      </w:r>
      <m:oMath>
        <m:r>
          <w:rPr>
            <w:rFonts w:ascii="Cambria Math" w:hAnsi="Cambria Math"/>
            <w:color w:val="000000" w:themeColor="text1"/>
          </w:rPr>
          <m:t>p21_T</m:t>
        </m:r>
      </m:oMath>
      <w:r w:rsidRPr="008B09AE">
        <w:rPr>
          <w:color w:val="000000" w:themeColor="text1"/>
        </w:rPr>
        <w:t xml:space="preserve"> and </w:t>
      </w:r>
      <m:oMath>
        <m:r>
          <w:rPr>
            <w:rFonts w:ascii="Cambria Math" w:hAnsi="Cambria Math"/>
            <w:color w:val="000000" w:themeColor="text1"/>
          </w:rPr>
          <m:t>p27_T</m:t>
        </m:r>
      </m:oMath>
      <w:r w:rsidRPr="008B09AE">
        <w:rPr>
          <w:color w:val="000000" w:themeColor="text1"/>
        </w:rPr>
        <w:t xml:space="preserve"> instead of </w:t>
      </w:r>
      <m:oMath>
        <m:r>
          <w:rPr>
            <w:rFonts w:ascii="Cambria Math" w:hAnsi="Cambria Math"/>
            <w:color w:val="000000" w:themeColor="text1"/>
          </w:rPr>
          <m:t>p21/p27_T</m:t>
        </m:r>
      </m:oMath>
      <w:r w:rsidRPr="008B09AE">
        <w:rPr>
          <w:color w:val="000000" w:themeColor="text1"/>
        </w:rPr>
        <w:t xml:space="preserve">, </w:t>
      </w:r>
      <m:oMath>
        <m:r>
          <w:rPr>
            <w:rFonts w:ascii="Cambria Math" w:hAnsi="Cambria Math"/>
            <w:color w:val="000000" w:themeColor="text1"/>
          </w:rPr>
          <m:t>BCL2</m:t>
        </m:r>
      </m:oMath>
      <w:r w:rsidRPr="008B09AE">
        <w:rPr>
          <w:color w:val="000000" w:themeColor="text1"/>
        </w:rPr>
        <w:t xml:space="preserve">and </w:t>
      </w:r>
      <m:oMath>
        <m:r>
          <w:rPr>
            <w:rFonts w:ascii="Cambria Math" w:hAnsi="Cambria Math"/>
            <w:color w:val="000000" w:themeColor="text1"/>
          </w:rPr>
          <m:t>BCLXL</m:t>
        </m:r>
      </m:oMath>
      <w:r w:rsidRPr="008B09AE">
        <w:rPr>
          <w:color w:val="000000" w:themeColor="text1"/>
        </w:rPr>
        <w:t xml:space="preserve"> instead of </w:t>
      </w:r>
      <m:oMath>
        <m:r>
          <w:rPr>
            <w:rFonts w:ascii="Cambria Math" w:hAnsi="Cambria Math"/>
            <w:color w:val="000000" w:themeColor="text1"/>
          </w:rPr>
          <m:t>BCL2</m:t>
        </m:r>
      </m:oMath>
      <w:r w:rsidRPr="008B09AE">
        <w:rPr>
          <w:color w:val="000000" w:themeColor="text1"/>
        </w:rPr>
        <w:t>) and the addition of drugs that target some of these nodes (</w:t>
      </w:r>
      <m:oMath>
        <m:r>
          <w:rPr>
            <w:rFonts w:ascii="Cambria Math" w:hAnsi="Cambria Math"/>
            <w:color w:val="000000" w:themeColor="text1"/>
          </w:rPr>
          <m:t>S63845</m:t>
        </m:r>
      </m:oMath>
      <w:r w:rsidRPr="008B09AE">
        <w:rPr>
          <w:color w:val="000000" w:themeColor="text1"/>
        </w:rPr>
        <w:t xml:space="preserve">, </w:t>
      </w:r>
      <m:oMath>
        <m:r>
          <w:rPr>
            <w:rFonts w:ascii="Cambria Math" w:hAnsi="Cambria Math"/>
            <w:color w:val="000000" w:themeColor="text1"/>
          </w:rPr>
          <m:t>Navitoclax</m:t>
        </m:r>
      </m:oMath>
      <w:r w:rsidRPr="008B09AE">
        <w:rPr>
          <w:color w:val="000000" w:themeColor="text1"/>
        </w:rPr>
        <w:t>), (ii) the addition of nodes that denote microenvironments (</w:t>
      </w:r>
      <m:oMath>
        <m:r>
          <w:rPr>
            <w:rFonts w:ascii="Cambria Math" w:hAnsi="Cambria Math"/>
            <w:color w:val="000000" w:themeColor="text1"/>
          </w:rPr>
          <m:t>ER_microenvironment</m:t>
        </m:r>
      </m:oMath>
      <w:r w:rsidRPr="008B09AE">
        <w:rPr>
          <w:color w:val="000000" w:themeColor="text1"/>
        </w:rPr>
        <w:t xml:space="preserve">, </w:t>
      </w:r>
      <m:oMath>
        <m:r>
          <w:rPr>
            <w:rFonts w:ascii="Cambria Math" w:hAnsi="Cambria Math"/>
            <w:color w:val="000000" w:themeColor="text1"/>
          </w:rPr>
          <m:t>HER3_microenvironment</m:t>
        </m:r>
      </m:oMath>
      <w:r w:rsidRPr="008B09AE">
        <w:rPr>
          <w:color w:val="000000" w:themeColor="text1"/>
        </w:rPr>
        <w:t xml:space="preserve">) that were previously implicitly included, (iii) the addition of the node </w:t>
      </w:r>
      <m:oMath>
        <m:r>
          <w:rPr>
            <w:rFonts w:ascii="Cambria Math" w:hAnsi="Cambria Math"/>
            <w:color w:val="000000" w:themeColor="text1"/>
          </w:rPr>
          <m:t>MYC_targets</m:t>
        </m:r>
      </m:oMath>
      <w:r w:rsidRPr="008B09AE">
        <w:rPr>
          <w:color w:val="000000" w:themeColor="text1"/>
        </w:rPr>
        <w:t>, (iv) the addition of nodes to explicitly denote the transcriptional status of certain genes of interest (</w:t>
      </w:r>
      <m:oMath>
        <m:r>
          <w:rPr>
            <w:rFonts w:ascii="Cambria Math" w:hAnsi="Cambria Math"/>
            <w:color w:val="000000" w:themeColor="text1"/>
          </w:rPr>
          <m:t>BCLXL_T</m:t>
        </m:r>
      </m:oMath>
      <w:r w:rsidRPr="008B09AE">
        <w:rPr>
          <w:color w:val="000000" w:themeColor="text1"/>
        </w:rPr>
        <w:t xml:space="preserve">, </w:t>
      </w:r>
      <m:oMath>
        <m:r>
          <w:rPr>
            <w:rFonts w:ascii="Cambria Math" w:hAnsi="Cambria Math"/>
            <w:color w:val="000000" w:themeColor="text1"/>
          </w:rPr>
          <m:t>MCL1_T</m:t>
        </m:r>
      </m:oMath>
      <w:r w:rsidRPr="008B09AE">
        <w:rPr>
          <w:color w:val="000000" w:themeColor="text1"/>
        </w:rPr>
        <w:t xml:space="preserve">, </w:t>
      </w:r>
      <m:oMath>
        <m:r>
          <w:rPr>
            <w:rFonts w:ascii="Cambria Math" w:hAnsi="Cambria Math"/>
            <w:color w:val="000000" w:themeColor="text1"/>
          </w:rPr>
          <m:t>MYC_T</m:t>
        </m:r>
      </m:oMath>
      <w:r w:rsidRPr="008B09AE">
        <w:rPr>
          <w:color w:val="000000" w:themeColor="text1"/>
        </w:rPr>
        <w:t xml:space="preserve">, </w:t>
      </w:r>
      <m:oMath>
        <m:r>
          <w:rPr>
            <w:rFonts w:ascii="Cambria Math" w:hAnsi="Cambria Math"/>
            <w:color w:val="000000" w:themeColor="text1"/>
          </w:rPr>
          <m:t>Rb_T</m:t>
        </m:r>
      </m:oMath>
      <w:r w:rsidRPr="008B09AE">
        <w:rPr>
          <w:color w:val="000000" w:themeColor="text1"/>
        </w:rPr>
        <w:t xml:space="preserve">, </w:t>
      </w:r>
      <m:oMath>
        <m:r>
          <w:rPr>
            <w:rFonts w:ascii="Cambria Math" w:hAnsi="Cambria Math"/>
            <w:color w:val="000000" w:themeColor="text1"/>
          </w:rPr>
          <m:t>PTEN_T</m:t>
        </m:r>
      </m:oMath>
      <w:r w:rsidRPr="008B09AE">
        <w:rPr>
          <w:color w:val="000000" w:themeColor="text1"/>
        </w:rPr>
        <w:t xml:space="preserve">), (v) a negative interaction from </w:t>
      </w:r>
      <m:oMath>
        <m:r>
          <w:rPr>
            <w:rFonts w:ascii="Cambria Math" w:hAnsi="Cambria Math"/>
            <w:color w:val="000000" w:themeColor="text1"/>
          </w:rPr>
          <m:t>ER transcription</m:t>
        </m:r>
      </m:oMath>
      <w:r w:rsidRPr="008B09AE">
        <w:rPr>
          <w:color w:val="000000" w:themeColor="text1"/>
        </w:rPr>
        <w:t xml:space="preserve"> to </w:t>
      </w:r>
      <m:oMath>
        <m:r>
          <w:rPr>
            <w:rFonts w:ascii="Cambria Math" w:hAnsi="Cambria Math"/>
            <w:color w:val="000000" w:themeColor="text1"/>
          </w:rPr>
          <m:t>ESR1</m:t>
        </m:r>
      </m:oMath>
      <w:r w:rsidRPr="008B09AE">
        <w:rPr>
          <w:color w:val="000000" w:themeColor="text1"/>
        </w:rPr>
        <w:t>, and (vi) minor modifications to the network structure based on a re-evaluation of the evidence used for those interactions and our experimental results.</w:t>
      </w:r>
    </w:p>
    <w:p w14:paraId="7C259E02" w14:textId="77777777" w:rsidR="00E20B20" w:rsidRPr="008B09AE" w:rsidRDefault="00E20B20" w:rsidP="00E20B20">
      <w:pPr>
        <w:jc w:val="both"/>
        <w:rPr>
          <w:color w:val="000000" w:themeColor="text1"/>
        </w:rPr>
      </w:pPr>
    </w:p>
    <w:p w14:paraId="4A2BBC98" w14:textId="3F80601E" w:rsidR="00E20B20" w:rsidRPr="008B09AE" w:rsidRDefault="00E20B20" w:rsidP="00E20B20">
      <w:pPr>
        <w:jc w:val="both"/>
        <w:rPr>
          <w:color w:val="000000" w:themeColor="text1"/>
        </w:rPr>
      </w:pPr>
      <w:r w:rsidRPr="008B09AE">
        <w:rPr>
          <w:color w:val="000000" w:themeColor="text1"/>
        </w:rPr>
        <w:t xml:space="preserve">In addition to these changes in the network structure, the </w:t>
      </w:r>
      <w:r w:rsidR="00820256" w:rsidRPr="008B09AE">
        <w:rPr>
          <w:color w:val="000000" w:themeColor="text1"/>
        </w:rPr>
        <w:t xml:space="preserve">2020 </w:t>
      </w:r>
      <w:r w:rsidRPr="008B09AE">
        <w:rPr>
          <w:color w:val="000000" w:themeColor="text1"/>
        </w:rPr>
        <w:t xml:space="preserve">model modified the regulatory function of multiple nodes. (The regulatory function of a node determines its next state as a function of the state of its regulators. Because we denote each node level with a Boolean variable, the regulatory function of each Boolean variable can be expressed as a logical rule.) The great majority of these changes were minor and a direct consequence of the addition of new nodes and their edges. The most significant change was in the regulatory functions for the nodes </w:t>
      </w:r>
      <m:oMath>
        <m:r>
          <w:rPr>
            <w:rFonts w:ascii="Cambria Math" w:hAnsi="Cambria Math"/>
            <w:color w:val="000000" w:themeColor="text1"/>
          </w:rPr>
          <m:t>Apoptosis</m:t>
        </m:r>
      </m:oMath>
      <w:r w:rsidRPr="008B09AE">
        <w:rPr>
          <w:color w:val="000000" w:themeColor="text1"/>
        </w:rPr>
        <w:t xml:space="preserve">, </w:t>
      </w:r>
      <m:oMath>
        <m:r>
          <w:rPr>
            <w:rFonts w:ascii="Cambria Math" w:hAnsi="Cambria Math"/>
            <w:color w:val="000000" w:themeColor="text1"/>
          </w:rPr>
          <m:t>Proliferation</m:t>
        </m:r>
      </m:oMath>
      <w:r w:rsidRPr="008B09AE">
        <w:rPr>
          <w:color w:val="000000" w:themeColor="text1"/>
        </w:rPr>
        <w:t xml:space="preserve">, </w:t>
      </w:r>
      <m:oMath>
        <m:r>
          <w:rPr>
            <w:rFonts w:ascii="Cambria Math" w:hAnsi="Cambria Math"/>
            <w:color w:val="000000" w:themeColor="text1"/>
          </w:rPr>
          <m:t>pRb</m:t>
        </m:r>
      </m:oMath>
      <w:r w:rsidRPr="008B09AE">
        <w:rPr>
          <w:color w:val="000000" w:themeColor="text1"/>
        </w:rPr>
        <w:t xml:space="preserve">, and </w:t>
      </w:r>
      <m:oMath>
        <m:r>
          <w:rPr>
            <w:rFonts w:ascii="Cambria Math" w:hAnsi="Cambria Math"/>
            <w:color w:val="000000" w:themeColor="text1"/>
          </w:rPr>
          <m:t>E2F</m:t>
        </m:r>
      </m:oMath>
      <w:r w:rsidRPr="008B09AE">
        <w:rPr>
          <w:color w:val="000000" w:themeColor="text1"/>
        </w:rPr>
        <w:t xml:space="preserve">. Here we give an overview of the </w:t>
      </w:r>
      <w:r w:rsidR="00820256" w:rsidRPr="008B09AE">
        <w:rPr>
          <w:color w:val="000000" w:themeColor="text1"/>
        </w:rPr>
        <w:t xml:space="preserve">2020 </w:t>
      </w:r>
      <w:r w:rsidRPr="008B09AE">
        <w:rPr>
          <w:color w:val="000000" w:themeColor="text1"/>
        </w:rPr>
        <w:t>model and the most significant changes. More details on the modifications to each rule of the</w:t>
      </w:r>
      <w:r w:rsidR="00820256" w:rsidRPr="008B09AE">
        <w:rPr>
          <w:color w:val="000000" w:themeColor="text1"/>
        </w:rPr>
        <w:t xml:space="preserve"> 2020</w:t>
      </w:r>
      <w:r w:rsidRPr="008B09AE">
        <w:rPr>
          <w:color w:val="000000" w:themeColor="text1"/>
        </w:rPr>
        <w:t xml:space="preserve"> model can be found in Supplemental File 1.</w:t>
      </w:r>
    </w:p>
    <w:p w14:paraId="0AEEF574" w14:textId="77777777" w:rsidR="00E20B20" w:rsidRPr="00B27EF7" w:rsidRDefault="00E20B20" w:rsidP="00E20B20">
      <w:pPr>
        <w:jc w:val="both"/>
        <w:rPr>
          <w:color w:val="000000" w:themeColor="text1"/>
        </w:rPr>
      </w:pPr>
    </w:p>
    <w:p w14:paraId="0C4B1BA4" w14:textId="77777777" w:rsidR="00E20B20" w:rsidRPr="00B27EF7" w:rsidRDefault="00E20B20" w:rsidP="00E20B20">
      <w:pPr>
        <w:pStyle w:val="Heading3"/>
        <w:jc w:val="both"/>
        <w:rPr>
          <w:color w:val="000000" w:themeColor="text1"/>
        </w:rPr>
      </w:pPr>
      <w:bookmarkStart w:id="5" w:name="_dzkhctbe9nkp" w:colFirst="0" w:colLast="0"/>
      <w:bookmarkEnd w:id="5"/>
      <w:r w:rsidRPr="00B27EF7">
        <w:rPr>
          <w:color w:val="000000" w:themeColor="text1"/>
        </w:rPr>
        <w:t>Explanation of node names</w:t>
      </w:r>
    </w:p>
    <w:p w14:paraId="38701468" w14:textId="77777777" w:rsidR="00E20B20" w:rsidRPr="00B27EF7" w:rsidRDefault="00E20B20" w:rsidP="00E20B20">
      <w:pPr>
        <w:jc w:val="both"/>
        <w:rPr>
          <w:color w:val="000000" w:themeColor="text1"/>
        </w:rPr>
      </w:pPr>
    </w:p>
    <w:p w14:paraId="3ECBAB9A" w14:textId="77777777" w:rsidR="00E20B20" w:rsidRPr="008B09AE" w:rsidRDefault="00E20B20" w:rsidP="00E20B20">
      <w:pPr>
        <w:jc w:val="both"/>
        <w:rPr>
          <w:color w:val="000000" w:themeColor="text1"/>
        </w:rPr>
      </w:pPr>
      <w:r w:rsidRPr="008B09AE">
        <w:rPr>
          <w:color w:val="000000" w:themeColor="text1"/>
        </w:rPr>
        <w:t xml:space="preserve">ESR1 – the transcript of the </w:t>
      </w:r>
      <w:r w:rsidRPr="008B09AE">
        <w:rPr>
          <w:i/>
          <w:color w:val="000000" w:themeColor="text1"/>
        </w:rPr>
        <w:t>ESR1</w:t>
      </w:r>
      <w:r w:rsidRPr="008B09AE">
        <w:rPr>
          <w:color w:val="000000" w:themeColor="text1"/>
        </w:rPr>
        <w:t xml:space="preserve"> gene, which encodes the estrogen receptor.</w:t>
      </w:r>
    </w:p>
    <w:p w14:paraId="26831A46" w14:textId="77777777" w:rsidR="00E20B20" w:rsidRPr="008B09AE" w:rsidRDefault="00E20B20" w:rsidP="00E20B20">
      <w:pPr>
        <w:jc w:val="both"/>
        <w:rPr>
          <w:color w:val="000000" w:themeColor="text1"/>
        </w:rPr>
      </w:pPr>
      <w:r w:rsidRPr="008B09AE">
        <w:rPr>
          <w:color w:val="000000" w:themeColor="text1"/>
        </w:rPr>
        <w:t>ER - estrogen receptor status of the cell.</w:t>
      </w:r>
    </w:p>
    <w:p w14:paraId="0E93B56B" w14:textId="77777777" w:rsidR="00E20B20" w:rsidRPr="008B09AE" w:rsidRDefault="00E20B20" w:rsidP="00E20B20">
      <w:pPr>
        <w:jc w:val="both"/>
        <w:rPr>
          <w:color w:val="000000" w:themeColor="text1"/>
        </w:rPr>
      </w:pPr>
      <w:r w:rsidRPr="008B09AE">
        <w:rPr>
          <w:color w:val="000000" w:themeColor="text1"/>
        </w:rPr>
        <w:t>ER_transcription - ESR1's activity in regulating the transcription of its target genes. Depends on the activity of ESR1 and its cofactors.</w:t>
      </w:r>
    </w:p>
    <w:p w14:paraId="53A37002" w14:textId="77777777" w:rsidR="00E20B20" w:rsidRPr="008B09AE" w:rsidRDefault="00E20B20" w:rsidP="00E20B20">
      <w:pPr>
        <w:jc w:val="both"/>
        <w:rPr>
          <w:color w:val="000000" w:themeColor="text1"/>
        </w:rPr>
      </w:pPr>
      <w:r w:rsidRPr="008B09AE">
        <w:rPr>
          <w:color w:val="000000" w:themeColor="text1"/>
        </w:rPr>
        <w:lastRenderedPageBreak/>
        <w:t>ER_transcriptional_feedback_1 - Encodes for the biological outcome of high activity of ER_transcription and the negative interaction from ER transcription to ESR1</w:t>
      </w:r>
    </w:p>
    <w:p w14:paraId="400CE806" w14:textId="77777777" w:rsidR="00E20B20" w:rsidRPr="008B09AE" w:rsidRDefault="00E20B20" w:rsidP="00E20B20">
      <w:pPr>
        <w:jc w:val="both"/>
        <w:rPr>
          <w:color w:val="000000" w:themeColor="text1"/>
        </w:rPr>
      </w:pPr>
      <w:r w:rsidRPr="008B09AE">
        <w:rPr>
          <w:color w:val="000000" w:themeColor="text1"/>
        </w:rPr>
        <w:t>ER_transcriptional_feedback_2 - Same as ER_transcriptional_feedback_1, but has memory of its past activation through a positive self-loop.</w:t>
      </w:r>
    </w:p>
    <w:p w14:paraId="4A2E0C37" w14:textId="77777777" w:rsidR="00E20B20" w:rsidRPr="008B09AE" w:rsidRDefault="00E20B20" w:rsidP="00E20B20">
      <w:pPr>
        <w:jc w:val="both"/>
        <w:rPr>
          <w:color w:val="000000" w:themeColor="text1"/>
        </w:rPr>
      </w:pPr>
      <w:r w:rsidRPr="008B09AE">
        <w:rPr>
          <w:color w:val="000000" w:themeColor="text1"/>
        </w:rPr>
        <w:t>ER_microenvironment - Estrogen-rich cellular microenvironment. When combined with upregulation of ESR1 it can result in high activity of ER_transcription.</w:t>
      </w:r>
    </w:p>
    <w:p w14:paraId="6397723F" w14:textId="77777777" w:rsidR="00E20B20" w:rsidRPr="008B09AE" w:rsidRDefault="00E20B20" w:rsidP="00E20B20">
      <w:pPr>
        <w:jc w:val="both"/>
        <w:rPr>
          <w:color w:val="000000" w:themeColor="text1"/>
        </w:rPr>
      </w:pPr>
      <w:r w:rsidRPr="008B09AE">
        <w:rPr>
          <w:color w:val="000000" w:themeColor="text1"/>
        </w:rPr>
        <w:t>HER2- human epidermal growth factor receptor 2.</w:t>
      </w:r>
    </w:p>
    <w:p w14:paraId="4406B3AD" w14:textId="77777777" w:rsidR="00E20B20" w:rsidRPr="008B09AE" w:rsidRDefault="00E20B20" w:rsidP="00E20B20">
      <w:pPr>
        <w:jc w:val="both"/>
        <w:rPr>
          <w:color w:val="000000" w:themeColor="text1"/>
        </w:rPr>
      </w:pPr>
      <w:r w:rsidRPr="008B09AE">
        <w:rPr>
          <w:color w:val="000000" w:themeColor="text1"/>
        </w:rPr>
        <w:t>HER3 - human epidermal growth factor receptor 3.</w:t>
      </w:r>
    </w:p>
    <w:p w14:paraId="5027D70D" w14:textId="77777777" w:rsidR="00E20B20" w:rsidRPr="008B09AE" w:rsidRDefault="00E20B20" w:rsidP="00E20B20">
      <w:pPr>
        <w:jc w:val="both"/>
        <w:rPr>
          <w:color w:val="000000" w:themeColor="text1"/>
        </w:rPr>
      </w:pPr>
      <w:r w:rsidRPr="008B09AE">
        <w:rPr>
          <w:color w:val="000000" w:themeColor="text1"/>
        </w:rPr>
        <w:t>HER3_T - transcript of HER3.</w:t>
      </w:r>
    </w:p>
    <w:p w14:paraId="2371FA72" w14:textId="77777777" w:rsidR="00E20B20" w:rsidRPr="008B09AE" w:rsidRDefault="00E20B20" w:rsidP="00E20B20">
      <w:pPr>
        <w:jc w:val="both"/>
        <w:rPr>
          <w:color w:val="000000" w:themeColor="text1"/>
        </w:rPr>
      </w:pPr>
      <w:r w:rsidRPr="008B09AE">
        <w:rPr>
          <w:color w:val="000000" w:themeColor="text1"/>
        </w:rPr>
        <w:t>HER2/3 – heterodimer of HER2 and HER3.</w:t>
      </w:r>
    </w:p>
    <w:p w14:paraId="66A1B064" w14:textId="77777777" w:rsidR="00E20B20" w:rsidRPr="008B09AE" w:rsidRDefault="00E20B20" w:rsidP="00E20B20">
      <w:pPr>
        <w:jc w:val="both"/>
        <w:rPr>
          <w:color w:val="000000" w:themeColor="text1"/>
        </w:rPr>
      </w:pPr>
      <w:r w:rsidRPr="008B09AE">
        <w:rPr>
          <w:color w:val="000000" w:themeColor="text1"/>
        </w:rPr>
        <w:t>HER3_microenvironment - Neuregulin-rich cellular microenvironment. Together with upregulation of HER3 it can result in high activity of HER2/3.</w:t>
      </w:r>
    </w:p>
    <w:p w14:paraId="63F8E962" w14:textId="77777777" w:rsidR="00E20B20" w:rsidRPr="008B09AE" w:rsidRDefault="00E20B20" w:rsidP="00E20B20">
      <w:pPr>
        <w:jc w:val="both"/>
        <w:rPr>
          <w:color w:val="000000" w:themeColor="text1"/>
        </w:rPr>
      </w:pPr>
      <w:r w:rsidRPr="008B09AE">
        <w:rPr>
          <w:color w:val="000000" w:themeColor="text1"/>
        </w:rPr>
        <w:t>IGF1R – insulin-like growth factor 1 receptor (IGF1R) and insulin receptor (INSR).</w:t>
      </w:r>
    </w:p>
    <w:p w14:paraId="5F1E3482" w14:textId="77777777" w:rsidR="00E20B20" w:rsidRPr="008B09AE" w:rsidRDefault="00E20B20" w:rsidP="00E20B20">
      <w:pPr>
        <w:jc w:val="both"/>
        <w:rPr>
          <w:color w:val="000000" w:themeColor="text1"/>
        </w:rPr>
      </w:pPr>
      <w:r w:rsidRPr="008B09AE">
        <w:rPr>
          <w:color w:val="000000" w:themeColor="text1"/>
        </w:rPr>
        <w:t>IGF1R_T – transcript of IGF1R or INSR.</w:t>
      </w:r>
    </w:p>
    <w:p w14:paraId="24D14C40" w14:textId="77777777" w:rsidR="00E20B20" w:rsidRPr="008B09AE" w:rsidRDefault="00E20B20" w:rsidP="00E20B20">
      <w:pPr>
        <w:jc w:val="both"/>
        <w:rPr>
          <w:color w:val="000000" w:themeColor="text1"/>
        </w:rPr>
      </w:pPr>
      <w:r w:rsidRPr="008B09AE">
        <w:rPr>
          <w:color w:val="000000" w:themeColor="text1"/>
        </w:rPr>
        <w:t>PIP3 – phosphatidylinositol – (3,4,5) –triphosphate.</w:t>
      </w:r>
    </w:p>
    <w:p w14:paraId="0C66F1BE" w14:textId="77777777" w:rsidR="00E20B20" w:rsidRPr="008B09AE" w:rsidRDefault="00E20B20" w:rsidP="00E20B20">
      <w:pPr>
        <w:jc w:val="both"/>
        <w:rPr>
          <w:i/>
          <w:color w:val="000000" w:themeColor="text1"/>
        </w:rPr>
      </w:pPr>
      <w:r w:rsidRPr="008B09AE">
        <w:rPr>
          <w:color w:val="000000" w:themeColor="text1"/>
        </w:rPr>
        <w:t xml:space="preserve">PI3K – phosphatidylinositol – 4,5- biphosphate 3-kinase, encoded by the gene </w:t>
      </w:r>
      <w:r w:rsidRPr="008B09AE">
        <w:rPr>
          <w:i/>
          <w:color w:val="000000" w:themeColor="text1"/>
        </w:rPr>
        <w:t>PIK3CA.</w:t>
      </w:r>
    </w:p>
    <w:p w14:paraId="6454CC3B" w14:textId="77777777" w:rsidR="00E20B20" w:rsidRPr="008B09AE" w:rsidRDefault="00E20B20" w:rsidP="00E20B20">
      <w:pPr>
        <w:jc w:val="both"/>
        <w:rPr>
          <w:color w:val="000000" w:themeColor="text1"/>
        </w:rPr>
      </w:pPr>
      <w:r w:rsidRPr="008B09AE">
        <w:rPr>
          <w:color w:val="000000" w:themeColor="text1"/>
        </w:rPr>
        <w:t>PTEN – phosphatase and tensin homolog.</w:t>
      </w:r>
    </w:p>
    <w:p w14:paraId="242BD4D8" w14:textId="77777777" w:rsidR="00E20B20" w:rsidRPr="008B09AE" w:rsidRDefault="00E20B20" w:rsidP="00E20B20">
      <w:pPr>
        <w:jc w:val="both"/>
        <w:rPr>
          <w:color w:val="000000" w:themeColor="text1"/>
        </w:rPr>
      </w:pPr>
      <w:r w:rsidRPr="008B09AE">
        <w:rPr>
          <w:color w:val="000000" w:themeColor="text1"/>
        </w:rPr>
        <w:t>PTEN_T – transcript of PTEN.</w:t>
      </w:r>
    </w:p>
    <w:p w14:paraId="40911B0A" w14:textId="77777777" w:rsidR="00E20B20" w:rsidRPr="008B09AE" w:rsidRDefault="00E20B20" w:rsidP="00E20B20">
      <w:pPr>
        <w:jc w:val="both"/>
        <w:rPr>
          <w:color w:val="000000" w:themeColor="text1"/>
        </w:rPr>
      </w:pPr>
      <w:r w:rsidRPr="008B09AE">
        <w:rPr>
          <w:color w:val="000000" w:themeColor="text1"/>
        </w:rPr>
        <w:t>AKT – protein kinase B.</w:t>
      </w:r>
    </w:p>
    <w:p w14:paraId="19C72DCB" w14:textId="77777777" w:rsidR="00E20B20" w:rsidRPr="008B09AE" w:rsidRDefault="00E20B20" w:rsidP="00E20B20">
      <w:pPr>
        <w:jc w:val="both"/>
        <w:rPr>
          <w:color w:val="000000" w:themeColor="text1"/>
        </w:rPr>
      </w:pPr>
      <w:r w:rsidRPr="008B09AE">
        <w:rPr>
          <w:color w:val="000000" w:themeColor="text1"/>
        </w:rPr>
        <w:t>RAS – Ras family small GTPase.</w:t>
      </w:r>
    </w:p>
    <w:p w14:paraId="09349273" w14:textId="77777777" w:rsidR="00E20B20" w:rsidRPr="008B09AE" w:rsidRDefault="00E20B20" w:rsidP="00E20B20">
      <w:pPr>
        <w:jc w:val="both"/>
        <w:rPr>
          <w:color w:val="000000" w:themeColor="text1"/>
          <w:highlight w:val="white"/>
        </w:rPr>
      </w:pPr>
      <w:r w:rsidRPr="008B09AE">
        <w:rPr>
          <w:color w:val="000000" w:themeColor="text1"/>
        </w:rPr>
        <w:t xml:space="preserve">MAPK – merged node that includes RAF- </w:t>
      </w:r>
      <w:r w:rsidRPr="008B09AE">
        <w:rPr>
          <w:color w:val="000000" w:themeColor="text1"/>
          <w:highlight w:val="white"/>
        </w:rPr>
        <w:t xml:space="preserve">rapidly accelerated fibrosarcoma </w:t>
      </w:r>
      <w:r w:rsidRPr="008B09AE">
        <w:rPr>
          <w:color w:val="000000" w:themeColor="text1"/>
        </w:rPr>
        <w:t xml:space="preserve">kinase family, MEK - </w:t>
      </w:r>
      <w:r w:rsidRPr="008B09AE">
        <w:rPr>
          <w:color w:val="000000" w:themeColor="text1"/>
          <w:highlight w:val="white"/>
        </w:rPr>
        <w:t xml:space="preserve">mitogen-activated protein kinase kinase, and </w:t>
      </w:r>
      <w:r w:rsidRPr="008B09AE">
        <w:rPr>
          <w:color w:val="000000" w:themeColor="text1"/>
        </w:rPr>
        <w:t xml:space="preserve">ERK- </w:t>
      </w:r>
      <w:r w:rsidRPr="008B09AE">
        <w:rPr>
          <w:color w:val="000000" w:themeColor="text1"/>
          <w:highlight w:val="white"/>
        </w:rPr>
        <w:t>extracellular signal-regulated kinase.</w:t>
      </w:r>
    </w:p>
    <w:p w14:paraId="40E3071D" w14:textId="77777777" w:rsidR="00E20B20" w:rsidRPr="008B09AE" w:rsidRDefault="00E20B20" w:rsidP="00E20B20">
      <w:pPr>
        <w:jc w:val="both"/>
        <w:rPr>
          <w:color w:val="000000" w:themeColor="text1"/>
          <w:highlight w:val="white"/>
        </w:rPr>
      </w:pPr>
      <w:r w:rsidRPr="008B09AE">
        <w:rPr>
          <w:color w:val="000000" w:themeColor="text1"/>
          <w:highlight w:val="white"/>
        </w:rPr>
        <w:t>FOXA1 – forkhead box protein A1.</w:t>
      </w:r>
    </w:p>
    <w:p w14:paraId="6094CC5C" w14:textId="77777777" w:rsidR="00E20B20" w:rsidRPr="008B09AE" w:rsidRDefault="00E20B20" w:rsidP="00E20B20">
      <w:pPr>
        <w:jc w:val="both"/>
        <w:rPr>
          <w:color w:val="000000" w:themeColor="text1"/>
          <w:highlight w:val="white"/>
        </w:rPr>
      </w:pPr>
      <w:r w:rsidRPr="008B09AE">
        <w:rPr>
          <w:color w:val="000000" w:themeColor="text1"/>
          <w:highlight w:val="white"/>
        </w:rPr>
        <w:t>PBX1 – pre-B cell leukemia transcription factor 1.</w:t>
      </w:r>
    </w:p>
    <w:p w14:paraId="4770C3AE" w14:textId="77777777" w:rsidR="00E20B20" w:rsidRPr="008B09AE" w:rsidRDefault="00E20B20" w:rsidP="00E20B20">
      <w:pPr>
        <w:jc w:val="both"/>
        <w:rPr>
          <w:color w:val="000000" w:themeColor="text1"/>
        </w:rPr>
      </w:pPr>
      <w:r w:rsidRPr="008B09AE">
        <w:rPr>
          <w:color w:val="000000" w:themeColor="text1"/>
          <w:highlight w:val="white"/>
        </w:rPr>
        <w:t xml:space="preserve">KMT2D – </w:t>
      </w:r>
      <w:r w:rsidRPr="008B09AE">
        <w:rPr>
          <w:color w:val="000000" w:themeColor="text1"/>
        </w:rPr>
        <w:t>histone-lysine N methyltransferase 2D.</w:t>
      </w:r>
    </w:p>
    <w:p w14:paraId="4C0FD762" w14:textId="77777777" w:rsidR="00E20B20" w:rsidRPr="008B09AE" w:rsidRDefault="00E20B20" w:rsidP="00E20B20">
      <w:pPr>
        <w:jc w:val="both"/>
        <w:rPr>
          <w:i/>
          <w:color w:val="000000" w:themeColor="text1"/>
          <w:highlight w:val="white"/>
        </w:rPr>
      </w:pPr>
      <w:r w:rsidRPr="008B09AE">
        <w:rPr>
          <w:color w:val="000000" w:themeColor="text1"/>
          <w:highlight w:val="white"/>
        </w:rPr>
        <w:t xml:space="preserve">MYC - transcription factor encoded by the proto-oncogene </w:t>
      </w:r>
      <w:r w:rsidRPr="008B09AE">
        <w:rPr>
          <w:i/>
          <w:color w:val="000000" w:themeColor="text1"/>
          <w:highlight w:val="white"/>
        </w:rPr>
        <w:t>c-myc.</w:t>
      </w:r>
    </w:p>
    <w:p w14:paraId="16C69708" w14:textId="77777777" w:rsidR="00E20B20" w:rsidRPr="008B09AE" w:rsidRDefault="00E20B20" w:rsidP="00E20B20">
      <w:pPr>
        <w:jc w:val="both"/>
        <w:rPr>
          <w:color w:val="000000" w:themeColor="text1"/>
          <w:highlight w:val="white"/>
        </w:rPr>
      </w:pPr>
      <w:r w:rsidRPr="008B09AE">
        <w:rPr>
          <w:color w:val="000000" w:themeColor="text1"/>
          <w:highlight w:val="white"/>
        </w:rPr>
        <w:t>MYC_T - transcript of MYC.</w:t>
      </w:r>
    </w:p>
    <w:p w14:paraId="5B9CCBDF" w14:textId="77777777" w:rsidR="00E20B20" w:rsidRPr="008B09AE" w:rsidRDefault="00E20B20" w:rsidP="00E20B20">
      <w:pPr>
        <w:jc w:val="both"/>
        <w:rPr>
          <w:color w:val="000000" w:themeColor="text1"/>
          <w:highlight w:val="white"/>
        </w:rPr>
      </w:pPr>
      <w:r w:rsidRPr="008B09AE">
        <w:rPr>
          <w:color w:val="000000" w:themeColor="text1"/>
          <w:highlight w:val="white"/>
        </w:rPr>
        <w:t>MYC_targets - Genes regulated by MYC’s transcriptional regulatory activity and mTORC1-pathway-dependent protein translation</w:t>
      </w:r>
    </w:p>
    <w:p w14:paraId="29460C2B" w14:textId="77777777" w:rsidR="00E20B20" w:rsidRPr="008B09AE" w:rsidRDefault="00E20B20" w:rsidP="00E20B20">
      <w:pPr>
        <w:jc w:val="both"/>
        <w:rPr>
          <w:i/>
          <w:color w:val="000000" w:themeColor="text1"/>
          <w:highlight w:val="white"/>
        </w:rPr>
      </w:pPr>
      <w:r w:rsidRPr="008B09AE">
        <w:rPr>
          <w:color w:val="000000" w:themeColor="text1"/>
          <w:highlight w:val="white"/>
        </w:rPr>
        <w:t xml:space="preserve">PDK1 – 3-phosphoinositide dependent protein kinase 1, encoded by the gene </w:t>
      </w:r>
      <w:r w:rsidRPr="008B09AE">
        <w:rPr>
          <w:i/>
          <w:color w:val="000000" w:themeColor="text1"/>
          <w:highlight w:val="white"/>
        </w:rPr>
        <w:t>PDPK1.</w:t>
      </w:r>
    </w:p>
    <w:p w14:paraId="7F4DA582" w14:textId="77777777" w:rsidR="00E20B20" w:rsidRPr="008B09AE" w:rsidRDefault="00E20B20" w:rsidP="00E20B20">
      <w:pPr>
        <w:jc w:val="both"/>
        <w:rPr>
          <w:color w:val="000000" w:themeColor="text1"/>
          <w:highlight w:val="white"/>
        </w:rPr>
      </w:pPr>
      <w:r w:rsidRPr="008B09AE">
        <w:rPr>
          <w:color w:val="000000" w:themeColor="text1"/>
          <w:highlight w:val="white"/>
        </w:rPr>
        <w:t>PDK1_pm - 3-phosphoinositide dependent protein kinase 1 localized in the plasma membrane.</w:t>
      </w:r>
    </w:p>
    <w:p w14:paraId="60D36EE6" w14:textId="77777777" w:rsidR="00E20B20" w:rsidRPr="008B09AE" w:rsidRDefault="00E20B20" w:rsidP="00E20B20">
      <w:pPr>
        <w:jc w:val="both"/>
        <w:rPr>
          <w:color w:val="000000" w:themeColor="text1"/>
          <w:highlight w:val="white"/>
        </w:rPr>
      </w:pPr>
      <w:r w:rsidRPr="008B09AE">
        <w:rPr>
          <w:color w:val="000000" w:themeColor="text1"/>
          <w:highlight w:val="white"/>
        </w:rPr>
        <w:t>SGK1 – serum and glucocorticoid-induced kinase 1.</w:t>
      </w:r>
    </w:p>
    <w:p w14:paraId="2A52655E" w14:textId="77777777" w:rsidR="00E20B20" w:rsidRPr="008B09AE" w:rsidRDefault="00E20B20" w:rsidP="00E20B20">
      <w:pPr>
        <w:jc w:val="both"/>
        <w:rPr>
          <w:color w:val="000000" w:themeColor="text1"/>
          <w:highlight w:val="white"/>
        </w:rPr>
      </w:pPr>
      <w:r w:rsidRPr="008B09AE">
        <w:rPr>
          <w:color w:val="000000" w:themeColor="text1"/>
          <w:highlight w:val="white"/>
        </w:rPr>
        <w:t>SGK1_T – transcript of serum and glucocorticoid-induced kinase 1.</w:t>
      </w:r>
    </w:p>
    <w:p w14:paraId="36078BA2" w14:textId="77777777" w:rsidR="00E20B20" w:rsidRPr="008B09AE" w:rsidRDefault="00E20B20" w:rsidP="00E20B20">
      <w:pPr>
        <w:jc w:val="both"/>
        <w:rPr>
          <w:color w:val="000000" w:themeColor="text1"/>
          <w:highlight w:val="white"/>
        </w:rPr>
      </w:pPr>
      <w:r w:rsidRPr="008B09AE">
        <w:rPr>
          <w:color w:val="000000" w:themeColor="text1"/>
          <w:highlight w:val="white"/>
        </w:rPr>
        <w:t>PIM – Pim-1 Proto-Oncogene, Serine/Threonine Kinase (PIM1), Pim-2 Proto-Oncogene, Serine/Threonine Kinase (PIM2), and Pim-3 Proto-Oncogene, Serine/Threonine Kinase (PIM3). Denotes both the transcript of these genes and their signaling activity.</w:t>
      </w:r>
    </w:p>
    <w:p w14:paraId="5A84A070" w14:textId="77777777" w:rsidR="00E20B20" w:rsidRPr="008B09AE" w:rsidRDefault="00E20B20" w:rsidP="00E20B20">
      <w:pPr>
        <w:jc w:val="both"/>
        <w:rPr>
          <w:color w:val="000000" w:themeColor="text1"/>
        </w:rPr>
      </w:pPr>
      <w:r w:rsidRPr="008B09AE">
        <w:rPr>
          <w:color w:val="000000" w:themeColor="text1"/>
        </w:rPr>
        <w:t>CDK4/6 - cyclin dependent kinase 4/6.</w:t>
      </w:r>
    </w:p>
    <w:p w14:paraId="2D0BD9AE" w14:textId="77777777" w:rsidR="00E20B20" w:rsidRPr="008B09AE" w:rsidRDefault="00E20B20" w:rsidP="00E20B20">
      <w:pPr>
        <w:jc w:val="both"/>
        <w:rPr>
          <w:color w:val="000000" w:themeColor="text1"/>
        </w:rPr>
      </w:pPr>
      <w:r w:rsidRPr="008B09AE">
        <w:rPr>
          <w:color w:val="000000" w:themeColor="text1"/>
        </w:rPr>
        <w:t>cyclinD - cyclin D1.</w:t>
      </w:r>
    </w:p>
    <w:p w14:paraId="3AAABEC1" w14:textId="77777777" w:rsidR="00E20B20" w:rsidRPr="008B09AE" w:rsidRDefault="00E20B20" w:rsidP="00E20B20">
      <w:pPr>
        <w:jc w:val="both"/>
        <w:rPr>
          <w:color w:val="000000" w:themeColor="text1"/>
        </w:rPr>
      </w:pPr>
      <w:r w:rsidRPr="008B09AE">
        <w:rPr>
          <w:color w:val="000000" w:themeColor="text1"/>
        </w:rPr>
        <w:t>cycD/CDK4/6 – complex formed by cyclin D1 and cyclin dependent kinase 4/6.</w:t>
      </w:r>
    </w:p>
    <w:p w14:paraId="4364C416" w14:textId="77777777" w:rsidR="00E20B20" w:rsidRPr="008B09AE" w:rsidRDefault="00E20B20" w:rsidP="00E20B20">
      <w:pPr>
        <w:jc w:val="both"/>
        <w:rPr>
          <w:color w:val="000000" w:themeColor="text1"/>
        </w:rPr>
      </w:pPr>
      <w:r w:rsidRPr="008B09AE">
        <w:rPr>
          <w:color w:val="000000" w:themeColor="text1"/>
        </w:rPr>
        <w:t>cycE/CDK2 – complex formed by cyclin E and cyclin dependent kinase 2.</w:t>
      </w:r>
    </w:p>
    <w:p w14:paraId="0BC34EE5" w14:textId="77777777" w:rsidR="00E20B20" w:rsidRPr="008B09AE" w:rsidRDefault="00E20B20" w:rsidP="00E20B20">
      <w:pPr>
        <w:jc w:val="both"/>
        <w:rPr>
          <w:color w:val="000000" w:themeColor="text1"/>
        </w:rPr>
      </w:pPr>
      <w:r w:rsidRPr="008B09AE">
        <w:rPr>
          <w:color w:val="000000" w:themeColor="text1"/>
        </w:rPr>
        <w:t>cycE/CDK2_T – transcriptional status of cyclin E and cyclin dependent kinase 2.</w:t>
      </w:r>
    </w:p>
    <w:p w14:paraId="5EB664EE" w14:textId="77777777" w:rsidR="00E20B20" w:rsidRPr="008B09AE" w:rsidRDefault="00E20B20" w:rsidP="00E20B20">
      <w:pPr>
        <w:jc w:val="both"/>
        <w:rPr>
          <w:color w:val="000000" w:themeColor="text1"/>
        </w:rPr>
      </w:pPr>
      <w:r w:rsidRPr="008B09AE">
        <w:rPr>
          <w:color w:val="000000" w:themeColor="text1"/>
        </w:rPr>
        <w:t>pRb – Inactive state of retinoblastoma (Rb) family proteins, in which Rb proteins are unbound from E2F family members.</w:t>
      </w:r>
    </w:p>
    <w:p w14:paraId="164AF214" w14:textId="77777777" w:rsidR="00E20B20" w:rsidRPr="008B09AE" w:rsidRDefault="00E20B20" w:rsidP="00E20B20">
      <w:pPr>
        <w:jc w:val="both"/>
        <w:rPr>
          <w:color w:val="000000" w:themeColor="text1"/>
        </w:rPr>
      </w:pPr>
      <w:r w:rsidRPr="008B09AE">
        <w:rPr>
          <w:color w:val="000000" w:themeColor="text1"/>
        </w:rPr>
        <w:t>Rb_T - Transcript of retinoblastoma (Rb) family proteins.</w:t>
      </w:r>
    </w:p>
    <w:p w14:paraId="5435A728" w14:textId="77777777" w:rsidR="00E20B20" w:rsidRPr="008B09AE" w:rsidRDefault="00E20B20" w:rsidP="00E20B20">
      <w:pPr>
        <w:jc w:val="both"/>
        <w:rPr>
          <w:color w:val="000000" w:themeColor="text1"/>
        </w:rPr>
      </w:pPr>
      <w:r w:rsidRPr="008B09AE">
        <w:rPr>
          <w:color w:val="000000" w:themeColor="text1"/>
        </w:rPr>
        <w:t>E2F - transcriptional activator members of the E2F family.</w:t>
      </w:r>
    </w:p>
    <w:p w14:paraId="295A84B8" w14:textId="77777777" w:rsidR="00E20B20" w:rsidRPr="008B09AE" w:rsidRDefault="00E20B20" w:rsidP="00E20B20">
      <w:pPr>
        <w:jc w:val="both"/>
        <w:rPr>
          <w:i/>
          <w:color w:val="000000" w:themeColor="text1"/>
          <w:highlight w:val="white"/>
        </w:rPr>
      </w:pPr>
      <w:r w:rsidRPr="008B09AE">
        <w:rPr>
          <w:color w:val="000000" w:themeColor="text1"/>
          <w:highlight w:val="white"/>
        </w:rPr>
        <w:t xml:space="preserve">p21 – WAF1/CIP1, cyclin-dependent kinase inhibitor 1, encoded by the gene </w:t>
      </w:r>
      <w:r w:rsidRPr="008B09AE">
        <w:rPr>
          <w:i/>
          <w:color w:val="000000" w:themeColor="text1"/>
          <w:highlight w:val="white"/>
        </w:rPr>
        <w:t>CDKN1A.</w:t>
      </w:r>
    </w:p>
    <w:p w14:paraId="10A262DC" w14:textId="77777777" w:rsidR="00E20B20" w:rsidRPr="008B09AE" w:rsidRDefault="00E20B20" w:rsidP="00E20B20">
      <w:pPr>
        <w:jc w:val="both"/>
        <w:rPr>
          <w:i/>
          <w:color w:val="000000" w:themeColor="text1"/>
          <w:highlight w:val="white"/>
        </w:rPr>
      </w:pPr>
      <w:r w:rsidRPr="008B09AE">
        <w:rPr>
          <w:color w:val="000000" w:themeColor="text1"/>
          <w:highlight w:val="white"/>
        </w:rPr>
        <w:t>p21_T - Transcript of p21.</w:t>
      </w:r>
    </w:p>
    <w:p w14:paraId="40B7477F" w14:textId="77777777" w:rsidR="00E20B20" w:rsidRPr="008B09AE" w:rsidRDefault="00E20B20" w:rsidP="00E20B20">
      <w:pPr>
        <w:jc w:val="both"/>
        <w:rPr>
          <w:i/>
          <w:color w:val="000000" w:themeColor="text1"/>
          <w:highlight w:val="white"/>
        </w:rPr>
      </w:pPr>
      <w:r w:rsidRPr="008B09AE">
        <w:rPr>
          <w:color w:val="000000" w:themeColor="text1"/>
          <w:highlight w:val="white"/>
        </w:rPr>
        <w:lastRenderedPageBreak/>
        <w:t xml:space="preserve">p27- KIP1, cyclin-dependent kinase inhibitor 1B, encoded by the gene </w:t>
      </w:r>
      <w:r w:rsidRPr="008B09AE">
        <w:rPr>
          <w:i/>
          <w:color w:val="000000" w:themeColor="text1"/>
          <w:highlight w:val="white"/>
        </w:rPr>
        <w:t>CDKN1B.</w:t>
      </w:r>
    </w:p>
    <w:p w14:paraId="523EA81B" w14:textId="77777777" w:rsidR="00E20B20" w:rsidRPr="008B09AE" w:rsidRDefault="00E20B20" w:rsidP="00E20B20">
      <w:pPr>
        <w:jc w:val="both"/>
        <w:rPr>
          <w:i/>
          <w:color w:val="000000" w:themeColor="text1"/>
          <w:highlight w:val="white"/>
        </w:rPr>
      </w:pPr>
      <w:r w:rsidRPr="008B09AE">
        <w:rPr>
          <w:color w:val="000000" w:themeColor="text1"/>
          <w:highlight w:val="white"/>
        </w:rPr>
        <w:t>p27_T - Transcript of p27.</w:t>
      </w:r>
    </w:p>
    <w:p w14:paraId="48C3ECE6" w14:textId="77777777" w:rsidR="00E20B20" w:rsidRPr="008B09AE" w:rsidRDefault="00E20B20" w:rsidP="00E20B20">
      <w:pPr>
        <w:jc w:val="both"/>
        <w:rPr>
          <w:color w:val="000000" w:themeColor="text1"/>
          <w:highlight w:val="white"/>
        </w:rPr>
      </w:pPr>
      <w:r w:rsidRPr="008B09AE">
        <w:rPr>
          <w:color w:val="000000" w:themeColor="text1"/>
          <w:highlight w:val="white"/>
        </w:rPr>
        <w:t>p21/p27 - Combined activity of p21 and p27.</w:t>
      </w:r>
    </w:p>
    <w:p w14:paraId="1F640C46" w14:textId="77777777" w:rsidR="00E20B20" w:rsidRPr="008B09AE" w:rsidRDefault="00E20B20" w:rsidP="00E20B20">
      <w:pPr>
        <w:jc w:val="both"/>
        <w:rPr>
          <w:color w:val="000000" w:themeColor="text1"/>
          <w:highlight w:val="white"/>
        </w:rPr>
      </w:pPr>
      <w:r w:rsidRPr="008B09AE">
        <w:rPr>
          <w:color w:val="000000" w:themeColor="text1"/>
          <w:highlight w:val="white"/>
        </w:rPr>
        <w:t>p21/p27_T - Combined transcriptional status of p21 and p27.</w:t>
      </w:r>
    </w:p>
    <w:p w14:paraId="5C378F4D" w14:textId="77777777" w:rsidR="00E20B20" w:rsidRPr="008B09AE" w:rsidRDefault="00E20B20" w:rsidP="00E20B20">
      <w:pPr>
        <w:jc w:val="both"/>
        <w:rPr>
          <w:color w:val="000000" w:themeColor="text1"/>
        </w:rPr>
      </w:pPr>
      <w:r w:rsidRPr="008B09AE">
        <w:rPr>
          <w:color w:val="000000" w:themeColor="text1"/>
        </w:rPr>
        <w:t>mTORC1 - mechanistic target of Rapamycin complex 1.</w:t>
      </w:r>
    </w:p>
    <w:p w14:paraId="5A816DD0" w14:textId="77777777" w:rsidR="00E20B20" w:rsidRPr="008B09AE" w:rsidRDefault="00E20B20" w:rsidP="00E20B20">
      <w:pPr>
        <w:jc w:val="both"/>
        <w:rPr>
          <w:color w:val="000000" w:themeColor="text1"/>
        </w:rPr>
      </w:pPr>
      <w:r w:rsidRPr="008B09AE">
        <w:rPr>
          <w:color w:val="000000" w:themeColor="text1"/>
        </w:rPr>
        <w:t>mTORC2_pm - mechanistic target of Rapamycin complex 2 localized in the plasma membrane.</w:t>
      </w:r>
    </w:p>
    <w:p w14:paraId="325EB388" w14:textId="77777777" w:rsidR="00E20B20" w:rsidRPr="008B09AE" w:rsidRDefault="00E20B20" w:rsidP="00E20B20">
      <w:pPr>
        <w:jc w:val="both"/>
        <w:rPr>
          <w:color w:val="000000" w:themeColor="text1"/>
        </w:rPr>
      </w:pPr>
      <w:r w:rsidRPr="008B09AE">
        <w:rPr>
          <w:color w:val="000000" w:themeColor="text1"/>
        </w:rPr>
        <w:t>mTORC2 - mechanistic target of Rapamycin complex 2 not localized in the plasma membrane and possibly localized in the mitochondria.</w:t>
      </w:r>
    </w:p>
    <w:p w14:paraId="761A429E" w14:textId="77777777" w:rsidR="00E20B20" w:rsidRPr="008B09AE" w:rsidRDefault="00E20B20" w:rsidP="00E20B20">
      <w:pPr>
        <w:jc w:val="both"/>
        <w:rPr>
          <w:color w:val="000000" w:themeColor="text1"/>
        </w:rPr>
      </w:pPr>
      <w:r w:rsidRPr="008B09AE">
        <w:rPr>
          <w:color w:val="000000" w:themeColor="text1"/>
        </w:rPr>
        <w:t>TSC – tuberous sclerosis complex 1 (TSC1) and tuberous sclerosis complex 2 (TSC2).</w:t>
      </w:r>
    </w:p>
    <w:p w14:paraId="687A9BE9" w14:textId="77777777" w:rsidR="00E20B20" w:rsidRPr="008B09AE" w:rsidRDefault="00E20B20" w:rsidP="00E20B20">
      <w:pPr>
        <w:jc w:val="both"/>
        <w:rPr>
          <w:color w:val="000000" w:themeColor="text1"/>
          <w:highlight w:val="white"/>
        </w:rPr>
      </w:pPr>
      <w:r w:rsidRPr="008B09AE">
        <w:rPr>
          <w:color w:val="000000" w:themeColor="text1"/>
        </w:rPr>
        <w:t xml:space="preserve">PRAS40 - </w:t>
      </w:r>
      <w:r w:rsidRPr="008B09AE">
        <w:rPr>
          <w:color w:val="000000" w:themeColor="text1"/>
          <w:highlight w:val="white"/>
        </w:rPr>
        <w:t>proline-rich Akt substrate of 40 kDa, a component of mTORC1.</w:t>
      </w:r>
    </w:p>
    <w:p w14:paraId="42BC24DE" w14:textId="77777777" w:rsidR="00E20B20" w:rsidRPr="008B09AE" w:rsidRDefault="00E20B20" w:rsidP="00E20B20">
      <w:pPr>
        <w:jc w:val="both"/>
        <w:rPr>
          <w:color w:val="000000" w:themeColor="text1"/>
        </w:rPr>
      </w:pPr>
      <w:r w:rsidRPr="008B09AE">
        <w:rPr>
          <w:color w:val="000000" w:themeColor="text1"/>
        </w:rPr>
        <w:t>FOXO3 - forkhead box O3 protein.</w:t>
      </w:r>
    </w:p>
    <w:p w14:paraId="46DF2FB7" w14:textId="77777777" w:rsidR="00E20B20" w:rsidRPr="008B09AE" w:rsidRDefault="00E20B20" w:rsidP="00E20B20">
      <w:pPr>
        <w:jc w:val="both"/>
        <w:rPr>
          <w:color w:val="000000" w:themeColor="text1"/>
        </w:rPr>
      </w:pPr>
      <w:r w:rsidRPr="008B09AE">
        <w:rPr>
          <w:color w:val="000000" w:themeColor="text1"/>
        </w:rPr>
        <w:t>FOXO3_Ub – forkhead box O3 protein degraded through the ubiquitin proteasome pathway.</w:t>
      </w:r>
    </w:p>
    <w:p w14:paraId="7B365BDD" w14:textId="77777777" w:rsidR="00E20B20" w:rsidRPr="008B09AE" w:rsidRDefault="00E20B20" w:rsidP="00E20B20">
      <w:pPr>
        <w:jc w:val="both"/>
        <w:rPr>
          <w:color w:val="000000" w:themeColor="text1"/>
        </w:rPr>
      </w:pPr>
      <w:r w:rsidRPr="008B09AE">
        <w:rPr>
          <w:color w:val="000000" w:themeColor="text1"/>
        </w:rPr>
        <w:t>S6K – p70 ribosomal S6 kinase.</w:t>
      </w:r>
    </w:p>
    <w:p w14:paraId="6F6F2C10" w14:textId="77777777" w:rsidR="00E20B20" w:rsidRPr="008B09AE" w:rsidRDefault="00E20B20" w:rsidP="00E20B20">
      <w:pPr>
        <w:jc w:val="both"/>
        <w:rPr>
          <w:color w:val="000000" w:themeColor="text1"/>
          <w:highlight w:val="white"/>
        </w:rPr>
      </w:pPr>
      <w:r w:rsidRPr="008B09AE">
        <w:rPr>
          <w:color w:val="000000" w:themeColor="text1"/>
          <w:highlight w:val="white"/>
        </w:rPr>
        <w:t>EIF4F - eukaryotic initiation factor 4A (EIF4A), eukaryotic initiation factor 4G (EIF4G), eukaryotic translation initiation factor 4E (EIF4E), and eukaryotic translation initiation factor 4E binding protein 1 (4EBP1).</w:t>
      </w:r>
    </w:p>
    <w:p w14:paraId="16FA488B" w14:textId="77777777" w:rsidR="00E20B20" w:rsidRPr="008B09AE" w:rsidRDefault="00E20B20" w:rsidP="00E20B20">
      <w:pPr>
        <w:jc w:val="both"/>
        <w:rPr>
          <w:color w:val="000000" w:themeColor="text1"/>
          <w:highlight w:val="white"/>
        </w:rPr>
      </w:pPr>
      <w:r w:rsidRPr="008B09AE">
        <w:rPr>
          <w:color w:val="000000" w:themeColor="text1"/>
          <w:highlight w:val="white"/>
        </w:rPr>
        <w:t>Translation – processes related to ribosome translation, cap-dependent translation.</w:t>
      </w:r>
    </w:p>
    <w:p w14:paraId="1ABDB12C" w14:textId="77777777" w:rsidR="00E20B20" w:rsidRPr="008B09AE" w:rsidRDefault="00E20B20" w:rsidP="00E20B20">
      <w:pPr>
        <w:jc w:val="both"/>
        <w:rPr>
          <w:color w:val="000000" w:themeColor="text1"/>
        </w:rPr>
      </w:pPr>
      <w:r w:rsidRPr="008B09AE">
        <w:rPr>
          <w:color w:val="000000" w:themeColor="text1"/>
        </w:rPr>
        <w:t>Proliferation – Propensity of the cell to commit to cell cycle progression. Focuses on two requirements: cell cycle transition from G1 to S (through E2F), and the transcriptional status of MYC targets.</w:t>
      </w:r>
    </w:p>
    <w:p w14:paraId="7A42B30E" w14:textId="77777777" w:rsidR="00E20B20" w:rsidRPr="008B09AE" w:rsidRDefault="00E20B20" w:rsidP="00E20B20">
      <w:pPr>
        <w:jc w:val="both"/>
        <w:rPr>
          <w:color w:val="000000" w:themeColor="text1"/>
          <w:highlight w:val="white"/>
        </w:rPr>
      </w:pPr>
      <w:r w:rsidRPr="008B09AE">
        <w:rPr>
          <w:color w:val="000000" w:themeColor="text1"/>
        </w:rPr>
        <w:t xml:space="preserve">BCL2- </w:t>
      </w:r>
      <w:r w:rsidRPr="008B09AE">
        <w:rPr>
          <w:color w:val="000000" w:themeColor="text1"/>
          <w:highlight w:val="white"/>
        </w:rPr>
        <w:t>B-cell lymphoma 2 protein. Part of the anti-apoptotic BCL-2 family.</w:t>
      </w:r>
    </w:p>
    <w:p w14:paraId="6BDC2AA0" w14:textId="77777777" w:rsidR="00E20B20" w:rsidRPr="008B09AE" w:rsidRDefault="00E20B20" w:rsidP="00E20B20">
      <w:pPr>
        <w:jc w:val="both"/>
        <w:rPr>
          <w:color w:val="000000" w:themeColor="text1"/>
          <w:highlight w:val="white"/>
        </w:rPr>
      </w:pPr>
      <w:r w:rsidRPr="008B09AE">
        <w:rPr>
          <w:color w:val="000000" w:themeColor="text1"/>
          <w:highlight w:val="white"/>
        </w:rPr>
        <w:t>BCL2_T – B cell lymphoma 2 transcript</w:t>
      </w:r>
    </w:p>
    <w:p w14:paraId="785C36C8" w14:textId="77777777" w:rsidR="00E20B20" w:rsidRPr="008B09AE" w:rsidRDefault="00E20B20" w:rsidP="00E20B20">
      <w:pPr>
        <w:jc w:val="both"/>
        <w:rPr>
          <w:color w:val="000000" w:themeColor="text1"/>
          <w:highlight w:val="white"/>
        </w:rPr>
      </w:pPr>
      <w:r w:rsidRPr="008B09AE">
        <w:rPr>
          <w:color w:val="000000" w:themeColor="text1"/>
          <w:highlight w:val="white"/>
        </w:rPr>
        <w:t xml:space="preserve">MCL1 – Encoded by the gene </w:t>
      </w:r>
      <w:r w:rsidRPr="008B09AE">
        <w:rPr>
          <w:i/>
          <w:color w:val="000000" w:themeColor="text1"/>
          <w:highlight w:val="white"/>
        </w:rPr>
        <w:t>MCL1</w:t>
      </w:r>
      <w:r w:rsidRPr="008B09AE">
        <w:rPr>
          <w:color w:val="000000" w:themeColor="text1"/>
          <w:highlight w:val="white"/>
        </w:rPr>
        <w:t>. Part of the anti-apoptotic BCL-2 family.</w:t>
      </w:r>
    </w:p>
    <w:p w14:paraId="04AE7DD6" w14:textId="77777777" w:rsidR="00E20B20" w:rsidRPr="008B09AE" w:rsidRDefault="00E20B20" w:rsidP="00E20B20">
      <w:pPr>
        <w:jc w:val="both"/>
        <w:rPr>
          <w:color w:val="000000" w:themeColor="text1"/>
          <w:highlight w:val="white"/>
        </w:rPr>
      </w:pPr>
      <w:r w:rsidRPr="008B09AE">
        <w:rPr>
          <w:color w:val="000000" w:themeColor="text1"/>
          <w:highlight w:val="white"/>
        </w:rPr>
        <w:t>MCL1_T - MCL1 transcript</w:t>
      </w:r>
    </w:p>
    <w:p w14:paraId="351E32DD" w14:textId="77777777" w:rsidR="00E20B20" w:rsidRPr="008B09AE" w:rsidRDefault="00E20B20" w:rsidP="00E20B20">
      <w:pPr>
        <w:jc w:val="both"/>
        <w:rPr>
          <w:color w:val="000000" w:themeColor="text1"/>
          <w:highlight w:val="white"/>
        </w:rPr>
      </w:pPr>
      <w:r w:rsidRPr="008B09AE">
        <w:rPr>
          <w:color w:val="000000" w:themeColor="text1"/>
          <w:highlight w:val="white"/>
        </w:rPr>
        <w:t xml:space="preserve">BCLXL – B-cell lymphoma-extra large, encoded by the gene </w:t>
      </w:r>
      <w:r w:rsidRPr="008B09AE">
        <w:rPr>
          <w:i/>
          <w:color w:val="000000" w:themeColor="text1"/>
          <w:highlight w:val="white"/>
        </w:rPr>
        <w:t>BCL2L1</w:t>
      </w:r>
      <w:r w:rsidRPr="008B09AE">
        <w:rPr>
          <w:color w:val="000000" w:themeColor="text1"/>
          <w:highlight w:val="white"/>
        </w:rPr>
        <w:t>. Part of the anti-apoptotic BCL-2 family.</w:t>
      </w:r>
    </w:p>
    <w:p w14:paraId="629223FF" w14:textId="77777777" w:rsidR="00E20B20" w:rsidRPr="008B09AE" w:rsidRDefault="00E20B20" w:rsidP="00E20B20">
      <w:pPr>
        <w:jc w:val="both"/>
        <w:rPr>
          <w:color w:val="000000" w:themeColor="text1"/>
          <w:highlight w:val="white"/>
        </w:rPr>
      </w:pPr>
      <w:r w:rsidRPr="008B09AE">
        <w:rPr>
          <w:color w:val="000000" w:themeColor="text1"/>
          <w:highlight w:val="white"/>
        </w:rPr>
        <w:t>BCLXL_T - BCLXL transcript</w:t>
      </w:r>
    </w:p>
    <w:p w14:paraId="1B7BD411" w14:textId="77777777" w:rsidR="00E20B20" w:rsidRPr="008B09AE" w:rsidRDefault="00E20B20" w:rsidP="00E20B20">
      <w:pPr>
        <w:jc w:val="both"/>
        <w:rPr>
          <w:color w:val="000000" w:themeColor="text1"/>
        </w:rPr>
      </w:pPr>
      <w:r w:rsidRPr="008B09AE">
        <w:rPr>
          <w:color w:val="000000" w:themeColor="text1"/>
        </w:rPr>
        <w:t xml:space="preserve">BAD- </w:t>
      </w:r>
      <w:r w:rsidRPr="008B09AE">
        <w:rPr>
          <w:color w:val="000000" w:themeColor="text1"/>
          <w:highlight w:val="white"/>
        </w:rPr>
        <w:t xml:space="preserve">Bcl-2-associated death promoter, </w:t>
      </w:r>
      <w:r w:rsidRPr="008B09AE">
        <w:rPr>
          <w:color w:val="000000" w:themeColor="text1"/>
        </w:rPr>
        <w:t>apoptosis sensitizer family representative</w:t>
      </w:r>
    </w:p>
    <w:p w14:paraId="78834F43" w14:textId="77777777" w:rsidR="00E20B20" w:rsidRPr="008B09AE" w:rsidRDefault="00E20B20" w:rsidP="00E20B20">
      <w:pPr>
        <w:jc w:val="both"/>
        <w:rPr>
          <w:color w:val="000000" w:themeColor="text1"/>
          <w:highlight w:val="white"/>
        </w:rPr>
      </w:pPr>
      <w:r w:rsidRPr="008B09AE">
        <w:rPr>
          <w:color w:val="000000" w:themeColor="text1"/>
          <w:highlight w:val="white"/>
        </w:rPr>
        <w:t>BIM- Bcl-2-like protein 11, apoptosis activator family representative</w:t>
      </w:r>
    </w:p>
    <w:p w14:paraId="6084BB4B" w14:textId="77777777" w:rsidR="00E20B20" w:rsidRPr="008B09AE" w:rsidRDefault="00E20B20" w:rsidP="00E20B20">
      <w:pPr>
        <w:jc w:val="both"/>
        <w:rPr>
          <w:color w:val="000000" w:themeColor="text1"/>
          <w:highlight w:val="white"/>
        </w:rPr>
      </w:pPr>
      <w:r w:rsidRPr="008B09AE">
        <w:rPr>
          <w:color w:val="000000" w:themeColor="text1"/>
          <w:highlight w:val="white"/>
        </w:rPr>
        <w:t>BIM_T – transcript of BCl-2-like protein 11</w:t>
      </w:r>
    </w:p>
    <w:p w14:paraId="5F12131F" w14:textId="77777777" w:rsidR="00E20B20" w:rsidRPr="008B09AE" w:rsidRDefault="00E20B20" w:rsidP="00E20B20">
      <w:pPr>
        <w:jc w:val="both"/>
        <w:rPr>
          <w:color w:val="000000" w:themeColor="text1"/>
          <w:highlight w:val="white"/>
        </w:rPr>
      </w:pPr>
      <w:r w:rsidRPr="008B09AE">
        <w:rPr>
          <w:color w:val="000000" w:themeColor="text1"/>
          <w:highlight w:val="white"/>
        </w:rPr>
        <w:t>Apoptosis - Propensity of the cell to commit to programmed cell death.</w:t>
      </w:r>
    </w:p>
    <w:p w14:paraId="53747529" w14:textId="77777777" w:rsidR="00E20B20" w:rsidRPr="008B09AE" w:rsidRDefault="00E20B20" w:rsidP="00E20B20">
      <w:pPr>
        <w:jc w:val="both"/>
        <w:rPr>
          <w:color w:val="000000" w:themeColor="text1"/>
          <w:highlight w:val="white"/>
        </w:rPr>
      </w:pPr>
    </w:p>
    <w:p w14:paraId="35BF8B20" w14:textId="77777777" w:rsidR="00E20B20" w:rsidRPr="008B09AE" w:rsidRDefault="00E20B20" w:rsidP="00E20B20">
      <w:pPr>
        <w:jc w:val="both"/>
        <w:rPr>
          <w:color w:val="000000" w:themeColor="text1"/>
          <w:highlight w:val="white"/>
        </w:rPr>
      </w:pPr>
      <w:r w:rsidRPr="008B09AE">
        <w:rPr>
          <w:color w:val="000000" w:themeColor="text1"/>
          <w:highlight w:val="white"/>
        </w:rPr>
        <w:t>Alpelisib – Isoform-specific drug inhibitor of PI3K alpha, also known as BYL719</w:t>
      </w:r>
    </w:p>
    <w:p w14:paraId="10490D50" w14:textId="77777777" w:rsidR="00E20B20" w:rsidRPr="008B09AE" w:rsidRDefault="00E20B20" w:rsidP="00E20B20">
      <w:pPr>
        <w:jc w:val="both"/>
        <w:rPr>
          <w:color w:val="000000" w:themeColor="text1"/>
          <w:highlight w:val="white"/>
        </w:rPr>
      </w:pPr>
      <w:r w:rsidRPr="008B09AE">
        <w:rPr>
          <w:color w:val="000000" w:themeColor="text1"/>
          <w:highlight w:val="white"/>
        </w:rPr>
        <w:t>Fulvestrant – drug inhibitor of the estrogen receptor, a type of selective estrogen receptor degrader (SERD)</w:t>
      </w:r>
    </w:p>
    <w:p w14:paraId="5D9082DD" w14:textId="77777777" w:rsidR="00E20B20" w:rsidRPr="008B09AE" w:rsidRDefault="00E20B20" w:rsidP="00E20B20">
      <w:pPr>
        <w:jc w:val="both"/>
        <w:rPr>
          <w:color w:val="000000" w:themeColor="text1"/>
          <w:highlight w:val="white"/>
        </w:rPr>
      </w:pPr>
      <w:r w:rsidRPr="008B09AE">
        <w:rPr>
          <w:color w:val="000000" w:themeColor="text1"/>
          <w:highlight w:val="white"/>
        </w:rPr>
        <w:t>Neratinib – drug inhibitor of EGFR and HER2</w:t>
      </w:r>
    </w:p>
    <w:p w14:paraId="0BF93919" w14:textId="77777777" w:rsidR="00E20B20" w:rsidRPr="008B09AE" w:rsidRDefault="00E20B20" w:rsidP="00E20B20">
      <w:pPr>
        <w:jc w:val="both"/>
        <w:rPr>
          <w:color w:val="000000" w:themeColor="text1"/>
          <w:highlight w:val="white"/>
        </w:rPr>
      </w:pPr>
      <w:r w:rsidRPr="008B09AE">
        <w:rPr>
          <w:color w:val="000000" w:themeColor="text1"/>
          <w:highlight w:val="white"/>
        </w:rPr>
        <w:t>Palbociclib – drug inhibitor of CDK4/6</w:t>
      </w:r>
    </w:p>
    <w:p w14:paraId="73101B44" w14:textId="77777777" w:rsidR="00E20B20" w:rsidRPr="008B09AE" w:rsidRDefault="00E20B20" w:rsidP="00E20B20">
      <w:pPr>
        <w:jc w:val="both"/>
        <w:rPr>
          <w:color w:val="000000" w:themeColor="text1"/>
          <w:highlight w:val="white"/>
        </w:rPr>
      </w:pPr>
      <w:r w:rsidRPr="008B09AE">
        <w:rPr>
          <w:color w:val="000000" w:themeColor="text1"/>
          <w:highlight w:val="white"/>
        </w:rPr>
        <w:t>Everolimus) – mTORC1 and mTORC2 inhibitor</w:t>
      </w:r>
    </w:p>
    <w:p w14:paraId="4BF2FFD5" w14:textId="77777777" w:rsidR="00E20B20" w:rsidRPr="008B09AE" w:rsidRDefault="00E20B20" w:rsidP="00E20B20">
      <w:pPr>
        <w:jc w:val="both"/>
        <w:rPr>
          <w:color w:val="000000" w:themeColor="text1"/>
          <w:highlight w:val="white"/>
        </w:rPr>
      </w:pPr>
      <w:r w:rsidRPr="008B09AE">
        <w:rPr>
          <w:color w:val="000000" w:themeColor="text1"/>
          <w:highlight w:val="white"/>
        </w:rPr>
        <w:t>Trametinib – drug inhibitor of MAPK signaling (specifically, of MEK1 and MEK2)</w:t>
      </w:r>
    </w:p>
    <w:p w14:paraId="444D593B" w14:textId="77777777" w:rsidR="00E20B20" w:rsidRPr="008B09AE" w:rsidRDefault="00E20B20" w:rsidP="00E20B20">
      <w:pPr>
        <w:jc w:val="both"/>
        <w:rPr>
          <w:color w:val="000000" w:themeColor="text1"/>
          <w:highlight w:val="white"/>
        </w:rPr>
      </w:pPr>
      <w:r w:rsidRPr="008B09AE">
        <w:rPr>
          <w:color w:val="000000" w:themeColor="text1"/>
          <w:highlight w:val="white"/>
        </w:rPr>
        <w:t>Ipatasertib – drug inhibitor of AKT</w:t>
      </w:r>
    </w:p>
    <w:p w14:paraId="666517E1" w14:textId="77777777" w:rsidR="00E20B20" w:rsidRPr="008B09AE" w:rsidRDefault="00E20B20" w:rsidP="00E20B20">
      <w:pPr>
        <w:jc w:val="both"/>
        <w:rPr>
          <w:color w:val="000000" w:themeColor="text1"/>
          <w:highlight w:val="white"/>
        </w:rPr>
      </w:pPr>
      <w:r w:rsidRPr="008B09AE">
        <w:rPr>
          <w:color w:val="000000" w:themeColor="text1"/>
          <w:highlight w:val="white"/>
        </w:rPr>
        <w:t>S63845 - drug inhibitor of MCL1. A type of BH3 mimetic.</w:t>
      </w:r>
    </w:p>
    <w:p w14:paraId="4F51FEB6" w14:textId="77777777" w:rsidR="00E20B20" w:rsidRPr="008B09AE" w:rsidRDefault="00E20B20" w:rsidP="00E20B20">
      <w:pPr>
        <w:jc w:val="both"/>
        <w:rPr>
          <w:color w:val="000000" w:themeColor="text1"/>
          <w:highlight w:val="white"/>
        </w:rPr>
      </w:pPr>
      <w:r w:rsidRPr="008B09AE">
        <w:rPr>
          <w:color w:val="000000" w:themeColor="text1"/>
          <w:highlight w:val="white"/>
        </w:rPr>
        <w:t>Navitoclax - drug inhibitor of BCL-2 and BCL-XL. A type of BH3 mimetic.</w:t>
      </w:r>
    </w:p>
    <w:p w14:paraId="17A55C25" w14:textId="77777777" w:rsidR="00E20B20" w:rsidRPr="00B27EF7" w:rsidRDefault="00E20B20" w:rsidP="00E20B20">
      <w:pPr>
        <w:pStyle w:val="Heading3"/>
        <w:jc w:val="both"/>
        <w:rPr>
          <w:color w:val="000000" w:themeColor="text1"/>
        </w:rPr>
      </w:pPr>
      <w:bookmarkStart w:id="6" w:name="_hipn3qmchdo7" w:colFirst="0" w:colLast="0"/>
      <w:bookmarkEnd w:id="6"/>
      <w:r w:rsidRPr="00B27EF7">
        <w:rPr>
          <w:color w:val="000000" w:themeColor="text1"/>
        </w:rPr>
        <w:t>Attractors, initial conditions, and source nodes</w:t>
      </w:r>
    </w:p>
    <w:p w14:paraId="3DCCAA9E" w14:textId="77777777" w:rsidR="00E20B20" w:rsidRPr="00B27EF7" w:rsidRDefault="00E20B20" w:rsidP="00E20B20">
      <w:pPr>
        <w:jc w:val="both"/>
        <w:rPr>
          <w:i/>
          <w:color w:val="000000" w:themeColor="text1"/>
        </w:rPr>
      </w:pPr>
    </w:p>
    <w:p w14:paraId="6FBA4B8F" w14:textId="6774EB4F" w:rsidR="00E20B20" w:rsidRPr="008B09AE" w:rsidRDefault="00E20B20" w:rsidP="00E20B20">
      <w:pPr>
        <w:jc w:val="both"/>
        <w:rPr>
          <w:color w:val="000000" w:themeColor="text1"/>
        </w:rPr>
      </w:pPr>
      <w:r w:rsidRPr="008B09AE">
        <w:rPr>
          <w:color w:val="000000" w:themeColor="text1"/>
        </w:rPr>
        <w:t xml:space="preserve">The nodes of the </w:t>
      </w:r>
      <w:r w:rsidR="00B5145E" w:rsidRPr="008B09AE">
        <w:rPr>
          <w:color w:val="000000" w:themeColor="text1"/>
        </w:rPr>
        <w:t xml:space="preserve">2020 </w:t>
      </w:r>
      <w:r w:rsidRPr="008B09AE">
        <w:rPr>
          <w:color w:val="000000" w:themeColor="text1"/>
        </w:rPr>
        <w:t>model denote either the state of an intracellular entity (e.g. gene transcript, protein, signaling molecule), a biological outcome (</w:t>
      </w:r>
      <m:oMath>
        <m:r>
          <w:rPr>
            <w:rFonts w:ascii="Cambria Math" w:hAnsi="Cambria Math"/>
            <w:color w:val="000000" w:themeColor="text1"/>
            <w:highlight w:val="white"/>
          </w:rPr>
          <m:t>Apoptosis</m:t>
        </m:r>
      </m:oMath>
      <w:r w:rsidRPr="008B09AE">
        <w:rPr>
          <w:color w:val="000000" w:themeColor="text1"/>
        </w:rPr>
        <w:t xml:space="preserve">, </w:t>
      </w:r>
      <m:oMath>
        <m:r>
          <w:rPr>
            <w:rFonts w:ascii="Cambria Math" w:hAnsi="Cambria Math"/>
            <w:color w:val="000000" w:themeColor="text1"/>
            <w:highlight w:val="white"/>
          </w:rPr>
          <m:t>Proliferation</m:t>
        </m:r>
      </m:oMath>
      <w:r w:rsidRPr="008B09AE">
        <w:rPr>
          <w:color w:val="000000" w:themeColor="text1"/>
        </w:rPr>
        <w:t xml:space="preserve">, </w:t>
      </w:r>
      <m:oMath>
        <m:r>
          <w:rPr>
            <w:rFonts w:ascii="Cambria Math" w:hAnsi="Cambria Math"/>
            <w:color w:val="000000" w:themeColor="text1"/>
            <w:highlight w:val="white"/>
          </w:rPr>
          <m:t>ER_transcription_feedback_1</m:t>
        </m:r>
      </m:oMath>
      <w:r w:rsidRPr="008B09AE">
        <w:rPr>
          <w:color w:val="000000" w:themeColor="text1"/>
        </w:rPr>
        <w:t xml:space="preserve">, </w:t>
      </w:r>
      <m:oMath>
        <m:r>
          <w:rPr>
            <w:rFonts w:ascii="Cambria Math" w:hAnsi="Cambria Math"/>
            <w:color w:val="000000" w:themeColor="text1"/>
            <w:highlight w:val="white"/>
          </w:rPr>
          <m:t>ER_transcription_feedback_2</m:t>
        </m:r>
      </m:oMath>
      <w:r w:rsidRPr="008B09AE">
        <w:rPr>
          <w:color w:val="000000" w:themeColor="text1"/>
        </w:rPr>
        <w:t>), a drug (</w:t>
      </w:r>
      <m:oMath>
        <m:r>
          <w:rPr>
            <w:rFonts w:ascii="Cambria Math" w:hAnsi="Cambria Math"/>
            <w:color w:val="000000" w:themeColor="text1"/>
          </w:rPr>
          <m:t>Alpelisib</m:t>
        </m:r>
      </m:oMath>
      <w:r w:rsidRPr="008B09AE">
        <w:rPr>
          <w:color w:val="000000" w:themeColor="text1"/>
        </w:rPr>
        <w:t xml:space="preserve">, </w:t>
      </w:r>
      <m:oMath>
        <m:r>
          <w:rPr>
            <w:rFonts w:ascii="Cambria Math" w:hAnsi="Cambria Math"/>
            <w:color w:val="000000" w:themeColor="text1"/>
          </w:rPr>
          <m:t>Fulvestrant</m:t>
        </m:r>
      </m:oMath>
      <w:r w:rsidRPr="008B09AE">
        <w:rPr>
          <w:color w:val="000000" w:themeColor="text1"/>
        </w:rPr>
        <w:t xml:space="preserve">, </w:t>
      </w:r>
      <m:oMath>
        <m:r>
          <w:rPr>
            <w:rFonts w:ascii="Cambria Math" w:hAnsi="Cambria Math"/>
            <w:color w:val="000000" w:themeColor="text1"/>
          </w:rPr>
          <m:t>Neratinib</m:t>
        </m:r>
      </m:oMath>
      <w:r w:rsidRPr="008B09AE">
        <w:rPr>
          <w:color w:val="000000" w:themeColor="text1"/>
        </w:rPr>
        <w:t xml:space="preserve">, </w:t>
      </w:r>
      <m:oMath>
        <m:r>
          <w:rPr>
            <w:rFonts w:ascii="Cambria Math" w:hAnsi="Cambria Math"/>
            <w:color w:val="000000" w:themeColor="text1"/>
          </w:rPr>
          <m:t>Palbociclib</m:t>
        </m:r>
      </m:oMath>
      <w:r w:rsidRPr="008B09AE">
        <w:rPr>
          <w:color w:val="000000" w:themeColor="text1"/>
        </w:rPr>
        <w:t xml:space="preserve">, </w:t>
      </w:r>
      <m:oMath>
        <m:r>
          <w:rPr>
            <w:rFonts w:ascii="Cambria Math" w:hAnsi="Cambria Math"/>
            <w:color w:val="000000" w:themeColor="text1"/>
          </w:rPr>
          <m:t>Everolimus</m:t>
        </m:r>
      </m:oMath>
      <w:r w:rsidRPr="008B09AE">
        <w:rPr>
          <w:color w:val="000000" w:themeColor="text1"/>
        </w:rPr>
        <w:t xml:space="preserve">, </w:t>
      </w:r>
      <m:oMath>
        <m:r>
          <w:rPr>
            <w:rFonts w:ascii="Cambria Math" w:hAnsi="Cambria Math"/>
            <w:color w:val="000000" w:themeColor="text1"/>
          </w:rPr>
          <m:t>Trametinib</m:t>
        </m:r>
      </m:oMath>
      <w:r w:rsidRPr="008B09AE">
        <w:rPr>
          <w:color w:val="000000" w:themeColor="text1"/>
        </w:rPr>
        <w:t xml:space="preserve">, </w:t>
      </w:r>
      <m:oMath>
        <m:r>
          <w:rPr>
            <w:rFonts w:ascii="Cambria Math" w:hAnsi="Cambria Math"/>
            <w:color w:val="000000" w:themeColor="text1"/>
          </w:rPr>
          <m:t>Ipatasertib</m:t>
        </m:r>
      </m:oMath>
      <w:r w:rsidRPr="008B09AE">
        <w:rPr>
          <w:color w:val="000000" w:themeColor="text1"/>
        </w:rPr>
        <w:t xml:space="preserve">, </w:t>
      </w:r>
      <m:oMath>
        <m:r>
          <w:rPr>
            <w:rFonts w:ascii="Cambria Math" w:hAnsi="Cambria Math"/>
            <w:color w:val="000000" w:themeColor="text1"/>
          </w:rPr>
          <m:t>S63845</m:t>
        </m:r>
      </m:oMath>
      <w:r w:rsidRPr="008B09AE">
        <w:rPr>
          <w:color w:val="000000" w:themeColor="text1"/>
        </w:rPr>
        <w:t xml:space="preserve">, </w:t>
      </w:r>
      <m:oMath>
        <m:r>
          <w:rPr>
            <w:rFonts w:ascii="Cambria Math" w:hAnsi="Cambria Math"/>
            <w:color w:val="000000" w:themeColor="text1"/>
          </w:rPr>
          <m:t>Navitoclax</m:t>
        </m:r>
      </m:oMath>
      <w:r w:rsidRPr="008B09AE">
        <w:rPr>
          <w:color w:val="000000" w:themeColor="text1"/>
        </w:rPr>
        <w:t>), or a cellular microenvironment (</w:t>
      </w:r>
      <m:oMath>
        <m:r>
          <w:rPr>
            <w:rFonts w:ascii="Cambria Math" w:hAnsi="Cambria Math"/>
            <w:color w:val="000000" w:themeColor="text1"/>
          </w:rPr>
          <m:t>HER3_microenviroment</m:t>
        </m:r>
      </m:oMath>
      <w:r w:rsidRPr="008B09AE">
        <w:rPr>
          <w:color w:val="000000" w:themeColor="text1"/>
        </w:rPr>
        <w:t xml:space="preserve">, </w:t>
      </w:r>
      <m:oMath>
        <m:r>
          <w:rPr>
            <w:rFonts w:ascii="Cambria Math" w:hAnsi="Cambria Math"/>
            <w:color w:val="000000" w:themeColor="text1"/>
          </w:rPr>
          <m:t>ER_microenviroment</m:t>
        </m:r>
      </m:oMath>
      <w:r w:rsidRPr="008B09AE">
        <w:rPr>
          <w:color w:val="000000" w:themeColor="text1"/>
        </w:rPr>
        <w:t>).</w:t>
      </w:r>
    </w:p>
    <w:p w14:paraId="58F196D2" w14:textId="77777777" w:rsidR="00E20B20" w:rsidRPr="008B09AE" w:rsidRDefault="00E20B20" w:rsidP="00E20B20">
      <w:pPr>
        <w:jc w:val="both"/>
        <w:rPr>
          <w:color w:val="000000" w:themeColor="text1"/>
        </w:rPr>
      </w:pPr>
    </w:p>
    <w:p w14:paraId="4733E974" w14:textId="77777777" w:rsidR="00E20B20" w:rsidRPr="008B09AE" w:rsidRDefault="00E20B20" w:rsidP="00E20B20">
      <w:pPr>
        <w:jc w:val="both"/>
        <w:rPr>
          <w:color w:val="000000" w:themeColor="text1"/>
        </w:rPr>
      </w:pPr>
      <w:r w:rsidRPr="008B09AE">
        <w:rPr>
          <w:color w:val="000000" w:themeColor="text1"/>
        </w:rPr>
        <w:lastRenderedPageBreak/>
        <w:t>Nodes that are not regulated by other network nodes are called source nodes. They include all nodes denoting drugs and microenvironments, and also include 18 nodes that denote the basal transcriptional status of genes (</w:t>
      </w:r>
      <m:oMath>
        <m:r>
          <w:rPr>
            <w:rFonts w:ascii="Cambria Math" w:hAnsi="Cambria Math"/>
            <w:color w:val="000000" w:themeColor="text1"/>
          </w:rPr>
          <m:t>IGF1R_T</m:t>
        </m:r>
      </m:oMath>
      <w:r w:rsidRPr="008B09AE">
        <w:rPr>
          <w:color w:val="000000" w:themeColor="text1"/>
        </w:rPr>
        <w:t xml:space="preserve">, </w:t>
      </w:r>
      <m:oMath>
        <m:r>
          <w:rPr>
            <w:rFonts w:ascii="Cambria Math" w:hAnsi="Cambria Math"/>
            <w:color w:val="000000" w:themeColor="text1"/>
          </w:rPr>
          <m:t>HER2</m:t>
        </m:r>
      </m:oMath>
      <w:r w:rsidRPr="008B09AE">
        <w:rPr>
          <w:color w:val="000000" w:themeColor="text1"/>
        </w:rPr>
        <w:t xml:space="preserve">, </w:t>
      </w:r>
      <m:oMath>
        <m:r>
          <w:rPr>
            <w:rFonts w:ascii="Cambria Math" w:hAnsi="Cambria Math"/>
            <w:color w:val="000000" w:themeColor="text1"/>
          </w:rPr>
          <m:t>HER3_T</m:t>
        </m:r>
      </m:oMath>
      <w:r w:rsidRPr="008B09AE">
        <w:rPr>
          <w:color w:val="000000" w:themeColor="text1"/>
        </w:rPr>
        <w:t xml:space="preserve">, </w:t>
      </w:r>
      <m:oMath>
        <m:r>
          <w:rPr>
            <w:rFonts w:ascii="Cambria Math" w:hAnsi="Cambria Math"/>
            <w:color w:val="000000" w:themeColor="text1"/>
          </w:rPr>
          <m:t>PDK1</m:t>
        </m:r>
      </m:oMath>
      <w:r w:rsidRPr="008B09AE">
        <w:rPr>
          <w:color w:val="000000" w:themeColor="text1"/>
        </w:rPr>
        <w:t xml:space="preserve">, </w:t>
      </w:r>
      <m:oMath>
        <m:r>
          <w:rPr>
            <w:rFonts w:ascii="Cambria Math" w:hAnsi="Cambria Math"/>
            <w:color w:val="000000" w:themeColor="text1"/>
          </w:rPr>
          <m:t>SGK1_T</m:t>
        </m:r>
      </m:oMath>
      <w:r w:rsidRPr="008B09AE">
        <w:rPr>
          <w:color w:val="000000" w:themeColor="text1"/>
        </w:rPr>
        <w:t xml:space="preserve">, </w:t>
      </w:r>
      <m:oMath>
        <m:r>
          <w:rPr>
            <w:rFonts w:ascii="Cambria Math" w:hAnsi="Cambria Math"/>
            <w:color w:val="000000" w:themeColor="text1"/>
          </w:rPr>
          <m:t>PIM</m:t>
        </m:r>
      </m:oMath>
      <w:r w:rsidRPr="008B09AE">
        <w:rPr>
          <w:color w:val="000000" w:themeColor="text1"/>
        </w:rPr>
        <w:t xml:space="preserve">, </w:t>
      </w:r>
      <m:oMath>
        <m:r>
          <w:rPr>
            <w:rFonts w:ascii="Cambria Math" w:hAnsi="Cambria Math"/>
            <w:color w:val="000000" w:themeColor="text1"/>
          </w:rPr>
          <m:t>PTEN_T</m:t>
        </m:r>
      </m:oMath>
      <w:r w:rsidRPr="008B09AE">
        <w:rPr>
          <w:color w:val="000000" w:themeColor="text1"/>
        </w:rPr>
        <w:t xml:space="preserve">, </w:t>
      </w:r>
      <m:oMath>
        <m:r>
          <w:rPr>
            <w:rFonts w:ascii="Cambria Math" w:hAnsi="Cambria Math"/>
            <w:color w:val="000000" w:themeColor="text1"/>
          </w:rPr>
          <m:t>p27_T</m:t>
        </m:r>
      </m:oMath>
      <w:r w:rsidRPr="008B09AE">
        <w:rPr>
          <w:color w:val="000000" w:themeColor="text1"/>
        </w:rPr>
        <w:t xml:space="preserve">, </w:t>
      </w:r>
      <m:oMath>
        <m:r>
          <w:rPr>
            <w:rFonts w:ascii="Cambria Math" w:hAnsi="Cambria Math"/>
            <w:color w:val="000000" w:themeColor="text1"/>
          </w:rPr>
          <m:t>p21_T</m:t>
        </m:r>
      </m:oMath>
      <w:r w:rsidRPr="008B09AE">
        <w:rPr>
          <w:color w:val="000000" w:themeColor="text1"/>
        </w:rPr>
        <w:t xml:space="preserve">, </w:t>
      </w:r>
      <m:oMath>
        <m:r>
          <w:rPr>
            <w:rFonts w:ascii="Cambria Math" w:hAnsi="Cambria Math"/>
            <w:color w:val="000000" w:themeColor="text1"/>
          </w:rPr>
          <m:t>BIM_T</m:t>
        </m:r>
      </m:oMath>
      <w:r w:rsidRPr="008B09AE">
        <w:rPr>
          <w:color w:val="000000" w:themeColor="text1"/>
        </w:rPr>
        <w:t xml:space="preserve">, </w:t>
      </w:r>
      <m:oMath>
        <m:r>
          <w:rPr>
            <w:rFonts w:ascii="Cambria Math" w:hAnsi="Cambria Math"/>
            <w:color w:val="000000" w:themeColor="text1"/>
          </w:rPr>
          <m:t>BCL2_T</m:t>
        </m:r>
      </m:oMath>
      <w:r w:rsidRPr="008B09AE">
        <w:rPr>
          <w:color w:val="000000" w:themeColor="text1"/>
        </w:rPr>
        <w:t xml:space="preserve">, </w:t>
      </w:r>
      <m:oMath>
        <m:r>
          <w:rPr>
            <w:rFonts w:ascii="Cambria Math" w:hAnsi="Cambria Math"/>
            <w:color w:val="000000" w:themeColor="text1"/>
          </w:rPr>
          <m:t>BCLXL_T</m:t>
        </m:r>
      </m:oMath>
      <w:r w:rsidRPr="008B09AE">
        <w:rPr>
          <w:color w:val="000000" w:themeColor="text1"/>
        </w:rPr>
        <w:t xml:space="preserve">, </w:t>
      </w:r>
      <m:oMath>
        <m:r>
          <w:rPr>
            <w:rFonts w:ascii="Cambria Math" w:hAnsi="Cambria Math"/>
            <w:color w:val="000000" w:themeColor="text1"/>
          </w:rPr>
          <m:t>MCL1_T</m:t>
        </m:r>
      </m:oMath>
      <w:r w:rsidRPr="008B09AE">
        <w:rPr>
          <w:color w:val="000000" w:themeColor="text1"/>
        </w:rPr>
        <w:t xml:space="preserve">, </w:t>
      </w:r>
      <m:oMath>
        <m:r>
          <w:rPr>
            <w:rFonts w:ascii="Cambria Math" w:hAnsi="Cambria Math"/>
            <w:color w:val="000000" w:themeColor="text1"/>
          </w:rPr>
          <m:t>ER</m:t>
        </m:r>
      </m:oMath>
      <w:r w:rsidRPr="008B09AE">
        <w:rPr>
          <w:color w:val="000000" w:themeColor="text1"/>
        </w:rPr>
        <w:t xml:space="preserve">, </w:t>
      </w:r>
      <m:oMath>
        <m:r>
          <w:rPr>
            <w:rFonts w:ascii="Cambria Math" w:hAnsi="Cambria Math"/>
            <w:color w:val="000000" w:themeColor="text1"/>
          </w:rPr>
          <m:t>FOXA1</m:t>
        </m:r>
      </m:oMath>
      <w:r w:rsidRPr="008B09AE">
        <w:rPr>
          <w:color w:val="000000" w:themeColor="text1"/>
        </w:rPr>
        <w:t xml:space="preserve">, </w:t>
      </w:r>
      <m:oMath>
        <m:r>
          <w:rPr>
            <w:rFonts w:ascii="Cambria Math" w:hAnsi="Cambria Math"/>
            <w:color w:val="000000" w:themeColor="text1"/>
          </w:rPr>
          <m:t>PBX1</m:t>
        </m:r>
      </m:oMath>
      <w:r w:rsidRPr="008B09AE">
        <w:rPr>
          <w:color w:val="000000" w:themeColor="text1"/>
        </w:rPr>
        <w:t xml:space="preserve">, </w:t>
      </w:r>
      <m:oMath>
        <m:r>
          <w:rPr>
            <w:rFonts w:ascii="Cambria Math" w:hAnsi="Cambria Math"/>
            <w:color w:val="000000" w:themeColor="text1"/>
          </w:rPr>
          <m:t>MYC_T</m:t>
        </m:r>
      </m:oMath>
      <w:r w:rsidRPr="008B09AE">
        <w:rPr>
          <w:color w:val="000000" w:themeColor="text1"/>
        </w:rPr>
        <w:t xml:space="preserve">, and </w:t>
      </w:r>
      <m:oMath>
        <m:r>
          <w:rPr>
            <w:rFonts w:ascii="Cambria Math" w:hAnsi="Cambria Math"/>
            <w:color w:val="000000" w:themeColor="text1"/>
          </w:rPr>
          <m:t>Rb_T</m:t>
        </m:r>
      </m:oMath>
      <w:r w:rsidRPr="008B09AE">
        <w:rPr>
          <w:color w:val="000000" w:themeColor="text1"/>
        </w:rPr>
        <w:t>) . There are also some nodes that are only regulated by nodes denoting drugs (</w:t>
      </w:r>
      <m:oMath>
        <m:r>
          <w:rPr>
            <w:rFonts w:ascii="Cambria Math" w:hAnsi="Cambria Math"/>
            <w:color w:val="000000" w:themeColor="text1"/>
          </w:rPr>
          <m:t>CDK4/6</m:t>
        </m:r>
      </m:oMath>
      <w:r w:rsidRPr="008B09AE">
        <w:rPr>
          <w:color w:val="000000" w:themeColor="text1"/>
        </w:rPr>
        <w:t xml:space="preserve"> and </w:t>
      </w:r>
      <m:oMath>
        <m:r>
          <w:rPr>
            <w:rFonts w:ascii="Cambria Math" w:hAnsi="Cambria Math"/>
            <w:color w:val="000000" w:themeColor="text1"/>
          </w:rPr>
          <m:t>mTORC2</m:t>
        </m:r>
      </m:oMath>
      <w:r w:rsidRPr="008B09AE">
        <w:rPr>
          <w:color w:val="000000" w:themeColor="text1"/>
        </w:rPr>
        <w:t>) and which we will also refer to as source nodes.</w:t>
      </w:r>
    </w:p>
    <w:p w14:paraId="2D8FE7F3" w14:textId="77777777" w:rsidR="00E20B20" w:rsidRPr="008B09AE" w:rsidRDefault="00E20B20" w:rsidP="00E20B20">
      <w:pPr>
        <w:jc w:val="both"/>
        <w:rPr>
          <w:color w:val="000000" w:themeColor="text1"/>
        </w:rPr>
      </w:pPr>
    </w:p>
    <w:p w14:paraId="04C222D5" w14:textId="77777777" w:rsidR="00E20B20" w:rsidRPr="008B09AE" w:rsidRDefault="00E20B20" w:rsidP="00E20B20">
      <w:pPr>
        <w:jc w:val="both"/>
        <w:rPr>
          <w:color w:val="000000" w:themeColor="text1"/>
        </w:rPr>
      </w:pPr>
      <w:r w:rsidRPr="008B09AE">
        <w:rPr>
          <w:color w:val="000000" w:themeColor="text1"/>
        </w:rPr>
        <w:t xml:space="preserve">The state of the majority of these source nodes is dictated by our context of interest: ER+ </w:t>
      </w:r>
      <w:r w:rsidRPr="008B09AE">
        <w:rPr>
          <w:i/>
          <w:color w:val="000000" w:themeColor="text1"/>
        </w:rPr>
        <w:t>PIK3CA</w:t>
      </w:r>
      <w:r w:rsidRPr="008B09AE">
        <w:rPr>
          <w:color w:val="000000" w:themeColor="text1"/>
        </w:rPr>
        <w:t xml:space="preserve"> mutant breast cancer and the cell lines MCF7 and T47D. For this context and in both cell lines we have that 11 of these source nodes are active (i.e., have the node state 1; </w:t>
      </w:r>
      <m:oMath>
        <m:r>
          <w:rPr>
            <w:rFonts w:ascii="Cambria Math" w:hAnsi="Cambria Math"/>
            <w:color w:val="000000" w:themeColor="text1"/>
          </w:rPr>
          <m:t>IGF1R_T</m:t>
        </m:r>
      </m:oMath>
      <w:r w:rsidRPr="008B09AE">
        <w:rPr>
          <w:color w:val="000000" w:themeColor="text1"/>
        </w:rPr>
        <w:t xml:space="preserve">, </w:t>
      </w:r>
      <m:oMath>
        <m:r>
          <w:rPr>
            <w:rFonts w:ascii="Cambria Math" w:hAnsi="Cambria Math"/>
            <w:color w:val="000000" w:themeColor="text1"/>
          </w:rPr>
          <m:t>PTEN_T</m:t>
        </m:r>
      </m:oMath>
      <w:r w:rsidRPr="008B09AE">
        <w:rPr>
          <w:color w:val="000000" w:themeColor="text1"/>
        </w:rPr>
        <w:t xml:space="preserve">, </w:t>
      </w:r>
      <m:oMath>
        <m:r>
          <w:rPr>
            <w:rFonts w:ascii="Cambria Math" w:hAnsi="Cambria Math"/>
            <w:color w:val="000000" w:themeColor="text1"/>
          </w:rPr>
          <m:t>p27_T</m:t>
        </m:r>
      </m:oMath>
      <w:r w:rsidRPr="008B09AE">
        <w:rPr>
          <w:color w:val="000000" w:themeColor="text1"/>
        </w:rPr>
        <w:t xml:space="preserve">, </w:t>
      </w:r>
      <m:oMath>
        <m:r>
          <w:rPr>
            <w:rFonts w:ascii="Cambria Math" w:hAnsi="Cambria Math"/>
            <w:color w:val="000000" w:themeColor="text1"/>
          </w:rPr>
          <m:t>BIM_T</m:t>
        </m:r>
      </m:oMath>
      <w:r w:rsidRPr="008B09AE">
        <w:rPr>
          <w:color w:val="000000" w:themeColor="text1"/>
        </w:rPr>
        <w:t xml:space="preserve">, </w:t>
      </w:r>
      <m:oMath>
        <m:r>
          <w:rPr>
            <w:rFonts w:ascii="Cambria Math" w:hAnsi="Cambria Math"/>
            <w:color w:val="000000" w:themeColor="text1"/>
          </w:rPr>
          <m:t>MCL1_T</m:t>
        </m:r>
      </m:oMath>
      <w:r w:rsidRPr="008B09AE">
        <w:rPr>
          <w:color w:val="000000" w:themeColor="text1"/>
        </w:rPr>
        <w:t xml:space="preserve">, </w:t>
      </w:r>
      <m:oMath>
        <m:r>
          <w:rPr>
            <w:rFonts w:ascii="Cambria Math" w:hAnsi="Cambria Math"/>
            <w:color w:val="000000" w:themeColor="text1"/>
          </w:rPr>
          <m:t>ER</m:t>
        </m:r>
      </m:oMath>
      <w:r w:rsidRPr="008B09AE">
        <w:rPr>
          <w:color w:val="000000" w:themeColor="text1"/>
        </w:rPr>
        <w:t xml:space="preserve">, </w:t>
      </w:r>
      <m:oMath>
        <m:r>
          <w:rPr>
            <w:rFonts w:ascii="Cambria Math" w:hAnsi="Cambria Math"/>
            <w:color w:val="000000" w:themeColor="text1"/>
          </w:rPr>
          <m:t>FOXA1</m:t>
        </m:r>
      </m:oMath>
      <w:r w:rsidRPr="008B09AE">
        <w:rPr>
          <w:color w:val="000000" w:themeColor="text1"/>
        </w:rPr>
        <w:t xml:space="preserve">, </w:t>
      </w:r>
      <m:oMath>
        <m:r>
          <w:rPr>
            <w:rFonts w:ascii="Cambria Math" w:hAnsi="Cambria Math"/>
            <w:color w:val="000000" w:themeColor="text1"/>
          </w:rPr>
          <m:t>PBX1</m:t>
        </m:r>
      </m:oMath>
      <w:r w:rsidRPr="008B09AE">
        <w:rPr>
          <w:color w:val="000000" w:themeColor="text1"/>
        </w:rPr>
        <w:t xml:space="preserve">, </w:t>
      </w:r>
      <m:oMath>
        <m:r>
          <w:rPr>
            <w:rFonts w:ascii="Cambria Math" w:hAnsi="Cambria Math"/>
            <w:color w:val="000000" w:themeColor="text1"/>
          </w:rPr>
          <m:t>MYC_T</m:t>
        </m:r>
      </m:oMath>
      <w:r w:rsidRPr="008B09AE">
        <w:rPr>
          <w:color w:val="000000" w:themeColor="text1"/>
        </w:rPr>
        <w:t xml:space="preserve">, </w:t>
      </w:r>
      <m:oMath>
        <m:r>
          <w:rPr>
            <w:rFonts w:ascii="Cambria Math" w:hAnsi="Cambria Math"/>
            <w:color w:val="000000" w:themeColor="text1"/>
          </w:rPr>
          <m:t>CDK4/6</m:t>
        </m:r>
      </m:oMath>
      <w:r w:rsidRPr="008B09AE">
        <w:rPr>
          <w:color w:val="000000" w:themeColor="text1"/>
        </w:rPr>
        <w:t xml:space="preserve">, and </w:t>
      </w:r>
      <m:oMath>
        <m:r>
          <w:rPr>
            <w:rFonts w:ascii="Cambria Math" w:hAnsi="Cambria Math"/>
            <w:color w:val="000000" w:themeColor="text1"/>
          </w:rPr>
          <m:t>Rb_T</m:t>
        </m:r>
      </m:oMath>
      <w:r w:rsidRPr="008B09AE">
        <w:rPr>
          <w:color w:val="000000" w:themeColor="text1"/>
        </w:rPr>
        <w:t xml:space="preserve">) and 7 are inactive (i.e., have the node state 0; </w:t>
      </w:r>
      <m:oMath>
        <m:r>
          <w:rPr>
            <w:rFonts w:ascii="Cambria Math" w:hAnsi="Cambria Math"/>
            <w:color w:val="000000" w:themeColor="text1"/>
          </w:rPr>
          <m:t>PDK1</m:t>
        </m:r>
      </m:oMath>
      <w:r w:rsidRPr="008B09AE">
        <w:rPr>
          <w:color w:val="000000" w:themeColor="text1"/>
        </w:rPr>
        <w:t xml:space="preserve">, </w:t>
      </w:r>
      <m:oMath>
        <m:r>
          <w:rPr>
            <w:rFonts w:ascii="Cambria Math" w:hAnsi="Cambria Math"/>
            <w:color w:val="000000" w:themeColor="text1"/>
          </w:rPr>
          <m:t>SGK1_T</m:t>
        </m:r>
      </m:oMath>
      <w:r w:rsidRPr="008B09AE">
        <w:rPr>
          <w:color w:val="000000" w:themeColor="text1"/>
        </w:rPr>
        <w:t xml:space="preserve">, </w:t>
      </w:r>
      <m:oMath>
        <m:r>
          <w:rPr>
            <w:rFonts w:ascii="Cambria Math" w:hAnsi="Cambria Math"/>
            <w:color w:val="000000" w:themeColor="text1"/>
          </w:rPr>
          <m:t>PIM</m:t>
        </m:r>
      </m:oMath>
      <w:r w:rsidRPr="008B09AE">
        <w:rPr>
          <w:color w:val="000000" w:themeColor="text1"/>
        </w:rPr>
        <w:t xml:space="preserve">, </w:t>
      </w:r>
      <m:oMath>
        <m:r>
          <w:rPr>
            <w:rFonts w:ascii="Cambria Math" w:hAnsi="Cambria Math"/>
            <w:color w:val="000000" w:themeColor="text1"/>
          </w:rPr>
          <m:t>HER2</m:t>
        </m:r>
      </m:oMath>
      <w:r w:rsidRPr="008B09AE">
        <w:rPr>
          <w:color w:val="000000" w:themeColor="text1"/>
        </w:rPr>
        <w:t xml:space="preserve">, </w:t>
      </w:r>
      <m:oMath>
        <m:r>
          <w:rPr>
            <w:rFonts w:ascii="Cambria Math" w:hAnsi="Cambria Math"/>
            <w:color w:val="000000" w:themeColor="text1"/>
          </w:rPr>
          <m:t>HER3_T</m:t>
        </m:r>
      </m:oMath>
      <w:r w:rsidRPr="008B09AE">
        <w:rPr>
          <w:color w:val="000000" w:themeColor="text1"/>
        </w:rPr>
        <w:t xml:space="preserve">, </w:t>
      </w:r>
      <m:oMath>
        <m:r>
          <w:rPr>
            <w:rFonts w:ascii="Cambria Math" w:hAnsi="Cambria Math"/>
            <w:color w:val="000000" w:themeColor="text1"/>
          </w:rPr>
          <m:t>mTORC2</m:t>
        </m:r>
      </m:oMath>
      <w:r w:rsidRPr="008B09AE">
        <w:rPr>
          <w:color w:val="000000" w:themeColor="text1"/>
        </w:rPr>
        <w:t xml:space="preserve">, </w:t>
      </w:r>
      <m:oMath>
        <m:r>
          <w:rPr>
            <w:rFonts w:ascii="Cambria Math" w:hAnsi="Cambria Math"/>
            <w:color w:val="000000" w:themeColor="text1"/>
          </w:rPr>
          <m:t>BCL2_T</m:t>
        </m:r>
      </m:oMath>
      <w:r w:rsidRPr="008B09AE">
        <w:rPr>
          <w:color w:val="000000" w:themeColor="text1"/>
        </w:rPr>
        <w:t xml:space="preserve">). The state of </w:t>
      </w:r>
      <m:oMath>
        <m:r>
          <w:rPr>
            <w:rFonts w:ascii="Cambria Math" w:hAnsi="Cambria Math"/>
            <w:color w:val="000000" w:themeColor="text1"/>
          </w:rPr>
          <m:t>BCLXL_T</m:t>
        </m:r>
      </m:oMath>
      <w:r w:rsidRPr="008B09AE">
        <w:rPr>
          <w:color w:val="000000" w:themeColor="text1"/>
        </w:rPr>
        <w:t xml:space="preserve"> and </w:t>
      </w:r>
      <m:oMath>
        <m:r>
          <w:rPr>
            <w:rFonts w:ascii="Cambria Math" w:hAnsi="Cambria Math"/>
            <w:color w:val="000000" w:themeColor="text1"/>
          </w:rPr>
          <m:t>p21_T</m:t>
        </m:r>
      </m:oMath>
      <w:r w:rsidRPr="008B09AE">
        <w:rPr>
          <w:color w:val="000000" w:themeColor="text1"/>
        </w:rPr>
        <w:t xml:space="preserve"> is cell line-specific. The state of the source nodes denoting drugs and cellular microenvironments are set according to the treatment that is being modeled.</w:t>
      </w:r>
    </w:p>
    <w:p w14:paraId="26BEF8C8" w14:textId="77777777" w:rsidR="00E20B20" w:rsidRPr="008B09AE" w:rsidRDefault="00E20B20" w:rsidP="00E20B20">
      <w:pPr>
        <w:jc w:val="both"/>
        <w:rPr>
          <w:color w:val="000000" w:themeColor="text1"/>
        </w:rPr>
      </w:pPr>
    </w:p>
    <w:p w14:paraId="075ADB5D" w14:textId="3AF441BB" w:rsidR="00E20B20" w:rsidRPr="008B09AE" w:rsidRDefault="00E20B20" w:rsidP="00E20B20">
      <w:pPr>
        <w:jc w:val="both"/>
        <w:rPr>
          <w:color w:val="000000" w:themeColor="text1"/>
        </w:rPr>
      </w:pPr>
      <w:r w:rsidRPr="008B09AE">
        <w:rPr>
          <w:color w:val="000000" w:themeColor="text1"/>
        </w:rPr>
        <w:t>The</w:t>
      </w:r>
      <w:r w:rsidR="00B5145E" w:rsidRPr="008B09AE">
        <w:rPr>
          <w:color w:val="000000" w:themeColor="text1"/>
        </w:rPr>
        <w:t xml:space="preserve"> 2020</w:t>
      </w:r>
      <w:r w:rsidRPr="008B09AE">
        <w:rPr>
          <w:color w:val="000000" w:themeColor="text1"/>
        </w:rPr>
        <w:t xml:space="preserve"> model has 32 attractors (all of them steady states) under the selected source node states and under the inactive state </w:t>
      </w:r>
      <w:r w:rsidR="005E563F" w:rsidRPr="008B09AE">
        <w:rPr>
          <w:color w:val="000000" w:themeColor="text1"/>
        </w:rPr>
        <w:t>of</w:t>
      </w:r>
      <w:r w:rsidRPr="008B09AE">
        <w:rPr>
          <w:color w:val="000000" w:themeColor="text1"/>
        </w:rPr>
        <w:t xml:space="preserve"> all drugs and cellular microenvironments: 4 cancerous states with high survivability (</w:t>
      </w:r>
      <m:oMath>
        <m:r>
          <w:rPr>
            <w:rFonts w:ascii="Cambria Math" w:hAnsi="Cambria Math"/>
            <w:color w:val="000000" w:themeColor="text1"/>
          </w:rPr>
          <m:t>Apoptosis=0</m:t>
        </m:r>
      </m:oMath>
      <w:r w:rsidRPr="008B09AE">
        <w:rPr>
          <w:color w:val="000000" w:themeColor="text1"/>
        </w:rPr>
        <w:t>) and 28 cancerous states with low survivability (</w:t>
      </w:r>
      <m:oMath>
        <m:r>
          <w:rPr>
            <w:rFonts w:ascii="Cambria Math" w:hAnsi="Cambria Math"/>
            <w:color w:val="000000" w:themeColor="text1"/>
          </w:rPr>
          <m:t>Apoptosis=1,2,3</m:t>
        </m:r>
      </m:oMath>
      <w:r w:rsidRPr="008B09AE">
        <w:rPr>
          <w:color w:val="000000" w:themeColor="text1"/>
        </w:rPr>
        <w:t>). Each of these steady states can either be primed for apoptosis (</w:t>
      </w:r>
      <m:oMath>
        <m:r>
          <w:rPr>
            <w:rFonts w:ascii="Cambria Math" w:hAnsi="Cambria Math"/>
            <w:color w:val="000000" w:themeColor="text1"/>
          </w:rPr>
          <m:t>BIM_T=BIM=1</m:t>
        </m:r>
      </m:oMath>
      <w:r w:rsidRPr="008B09AE">
        <w:rPr>
          <w:color w:val="000000" w:themeColor="text1"/>
        </w:rPr>
        <w:t>) or unprimed (</w:t>
      </w:r>
      <m:oMath>
        <m:r>
          <w:rPr>
            <w:rFonts w:ascii="Cambria Math" w:hAnsi="Cambria Math"/>
            <w:color w:val="000000" w:themeColor="text1"/>
          </w:rPr>
          <m:t>BIM_T=BIM=0</m:t>
        </m:r>
      </m:oMath>
      <w:r w:rsidRPr="008B09AE">
        <w:rPr>
          <w:color w:val="000000" w:themeColor="text1"/>
        </w:rPr>
        <w:t xml:space="preserve">), and can have the node </w:t>
      </w:r>
      <m:oMath>
        <m:r>
          <w:rPr>
            <w:rFonts w:ascii="Cambria Math" w:hAnsi="Cambria Math"/>
            <w:color w:val="000000" w:themeColor="text1"/>
            <w:highlight w:val="white"/>
          </w:rPr>
          <m:t>ER_transcription_feedback_2</m:t>
        </m:r>
      </m:oMath>
      <w:r w:rsidRPr="008B09AE">
        <w:rPr>
          <w:color w:val="000000" w:themeColor="text1"/>
        </w:rPr>
        <w:t xml:space="preserve"> (which denotes the memory of previous activation of the negative feedback loop from </w:t>
      </w:r>
      <m:oMath>
        <m:r>
          <w:rPr>
            <w:rFonts w:ascii="Cambria Math" w:hAnsi="Cambria Math"/>
            <w:color w:val="000000" w:themeColor="text1"/>
            <w:highlight w:val="white"/>
          </w:rPr>
          <m:t>ER_transcription</m:t>
        </m:r>
      </m:oMath>
      <w:r w:rsidRPr="008B09AE">
        <w:rPr>
          <w:i/>
          <w:color w:val="000000" w:themeColor="text1"/>
        </w:rPr>
        <w:t xml:space="preserve"> </w:t>
      </w:r>
      <w:r w:rsidRPr="008B09AE">
        <w:rPr>
          <w:color w:val="000000" w:themeColor="text1"/>
        </w:rPr>
        <w:t>to</w:t>
      </w:r>
      <w:r w:rsidRPr="008B09AE">
        <w:rPr>
          <w:i/>
          <w:color w:val="000000" w:themeColor="text1"/>
        </w:rPr>
        <w:t xml:space="preserve"> </w:t>
      </w:r>
      <m:oMath>
        <m:r>
          <w:rPr>
            <w:rFonts w:ascii="Cambria Math" w:hAnsi="Cambria Math"/>
            <w:color w:val="000000" w:themeColor="text1"/>
            <w:highlight w:val="white"/>
          </w:rPr>
          <m:t>ESR1</m:t>
        </m:r>
      </m:oMath>
      <w:r w:rsidRPr="008B09AE">
        <w:rPr>
          <w:color w:val="000000" w:themeColor="text1"/>
        </w:rPr>
        <w:t xml:space="preserve">) either active or inactive. </w:t>
      </w:r>
    </w:p>
    <w:p w14:paraId="439E35EF" w14:textId="77777777" w:rsidR="00E20B20" w:rsidRPr="008B09AE" w:rsidRDefault="00E20B20" w:rsidP="00E20B20">
      <w:pPr>
        <w:jc w:val="both"/>
        <w:rPr>
          <w:color w:val="000000" w:themeColor="text1"/>
        </w:rPr>
      </w:pPr>
    </w:p>
    <w:p w14:paraId="2787DFAD" w14:textId="4E9AA092" w:rsidR="00E20B20" w:rsidRPr="008B09AE" w:rsidRDefault="005E563F" w:rsidP="00E20B20">
      <w:pPr>
        <w:jc w:val="both"/>
        <w:rPr>
          <w:color w:val="000000" w:themeColor="text1"/>
        </w:rPr>
      </w:pPr>
      <w:r w:rsidRPr="008B09AE">
        <w:rPr>
          <w:color w:val="000000" w:themeColor="text1"/>
        </w:rPr>
        <w:t>As the</w:t>
      </w:r>
      <w:r w:rsidR="00E20B20" w:rsidRPr="008B09AE">
        <w:rPr>
          <w:color w:val="000000" w:themeColor="text1"/>
        </w:rPr>
        <w:t xml:space="preserve"> initial state </w:t>
      </w:r>
      <w:r w:rsidRPr="008B09AE">
        <w:rPr>
          <w:color w:val="000000" w:themeColor="text1"/>
        </w:rPr>
        <w:t xml:space="preserve">of each </w:t>
      </w:r>
      <w:r w:rsidR="00E20B20" w:rsidRPr="008B09AE">
        <w:rPr>
          <w:color w:val="000000" w:themeColor="text1"/>
        </w:rPr>
        <w:t>simulation</w:t>
      </w:r>
      <w:r w:rsidRPr="008B09AE">
        <w:rPr>
          <w:color w:val="000000" w:themeColor="text1"/>
        </w:rPr>
        <w:t xml:space="preserve"> we randomly choose one</w:t>
      </w:r>
      <w:r w:rsidR="00E20B20" w:rsidRPr="008B09AE">
        <w:rPr>
          <w:color w:val="000000" w:themeColor="text1"/>
        </w:rPr>
        <w:t xml:space="preserve"> of the two high survivability cancerous steady states with </w:t>
      </w:r>
      <m:oMath>
        <m:r>
          <w:rPr>
            <w:rFonts w:ascii="Cambria Math" w:hAnsi="Cambria Math"/>
            <w:color w:val="000000" w:themeColor="text1"/>
            <w:highlight w:val="white"/>
          </w:rPr>
          <m:t>ER_transcription_feedback_2=0</m:t>
        </m:r>
      </m:oMath>
      <w:r w:rsidR="00E20B20" w:rsidRPr="008B09AE">
        <w:rPr>
          <w:color w:val="000000" w:themeColor="text1"/>
        </w:rPr>
        <w:t>, namely, the primed with probability 1/3 and the unprimed state with probability 2/3.</w:t>
      </w:r>
    </w:p>
    <w:p w14:paraId="229CBF20" w14:textId="09783833" w:rsidR="00E20B20" w:rsidRPr="00B27EF7" w:rsidRDefault="00E20B20" w:rsidP="00E20B20">
      <w:pPr>
        <w:pStyle w:val="Heading3"/>
        <w:jc w:val="both"/>
        <w:rPr>
          <w:color w:val="000000" w:themeColor="text1"/>
        </w:rPr>
      </w:pPr>
      <w:bookmarkStart w:id="7" w:name="_efzi9zz0zcgc" w:colFirst="0" w:colLast="0"/>
      <w:bookmarkEnd w:id="7"/>
      <w:r w:rsidRPr="00B27EF7">
        <w:rPr>
          <w:color w:val="000000" w:themeColor="text1"/>
        </w:rPr>
        <w:t>Update probability of the nodes</w:t>
      </w:r>
      <w:r w:rsidR="00A02EA1">
        <w:rPr>
          <w:color w:val="000000" w:themeColor="text1"/>
        </w:rPr>
        <w:t xml:space="preserve"> and model timescales</w:t>
      </w:r>
    </w:p>
    <w:p w14:paraId="725CE8D7" w14:textId="77777777" w:rsidR="00E20B20" w:rsidRPr="00B27EF7" w:rsidRDefault="00E20B20" w:rsidP="00E20B20">
      <w:pPr>
        <w:jc w:val="both"/>
        <w:rPr>
          <w:color w:val="000000" w:themeColor="text1"/>
        </w:rPr>
      </w:pPr>
    </w:p>
    <w:p w14:paraId="3DCE19B4" w14:textId="1256F225" w:rsidR="00A02EA1" w:rsidRPr="00A02EA1" w:rsidRDefault="00E20B20" w:rsidP="00A02EA1">
      <w:pPr>
        <w:jc w:val="both"/>
        <w:rPr>
          <w:color w:val="000000" w:themeColor="text1"/>
        </w:rPr>
      </w:pPr>
      <w:r w:rsidRPr="00B27EF7">
        <w:rPr>
          <w:color w:val="000000" w:themeColor="text1"/>
        </w:rPr>
        <w:t xml:space="preserve">The update </w:t>
      </w:r>
      <w:r w:rsidR="00547026">
        <w:rPr>
          <w:color w:val="000000" w:themeColor="text1"/>
        </w:rPr>
        <w:t>p</w:t>
      </w:r>
      <w:r w:rsidRPr="00B27EF7">
        <w:rPr>
          <w:color w:val="000000" w:themeColor="text1"/>
        </w:rPr>
        <w:t xml:space="preserve">robability of node </w:t>
      </w:r>
      <m:oMath>
        <m:r>
          <w:rPr>
            <w:rFonts w:ascii="Cambria Math" w:hAnsi="Cambria Math"/>
            <w:color w:val="000000" w:themeColor="text1"/>
          </w:rPr>
          <m:t>k</m:t>
        </m:r>
      </m:oMath>
      <w:r w:rsidRPr="00B27EF7">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k</m:t>
            </m:r>
          </m:sub>
        </m:sSub>
      </m:oMath>
      <w:r w:rsidRPr="00B27EF7">
        <w:rPr>
          <w:color w:val="000000" w:themeColor="text1"/>
        </w:rPr>
        <w:t>) depends on whether the node is categorized as a fast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fast</m:t>
            </m:r>
          </m:sub>
        </m:sSub>
      </m:oMath>
      <w:r w:rsidRPr="00B27EF7">
        <w:rPr>
          <w:color w:val="000000" w:themeColor="text1"/>
        </w:rPr>
        <w:t>) or a slow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slow</m:t>
            </m:r>
          </m:sub>
        </m:sSub>
      </m:oMath>
      <w:r w:rsidRPr="00B27EF7">
        <w:rPr>
          <w:color w:val="000000" w:themeColor="text1"/>
        </w:rPr>
        <w:t xml:space="preserve">) node. We categorize nodes into fast or slow based on whether activation of the node denotes a (fast) signaling event or a (slow) transcriptional or translational event. Following our </w:t>
      </w:r>
      <w:r w:rsidR="00820256">
        <w:rPr>
          <w:color w:val="000000" w:themeColor="text1"/>
        </w:rPr>
        <w:t>2017</w:t>
      </w:r>
      <w:r w:rsidR="00820256" w:rsidRPr="00B27EF7">
        <w:rPr>
          <w:color w:val="000000" w:themeColor="text1"/>
        </w:rPr>
        <w:t xml:space="preserve"> </w:t>
      </w:r>
      <w:r w:rsidRPr="00B27EF7">
        <w:rPr>
          <w:color w:val="000000" w:themeColor="text1"/>
        </w:rPr>
        <w:t>model</w:t>
      </w:r>
      <w:r w:rsidR="00E65535">
        <w:rPr>
          <w:color w:val="000000" w:themeColor="text1"/>
        </w:rPr>
        <w:t xml:space="preserve"> </w:t>
      </w:r>
      <w:r w:rsidR="00E65535">
        <w:rPr>
          <w:noProof/>
          <w:color w:val="000000" w:themeColor="text1"/>
        </w:rPr>
        <w:t>(</w:t>
      </w:r>
      <w:bookmarkStart w:id="8" w:name="_GoBack"/>
      <w:r w:rsidR="00E65535">
        <w:rPr>
          <w:noProof/>
          <w:color w:val="000000" w:themeColor="text1"/>
        </w:rPr>
        <w:t>1</w:t>
      </w:r>
      <w:bookmarkEnd w:id="8"/>
      <w:r w:rsidR="00E65535">
        <w:rPr>
          <w:noProof/>
          <w:color w:val="000000" w:themeColor="text1"/>
        </w:rPr>
        <w:t>)</w:t>
      </w:r>
      <w:r w:rsidRPr="00B27EF7">
        <w:rPr>
          <w:color w:val="000000" w:themeColor="text1"/>
        </w:rPr>
        <w:t>, the fast probability is chosen to be 5 times faster than the slow probability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fast</m:t>
            </m:r>
          </m:sub>
        </m:sSub>
        <m:r>
          <w:rPr>
            <w:rFonts w:ascii="Cambria Math" w:hAnsi="Cambria Math"/>
            <w:color w:val="000000" w:themeColor="text1"/>
          </w:rPr>
          <m:t xml:space="preserve">=5 </m:t>
        </m:r>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slow</m:t>
            </m:r>
          </m:sub>
        </m:sSub>
      </m:oMath>
      <w:r w:rsidRPr="00B27EF7">
        <w:rPr>
          <w:color w:val="000000" w:themeColor="text1"/>
        </w:rPr>
        <w:t>)</w:t>
      </w:r>
      <w:r w:rsidR="00A02EA1">
        <w:rPr>
          <w:color w:val="000000" w:themeColor="text1"/>
        </w:rPr>
        <w:t xml:space="preserve"> </w:t>
      </w:r>
      <w:r w:rsidR="00A02EA1" w:rsidRPr="00A02EA1">
        <w:rPr>
          <w:color w:val="000000" w:themeColor="text1"/>
        </w:rPr>
        <w:t xml:space="preserve">because we did not observe any appreciable difference in the average steady state behavior of </w:t>
      </w:r>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oMath>
      <w:r w:rsidR="00A02EA1" w:rsidRPr="00A02EA1">
        <w:rPr>
          <w:color w:val="000000" w:themeColor="text1"/>
        </w:rPr>
        <w:t xml:space="preserve"> or </w:t>
      </w:r>
      <m:oMath>
        <m:r>
          <w:rPr>
            <w:rFonts w:ascii="Cambria Math" w:hAnsi="Cambria Math"/>
            <w:color w:val="000000" w:themeColor="text1"/>
          </w:rPr>
          <m:t>Proliferatio</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norm</m:t>
            </m:r>
          </m:sub>
        </m:sSub>
      </m:oMath>
      <w:r w:rsidR="00A02EA1" w:rsidRPr="00A02EA1">
        <w:rPr>
          <w:color w:val="000000" w:themeColor="text1"/>
        </w:rPr>
        <w:t xml:space="preserve"> by further increasing the multiplicative factor beyond 5 in our model. Note that the real difference in time scales is significantly larger; ~10</w:t>
      </w:r>
      <w:r w:rsidR="00A02EA1" w:rsidRPr="00A02EA1">
        <w:rPr>
          <w:color w:val="000000" w:themeColor="text1"/>
          <w:vertAlign w:val="superscript"/>
        </w:rPr>
        <w:t>-3</w:t>
      </w:r>
      <w:r w:rsidR="00A02EA1" w:rsidRPr="00A02EA1">
        <w:rPr>
          <w:color w:val="000000" w:themeColor="text1"/>
        </w:rPr>
        <w:t>-1 s for signaling events and ~10</w:t>
      </w:r>
      <w:r w:rsidR="00A02EA1" w:rsidRPr="00A02EA1">
        <w:rPr>
          <w:color w:val="000000" w:themeColor="text1"/>
          <w:vertAlign w:val="superscript"/>
        </w:rPr>
        <w:t>1</w:t>
      </w:r>
      <w:r w:rsidR="00A02EA1" w:rsidRPr="00A02EA1">
        <w:rPr>
          <w:color w:val="000000" w:themeColor="text1"/>
        </w:rPr>
        <w:t>-10</w:t>
      </w:r>
      <w:r w:rsidR="00A02EA1" w:rsidRPr="00A02EA1">
        <w:rPr>
          <w:color w:val="000000" w:themeColor="text1"/>
          <w:vertAlign w:val="superscript"/>
        </w:rPr>
        <w:t>2</w:t>
      </w:r>
      <w:r w:rsidR="00A02EA1" w:rsidRPr="00A02EA1">
        <w:rPr>
          <w:color w:val="000000" w:themeColor="text1"/>
        </w:rPr>
        <w:t xml:space="preserve"> mins for transcriptional and translational events </w:t>
      </w:r>
      <w:r w:rsidR="00E65535">
        <w:rPr>
          <w:noProof/>
          <w:color w:val="000000" w:themeColor="text1"/>
        </w:rPr>
        <w:t>(2,3)</w:t>
      </w:r>
      <w:r w:rsidR="00E65535">
        <w:rPr>
          <w:color w:val="000000" w:themeColor="text1"/>
        </w:rPr>
        <w:t>.</w:t>
      </w:r>
    </w:p>
    <w:p w14:paraId="26BCDB6B" w14:textId="77777777" w:rsidR="00A02EA1" w:rsidRPr="00A02EA1" w:rsidRDefault="00A02EA1" w:rsidP="00A02EA1">
      <w:pPr>
        <w:jc w:val="both"/>
        <w:rPr>
          <w:color w:val="000000" w:themeColor="text1"/>
        </w:rPr>
      </w:pPr>
    </w:p>
    <w:p w14:paraId="363A6739" w14:textId="35260527" w:rsidR="00A02EA1" w:rsidRPr="00A02EA1" w:rsidRDefault="00A02EA1" w:rsidP="00A02EA1">
      <w:pPr>
        <w:jc w:val="both"/>
        <w:rPr>
          <w:color w:val="000000" w:themeColor="text1"/>
        </w:rPr>
      </w:pPr>
      <w:r w:rsidRPr="00A02EA1">
        <w:rPr>
          <w:color w:val="000000" w:themeColor="text1"/>
        </w:rPr>
        <w:t xml:space="preserve">The time unit in the model is determined by the slow nodes (i.e., the transcriptional and translational events): it is equal to the average number of time steps needed to update a slow node. Comparing the time units it takes for </w:t>
      </w:r>
      <m:oMath>
        <m:r>
          <w:rPr>
            <w:rFonts w:ascii="Cambria Math" w:hAnsi="Cambria Math"/>
            <w:color w:val="000000" w:themeColor="text1"/>
          </w:rPr>
          <m:t>ER_transcription_2</m:t>
        </m:r>
      </m:oMath>
      <w:r w:rsidRPr="00A02EA1">
        <w:rPr>
          <w:color w:val="000000" w:themeColor="text1"/>
        </w:rPr>
        <w:t xml:space="preserve"> to be upregulated in the model (~5 time units, see </w:t>
      </w:r>
      <w:r w:rsidR="00E80075">
        <w:rPr>
          <w:color w:val="000000" w:themeColor="text1"/>
        </w:rPr>
        <w:t>Supplemental</w:t>
      </w:r>
      <w:r w:rsidRPr="00A02EA1">
        <w:rPr>
          <w:color w:val="000000" w:themeColor="text1"/>
        </w:rPr>
        <w:t xml:space="preserve"> Fig. S4B) with the time observed in the MCF7 experiments in </w:t>
      </w:r>
      <w:r w:rsidR="00E65535">
        <w:rPr>
          <w:noProof/>
          <w:color w:val="000000" w:themeColor="text1"/>
        </w:rPr>
        <w:t>(4)</w:t>
      </w:r>
      <w:r w:rsidRPr="00A02EA1">
        <w:rPr>
          <w:color w:val="000000" w:themeColor="text1"/>
        </w:rPr>
        <w:t xml:space="preserve"> (~12 hours), we estimate 1 time unit in the model to be ~2-3 hours, which is consistent with the 10</w:t>
      </w:r>
      <w:r w:rsidRPr="00A02EA1">
        <w:rPr>
          <w:color w:val="000000" w:themeColor="text1"/>
          <w:vertAlign w:val="superscript"/>
        </w:rPr>
        <w:t>1</w:t>
      </w:r>
      <w:r w:rsidRPr="00A02EA1">
        <w:rPr>
          <w:color w:val="000000" w:themeColor="text1"/>
        </w:rPr>
        <w:t>-10</w:t>
      </w:r>
      <w:r w:rsidRPr="00A02EA1">
        <w:rPr>
          <w:color w:val="000000" w:themeColor="text1"/>
          <w:vertAlign w:val="superscript"/>
        </w:rPr>
        <w:t>2</w:t>
      </w:r>
      <w:r w:rsidRPr="00A02EA1">
        <w:rPr>
          <w:color w:val="000000" w:themeColor="text1"/>
        </w:rPr>
        <w:t xml:space="preserve"> mins range for transcriptional and translational events.</w:t>
      </w:r>
    </w:p>
    <w:p w14:paraId="2BD67F73" w14:textId="77777777" w:rsidR="00E20B20" w:rsidRPr="00B27EF7" w:rsidRDefault="00E20B20" w:rsidP="00E20B20">
      <w:pPr>
        <w:jc w:val="both"/>
        <w:rPr>
          <w:color w:val="000000" w:themeColor="text1"/>
        </w:rPr>
      </w:pPr>
    </w:p>
    <w:p w14:paraId="5EE4286E" w14:textId="77777777" w:rsidR="00E20B20" w:rsidRPr="00B27EF7" w:rsidRDefault="00E20B20" w:rsidP="00E20B20">
      <w:pPr>
        <w:jc w:val="both"/>
        <w:rPr>
          <w:color w:val="000000" w:themeColor="text1"/>
        </w:rPr>
      </w:pPr>
      <w:r w:rsidRPr="00B27EF7">
        <w:rPr>
          <w:color w:val="000000" w:themeColor="text1"/>
        </w:rPr>
        <w:t>The fast nodes are: AKT, BAD, cycE_CDK2, cycD_CDK4/6, pRb, EIF4F, FOXO3, HER2/3, KMT2D, MAPK, mTORC1, mTORC2_pm, p21_p27, PDK1_pm, PI3K, PIM, PTEN, PIP3, PRAS40, RAS, S6K, SGK1, Translation, TSC, ER_microenvironment, HER3_microenvironment, Alpelisib, Fulvestrant, Neratinib, Palbociclib, Everolimus, Trametinib, Ipatasertib, S63845, Navitoclax</w:t>
      </w:r>
    </w:p>
    <w:p w14:paraId="71EFF300" w14:textId="77777777" w:rsidR="00E20B20" w:rsidRPr="00B27EF7" w:rsidRDefault="00E20B20" w:rsidP="00E20B20">
      <w:pPr>
        <w:jc w:val="both"/>
        <w:rPr>
          <w:color w:val="000000" w:themeColor="text1"/>
        </w:rPr>
      </w:pPr>
    </w:p>
    <w:p w14:paraId="1D4A4E8C" w14:textId="6C5C49FC" w:rsidR="00E20B20" w:rsidRDefault="00E20B20" w:rsidP="00E20B20">
      <w:pPr>
        <w:jc w:val="both"/>
        <w:rPr>
          <w:color w:val="000000" w:themeColor="text1"/>
        </w:rPr>
      </w:pPr>
      <w:r w:rsidRPr="00B27EF7">
        <w:rPr>
          <w:color w:val="000000" w:themeColor="text1"/>
        </w:rPr>
        <w:lastRenderedPageBreak/>
        <w:t>The slow nodes are: BIM, BIM_T, BCL2, BCL2_T, BCLXL, BCLXL_T, MCL1, MCL1_T, HER2, HER3, HER3_T, cycE_CDK2_T, IGF1R, IGF1R_T, ER, ESR1, FOXA1, PBX1, ER_transcription, cyclinD, CDK46, Rb_T, E2F, p27_T, p21_T, p21_p27_T, SGK1_T, PDK1, ER, mTORC2, FOXO3_Ub, Apoptosis, Proliferation, MYC, MYC_T, MYC_targets, ER_transcription_feedback_1, ER_transcription_feedback_2, PTEN_T.</w:t>
      </w:r>
    </w:p>
    <w:p w14:paraId="2B8F375E" w14:textId="304BDD80" w:rsidR="00A02EA1" w:rsidRDefault="00A02EA1" w:rsidP="00E20B20">
      <w:pPr>
        <w:jc w:val="both"/>
        <w:rPr>
          <w:color w:val="000000" w:themeColor="text1"/>
        </w:rPr>
      </w:pPr>
    </w:p>
    <w:p w14:paraId="086F137A" w14:textId="5B43663C" w:rsidR="00A02EA1" w:rsidRPr="00A02EA1" w:rsidRDefault="00A02EA1" w:rsidP="00A02EA1">
      <w:pPr>
        <w:jc w:val="both"/>
        <w:rPr>
          <w:color w:val="000000" w:themeColor="text1"/>
        </w:rPr>
      </w:pPr>
      <w:r w:rsidRPr="00A02EA1">
        <w:rPr>
          <w:color w:val="000000" w:themeColor="text1"/>
        </w:rPr>
        <w:t>The use of only two update probabilities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fast</m:t>
            </m:r>
          </m:sub>
        </m:sSub>
      </m:oMath>
      <w:r w:rsidRPr="00A02EA1">
        <w:rPr>
          <w:color w:val="000000" w:themeColor="text1"/>
        </w:rPr>
        <w:t xml:space="preserve"> and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slow</m:t>
            </m:r>
          </m:sub>
        </m:sSub>
      </m:oMath>
      <w:r w:rsidRPr="00A02EA1">
        <w:rPr>
          <w:color w:val="000000" w:themeColor="text1"/>
        </w:rPr>
        <w:t>) does not fully capture the heterogeneous timescales of these processes, and is meant to be a simple approximation. We do not have the timecourse experimental data nor a good methodology to infer the update probabilities, and this was the reason for using only two timescales. It is important to note that, even though the update probabilities are fixed in the model, the stochasticity of the</w:t>
      </w:r>
      <w:r w:rsidR="002D48AA">
        <w:rPr>
          <w:color w:val="000000" w:themeColor="text1"/>
        </w:rPr>
        <w:t xml:space="preserve"> general</w:t>
      </w:r>
      <w:r w:rsidRPr="00A02EA1">
        <w:rPr>
          <w:color w:val="000000" w:themeColor="text1"/>
        </w:rPr>
        <w:t xml:space="preserve"> asynchronous updating scheme</w:t>
      </w:r>
      <w:r w:rsidR="00E65535">
        <w:rPr>
          <w:color w:val="000000" w:themeColor="text1"/>
        </w:rPr>
        <w:t xml:space="preserve"> </w:t>
      </w:r>
      <w:r w:rsidR="00E65535">
        <w:rPr>
          <w:noProof/>
          <w:color w:val="000000" w:themeColor="text1"/>
        </w:rPr>
        <w:t>(5,6)</w:t>
      </w:r>
      <w:r w:rsidR="002D48AA">
        <w:rPr>
          <w:color w:val="000000" w:themeColor="text1"/>
        </w:rPr>
        <w:t xml:space="preserve"> </w:t>
      </w:r>
      <w:r w:rsidRPr="00A02EA1">
        <w:rPr>
          <w:color w:val="000000" w:themeColor="text1"/>
        </w:rPr>
        <w:t>makes sure that each simulation samples multiple update orders. These update orders are what give rise to the probability of the system to converge to different attractors. In general, the probabilistic basin of attraction of an attractor can depend weakly or strongly on the update probabilities of a node.</w:t>
      </w:r>
    </w:p>
    <w:p w14:paraId="284AD35D" w14:textId="77777777" w:rsidR="00A02EA1" w:rsidRPr="00A02EA1" w:rsidRDefault="00A02EA1" w:rsidP="00A02EA1">
      <w:pPr>
        <w:jc w:val="both"/>
        <w:rPr>
          <w:color w:val="000000" w:themeColor="text1"/>
        </w:rPr>
      </w:pPr>
    </w:p>
    <w:p w14:paraId="697D54DC" w14:textId="05AB1069" w:rsidR="00A02EA1" w:rsidRPr="00B27EF7" w:rsidRDefault="00A02EA1" w:rsidP="00A02EA1">
      <w:pPr>
        <w:jc w:val="both"/>
        <w:rPr>
          <w:color w:val="000000" w:themeColor="text1"/>
        </w:rPr>
      </w:pPr>
      <w:r w:rsidRPr="00A02EA1">
        <w:rPr>
          <w:color w:val="000000" w:themeColor="text1"/>
        </w:rPr>
        <w:t>In a Jupyter Notebook included in the GitHub repository of the model (</w:t>
      </w:r>
      <w:r w:rsidRPr="0094559C">
        <w:t>https://github.com/jgtz/BreastCancerModelv2</w:t>
      </w:r>
      <w:r w:rsidRPr="00A02EA1">
        <w:rPr>
          <w:color w:val="000000" w:themeColor="text1"/>
        </w:rPr>
        <w:t xml:space="preserve">, </w:t>
      </w:r>
      <w:r w:rsidRPr="00A02EA1">
        <w:rPr>
          <w:i/>
          <w:color w:val="000000" w:themeColor="text1"/>
        </w:rPr>
        <w:t>BreastCancerModelv2/Jupyter notebook/Modified Update Probabilities.ipynb</w:t>
      </w:r>
      <w:r w:rsidRPr="00A02EA1">
        <w:rPr>
          <w:color w:val="000000" w:themeColor="text1"/>
        </w:rPr>
        <w:t xml:space="preserve">), we explore the effect of adding a third timescale (5x slower than the slow timescale) for the </w:t>
      </w:r>
      <m:oMath>
        <m:r>
          <w:rPr>
            <w:rFonts w:ascii="Cambria Math" w:hAnsi="Cambria Math"/>
            <w:color w:val="000000" w:themeColor="text1"/>
          </w:rPr>
          <m:t>Apoptosis</m:t>
        </m:r>
      </m:oMath>
      <w:r w:rsidRPr="00A02EA1">
        <w:rPr>
          <w:color w:val="000000" w:themeColor="text1"/>
        </w:rPr>
        <w:t xml:space="preserve">, </w:t>
      </w:r>
      <m:oMath>
        <m:r>
          <w:rPr>
            <w:rFonts w:ascii="Cambria Math" w:hAnsi="Cambria Math"/>
            <w:color w:val="000000" w:themeColor="text1"/>
          </w:rPr>
          <m:t>Proliferation</m:t>
        </m:r>
      </m:oMath>
      <w:r w:rsidRPr="00A02EA1">
        <w:rPr>
          <w:color w:val="000000" w:themeColor="text1"/>
        </w:rPr>
        <w:t xml:space="preserve">, </w:t>
      </w:r>
      <m:oMath>
        <m:r>
          <w:rPr>
            <w:rFonts w:ascii="Cambria Math" w:hAnsi="Cambria Math"/>
            <w:color w:val="000000" w:themeColor="text1"/>
          </w:rPr>
          <m:t>ER_transcription_feedback_1</m:t>
        </m:r>
      </m:oMath>
      <w:r w:rsidRPr="00A02EA1">
        <w:rPr>
          <w:color w:val="000000" w:themeColor="text1"/>
        </w:rPr>
        <w:t xml:space="preserve">, and </w:t>
      </w:r>
      <m:oMath>
        <m:r>
          <w:rPr>
            <w:rFonts w:ascii="Cambria Math" w:hAnsi="Cambria Math"/>
            <w:color w:val="000000" w:themeColor="text1"/>
          </w:rPr>
          <m:t>ER_transcription_feedback_2</m:t>
        </m:r>
      </m:oMath>
      <w:r w:rsidRPr="00A02EA1">
        <w:rPr>
          <w:color w:val="000000" w:themeColor="text1"/>
        </w:rPr>
        <w:t xml:space="preserve"> nodes. We do this for the MCF7-specific model and the cases of no perturbation, alpelisib, alpelisib + s63845, alpelisib + FOXO3 KD, alpelisib + RB KD, and alpelisib + p21/p27 KD. In all of these cases, the average </w:t>
      </w:r>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oMath>
      <w:r w:rsidRPr="00A02EA1">
        <w:rPr>
          <w:color w:val="000000" w:themeColor="text1"/>
        </w:rPr>
        <w:t xml:space="preserve"> and </w:t>
      </w:r>
      <m:oMath>
        <m:r>
          <w:rPr>
            <w:rFonts w:ascii="Cambria Math" w:hAnsi="Cambria Math"/>
            <w:color w:val="000000" w:themeColor="text1"/>
          </w:rPr>
          <m:t>Proliferatio</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norm</m:t>
            </m:r>
          </m:sub>
        </m:sSub>
      </m:oMath>
      <w:r w:rsidRPr="00A02EA1">
        <w:rPr>
          <w:color w:val="000000" w:themeColor="text1"/>
        </w:rPr>
        <w:t xml:space="preserve"> for the case with 3 timescales was almost identical to the case in which only 2 timescales were used, and the differences were within the range expected from the standard error of the mean. For the case where 3 timescales were used, the simulation takes a longer time to reach a steady state (from ~20 time units to ~50 time units), as expected from the inclusion of a slower timescale. A more detailed exploration of the update probabilities is beyond the scope of the current work</w:t>
      </w:r>
    </w:p>
    <w:p w14:paraId="46B41AF7" w14:textId="77777777" w:rsidR="00E20B20" w:rsidRPr="00B27EF7" w:rsidRDefault="00E20B20" w:rsidP="00E20B20">
      <w:pPr>
        <w:jc w:val="both"/>
        <w:rPr>
          <w:i/>
          <w:color w:val="000000" w:themeColor="text1"/>
        </w:rPr>
      </w:pPr>
    </w:p>
    <w:p w14:paraId="067B41DD" w14:textId="77777777" w:rsidR="00E20B20" w:rsidRPr="00B27EF7" w:rsidRDefault="00E20B20" w:rsidP="00E20B20">
      <w:pPr>
        <w:pStyle w:val="Heading3"/>
        <w:jc w:val="both"/>
        <w:rPr>
          <w:color w:val="000000" w:themeColor="text1"/>
        </w:rPr>
      </w:pPr>
      <w:bookmarkStart w:id="9" w:name="_vxsekvswomir" w:colFirst="0" w:colLast="0"/>
      <w:bookmarkEnd w:id="9"/>
      <w:r w:rsidRPr="00B27EF7">
        <w:rPr>
          <w:color w:val="000000" w:themeColor="text1"/>
        </w:rPr>
        <w:t>Normalized value of Apoptosis and Proliferation (</w:t>
      </w:r>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oMath>
      <w:r w:rsidRPr="00B27EF7">
        <w:rPr>
          <w:color w:val="000000" w:themeColor="text1"/>
        </w:rPr>
        <w:t xml:space="preserve"> and </w:t>
      </w:r>
      <m:oMath>
        <m:r>
          <w:rPr>
            <w:rFonts w:ascii="Cambria Math" w:hAnsi="Cambria Math"/>
            <w:color w:val="000000" w:themeColor="text1"/>
          </w:rPr>
          <m:t>Proliferatio</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norm</m:t>
            </m:r>
          </m:sub>
        </m:sSub>
      </m:oMath>
      <w:r w:rsidRPr="00B27EF7">
        <w:rPr>
          <w:color w:val="000000" w:themeColor="text1"/>
        </w:rPr>
        <w:t>)</w:t>
      </w:r>
    </w:p>
    <w:p w14:paraId="419A5D61" w14:textId="77777777" w:rsidR="00E20B20" w:rsidRPr="00B27EF7" w:rsidRDefault="00E20B20" w:rsidP="00E20B20">
      <w:pPr>
        <w:jc w:val="both"/>
        <w:rPr>
          <w:color w:val="000000" w:themeColor="text1"/>
        </w:rPr>
      </w:pPr>
    </w:p>
    <w:p w14:paraId="59FD1E84" w14:textId="77777777" w:rsidR="00E20B20" w:rsidRPr="00B27EF7" w:rsidRDefault="00E20B20" w:rsidP="00E20B20">
      <w:pPr>
        <w:jc w:val="both"/>
        <w:rPr>
          <w:color w:val="000000" w:themeColor="text1"/>
        </w:rPr>
      </w:pPr>
      <w:r w:rsidRPr="00B27EF7">
        <w:rPr>
          <w:color w:val="000000" w:themeColor="text1"/>
        </w:rPr>
        <w:t xml:space="preserve">The nodes </w:t>
      </w:r>
      <m:oMath>
        <m:r>
          <w:rPr>
            <w:rFonts w:ascii="Cambria Math" w:hAnsi="Cambria Math"/>
            <w:color w:val="000000" w:themeColor="text1"/>
          </w:rPr>
          <m:t>Apoptosis</m:t>
        </m:r>
      </m:oMath>
      <w:r w:rsidRPr="00B27EF7">
        <w:rPr>
          <w:color w:val="000000" w:themeColor="text1"/>
        </w:rPr>
        <w:t xml:space="preserve"> and </w:t>
      </w:r>
      <m:oMath>
        <m:r>
          <w:rPr>
            <w:rFonts w:ascii="Cambria Math" w:hAnsi="Cambria Math"/>
            <w:color w:val="000000" w:themeColor="text1"/>
          </w:rPr>
          <m:t>Proliferation</m:t>
        </m:r>
      </m:oMath>
      <w:r w:rsidRPr="00B27EF7">
        <w:rPr>
          <w:color w:val="000000" w:themeColor="text1"/>
        </w:rPr>
        <w:t xml:space="preserve"> denote the propensity of a cell to commit to programmed cell death and cell cycle progression, respectively. </w:t>
      </w:r>
      <m:oMath>
        <m:r>
          <w:rPr>
            <w:rFonts w:ascii="Cambria Math" w:hAnsi="Cambria Math"/>
            <w:color w:val="000000" w:themeColor="text1"/>
          </w:rPr>
          <m:t>Apoptosis</m:t>
        </m:r>
      </m:oMath>
      <w:r w:rsidRPr="00B27EF7">
        <w:rPr>
          <w:color w:val="000000" w:themeColor="text1"/>
        </w:rPr>
        <w:t xml:space="preserve"> and </w:t>
      </w:r>
      <m:oMath>
        <m:r>
          <w:rPr>
            <w:rFonts w:ascii="Cambria Math" w:hAnsi="Cambria Math"/>
            <w:color w:val="000000" w:themeColor="text1"/>
          </w:rPr>
          <m:t>Proliferation</m:t>
        </m:r>
      </m:oMath>
      <w:r w:rsidRPr="00B27EF7">
        <w:rPr>
          <w:color w:val="000000" w:themeColor="text1"/>
        </w:rPr>
        <w:t xml:space="preserve"> are multi-level nodes and each of them can take the discrete values 0, 1, 2, or 3. To facilitate the interpretation of the state of the nodes and weigh differently each of the states, we use the normalized variables </w:t>
      </w:r>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oMath>
      <w:r w:rsidRPr="00B27EF7">
        <w:rPr>
          <w:color w:val="000000" w:themeColor="text1"/>
        </w:rPr>
        <w:t xml:space="preserve"> and </w:t>
      </w:r>
      <m:oMath>
        <m:r>
          <w:rPr>
            <w:rFonts w:ascii="Cambria Math" w:hAnsi="Cambria Math"/>
            <w:color w:val="000000" w:themeColor="text1"/>
          </w:rPr>
          <m:t>Proliferatio</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norm</m:t>
            </m:r>
          </m:sub>
        </m:sSub>
      </m:oMath>
      <w:r w:rsidRPr="00B27EF7">
        <w:rPr>
          <w:color w:val="000000" w:themeColor="text1"/>
        </w:rPr>
        <w:t>,</w:t>
      </w:r>
    </w:p>
    <w:p w14:paraId="5E888458" w14:textId="77777777" w:rsidR="00E20B20" w:rsidRPr="00B27EF7" w:rsidRDefault="00E20B20" w:rsidP="00E20B20">
      <w:pPr>
        <w:jc w:val="both"/>
        <w:rPr>
          <w:color w:val="000000" w:themeColor="text1"/>
        </w:rPr>
      </w:pPr>
    </w:p>
    <w:p w14:paraId="364A0E5E" w14:textId="77777777" w:rsidR="00E20B20" w:rsidRPr="00B27EF7" w:rsidRDefault="00E20B20" w:rsidP="00E20B20">
      <w:pPr>
        <w:jc w:val="both"/>
        <w:rPr>
          <w:color w:val="000000" w:themeColor="text1"/>
        </w:rPr>
      </w:pPr>
      <m:oMathPara>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r>
            <w:rPr>
              <w:rFonts w:ascii="Cambria Math" w:hAnsi="Cambria Math"/>
              <w:color w:val="000000" w:themeColor="text1"/>
            </w:rPr>
            <m:t xml:space="preserve"> = </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A1</m:t>
              </m:r>
            </m:sub>
          </m:sSub>
          <m:r>
            <w:rPr>
              <w:rFonts w:ascii="Cambria Math" w:hAnsi="Cambria Math"/>
              <w:color w:val="000000" w:themeColor="text1"/>
            </w:rPr>
            <m:t>I(Apoptosis,1)+</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A2</m:t>
              </m:r>
            </m:sub>
          </m:sSub>
          <m:r>
            <w:rPr>
              <w:rFonts w:ascii="Cambria Math" w:hAnsi="Cambria Math"/>
              <w:color w:val="000000" w:themeColor="text1"/>
            </w:rPr>
            <m:t>I(Apoptosis,2)+</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A3</m:t>
              </m:r>
            </m:sub>
          </m:sSub>
          <m:r>
            <w:rPr>
              <w:rFonts w:ascii="Cambria Math" w:hAnsi="Cambria Math"/>
              <w:color w:val="000000" w:themeColor="text1"/>
            </w:rPr>
            <m:t>I(Apoptosis,3)</m:t>
          </m:r>
        </m:oMath>
      </m:oMathPara>
    </w:p>
    <w:p w14:paraId="5216034A" w14:textId="77777777" w:rsidR="00E20B20" w:rsidRPr="00B27EF7" w:rsidRDefault="00E20B20" w:rsidP="00E20B20">
      <w:pPr>
        <w:jc w:val="both"/>
        <w:rPr>
          <w:color w:val="000000" w:themeColor="text1"/>
        </w:rPr>
      </w:pPr>
      <m:oMathPara>
        <m:oMath>
          <m:r>
            <w:rPr>
              <w:rFonts w:ascii="Cambria Math" w:hAnsi="Cambria Math"/>
              <w:color w:val="000000" w:themeColor="text1"/>
            </w:rPr>
            <m:t>Proliferatio</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norm</m:t>
              </m:r>
            </m:sub>
          </m:sSub>
          <m:r>
            <w:rPr>
              <w:rFonts w:ascii="Cambria Math" w:hAnsi="Cambria Math"/>
              <w:color w:val="000000" w:themeColor="text1"/>
            </w:rPr>
            <m:t xml:space="preserve"> = </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P1</m:t>
              </m:r>
            </m:sub>
          </m:sSub>
          <m:r>
            <w:rPr>
              <w:rFonts w:ascii="Cambria Math" w:hAnsi="Cambria Math"/>
              <w:color w:val="000000" w:themeColor="text1"/>
            </w:rPr>
            <m:t>I(Proliferation,1)+</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P2</m:t>
              </m:r>
            </m:sub>
          </m:sSub>
          <m:r>
            <w:rPr>
              <w:rFonts w:ascii="Cambria Math" w:hAnsi="Cambria Math"/>
              <w:color w:val="000000" w:themeColor="text1"/>
            </w:rPr>
            <m:t>I(Proliferation,2)+</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P3</m:t>
              </m:r>
            </m:sub>
          </m:sSub>
          <m:r>
            <w:rPr>
              <w:rFonts w:ascii="Cambria Math" w:hAnsi="Cambria Math"/>
              <w:color w:val="000000" w:themeColor="text1"/>
            </w:rPr>
            <m:t>I(Proliferation,3)</m:t>
          </m:r>
        </m:oMath>
      </m:oMathPara>
    </w:p>
    <w:p w14:paraId="3189113D" w14:textId="77777777" w:rsidR="00E20B20" w:rsidRPr="00B27EF7" w:rsidRDefault="00E20B20" w:rsidP="00E20B20">
      <w:pPr>
        <w:jc w:val="both"/>
        <w:rPr>
          <w:color w:val="000000" w:themeColor="text1"/>
        </w:rPr>
      </w:pPr>
    </w:p>
    <w:p w14:paraId="72672574" w14:textId="2256F251" w:rsidR="00E20B20" w:rsidRPr="00B27EF7" w:rsidRDefault="00E20B20" w:rsidP="00E20B20">
      <w:pPr>
        <w:jc w:val="both"/>
        <w:rPr>
          <w:color w:val="000000" w:themeColor="text1"/>
        </w:rPr>
      </w:pPr>
      <w:r w:rsidRPr="00B27EF7">
        <w:rPr>
          <w:color w:val="000000" w:themeColor="text1"/>
        </w:rPr>
        <w:t xml:space="preserve">Here </w:t>
      </w:r>
      <m:oMath>
        <m:r>
          <w:rPr>
            <w:rFonts w:ascii="Cambria Math" w:hAnsi="Cambria Math"/>
            <w:color w:val="000000" w:themeColor="text1"/>
          </w:rPr>
          <m:t>I(v,s)</m:t>
        </m:r>
      </m:oMath>
      <w:r w:rsidRPr="00B27EF7">
        <w:rPr>
          <w:color w:val="000000" w:themeColor="text1"/>
        </w:rPr>
        <w:t xml:space="preserve"> is the indicator function (</w:t>
      </w:r>
      <m:oMath>
        <m:r>
          <w:rPr>
            <w:rFonts w:ascii="Cambria Math" w:hAnsi="Cambria Math"/>
            <w:color w:val="000000" w:themeColor="text1"/>
          </w:rPr>
          <m:t>I(v,s)=1</m:t>
        </m:r>
      </m:oMath>
      <w:r w:rsidRPr="00B27EF7">
        <w:rPr>
          <w:color w:val="000000" w:themeColor="text1"/>
        </w:rPr>
        <w:t xml:space="preserve"> if </w:t>
      </w:r>
      <m:oMath>
        <m:r>
          <w:rPr>
            <w:rFonts w:ascii="Cambria Math" w:hAnsi="Cambria Math"/>
            <w:color w:val="000000" w:themeColor="text1"/>
          </w:rPr>
          <m:t>v=s</m:t>
        </m:r>
      </m:oMath>
      <w:r w:rsidRPr="00B27EF7">
        <w:rPr>
          <w:color w:val="000000" w:themeColor="text1"/>
        </w:rPr>
        <w:t xml:space="preserve">, and </w:t>
      </w:r>
      <m:oMath>
        <m:r>
          <w:rPr>
            <w:rFonts w:ascii="Cambria Math" w:hAnsi="Cambria Math"/>
            <w:color w:val="000000" w:themeColor="text1"/>
          </w:rPr>
          <m:t>I(v,s)=0</m:t>
        </m:r>
      </m:oMath>
      <w:r w:rsidRPr="00B27EF7">
        <w:rPr>
          <w:color w:val="000000" w:themeColor="text1"/>
        </w:rPr>
        <w:t xml:space="preserve"> otherwise) and the normalized values are weighted exponentially (that is,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Xi</m:t>
            </m:r>
          </m:sub>
        </m:sSub>
        <m:r>
          <w:rPr>
            <w:rFonts w:ascii="Cambria Math" w:hAnsi="Cambria Math"/>
            <w:color w:val="000000" w:themeColor="text1"/>
          </w:rPr>
          <m:t>=1/</m:t>
        </m:r>
        <m:sSup>
          <m:sSupPr>
            <m:ctrlPr>
              <w:rPr>
                <w:rFonts w:ascii="Cambria Math" w:hAnsi="Cambria Math"/>
                <w:color w:val="000000" w:themeColor="text1"/>
              </w:rPr>
            </m:ctrlPr>
          </m:sSupPr>
          <m:e>
            <m:r>
              <w:rPr>
                <w:rFonts w:ascii="Cambria Math" w:hAnsi="Cambria Math"/>
                <w:color w:val="000000" w:themeColor="text1"/>
              </w:rPr>
              <m:t>2</m:t>
            </m:r>
          </m:e>
          <m:sup>
            <m:r>
              <w:rPr>
                <w:rFonts w:ascii="Cambria Math" w:hAnsi="Cambria Math"/>
                <w:color w:val="000000" w:themeColor="text1"/>
              </w:rPr>
              <m:t xml:space="preserve">3-i </m:t>
            </m:r>
          </m:sup>
        </m:sSup>
      </m:oMath>
      <w:r w:rsidRPr="00B27EF7">
        <w:rPr>
          <w:color w:val="000000" w:themeColor="text1"/>
        </w:rPr>
        <w:t xml:space="preserve">, with </w:t>
      </w:r>
      <m:oMath>
        <m:r>
          <w:rPr>
            <w:rFonts w:ascii="Cambria Math" w:hAnsi="Cambria Math"/>
            <w:color w:val="000000" w:themeColor="text1"/>
          </w:rPr>
          <m:t>X=A,P</m:t>
        </m:r>
      </m:oMath>
      <w:r w:rsidRPr="00B27EF7">
        <w:rPr>
          <w:color w:val="000000" w:themeColor="text1"/>
        </w:rPr>
        <w:t xml:space="preserve">and </w:t>
      </w:r>
      <m:oMath>
        <m:r>
          <w:rPr>
            <w:rFonts w:ascii="Cambria Math" w:hAnsi="Cambria Math"/>
            <w:color w:val="000000" w:themeColor="text1"/>
          </w:rPr>
          <m:t>i=1,2,3</m:t>
        </m:r>
      </m:oMath>
      <w:r w:rsidRPr="00B27EF7">
        <w:rPr>
          <w:color w:val="000000" w:themeColor="text1"/>
        </w:rPr>
        <w:t xml:space="preserve">). These weights are such that </w:t>
      </w:r>
      <m:oMath>
        <m:r>
          <w:rPr>
            <w:rFonts w:ascii="Cambria Math" w:hAnsi="Cambria Math"/>
            <w:color w:val="000000" w:themeColor="text1"/>
          </w:rPr>
          <m:t>Apoptosis=0, 1, 2, 3</m:t>
        </m:r>
      </m:oMath>
      <w:r w:rsidRPr="00B27EF7">
        <w:rPr>
          <w:color w:val="000000" w:themeColor="text1"/>
        </w:rPr>
        <w:t xml:space="preserve"> results in </w:t>
      </w:r>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r>
          <w:rPr>
            <w:rFonts w:ascii="Cambria Math" w:hAnsi="Cambria Math"/>
            <w:color w:val="000000" w:themeColor="text1"/>
          </w:rPr>
          <m:t>=0, 0.25, 0.5, 1</m:t>
        </m:r>
      </m:oMath>
      <w:r w:rsidRPr="00B27EF7">
        <w:rPr>
          <w:color w:val="000000" w:themeColor="text1"/>
        </w:rPr>
        <w:t xml:space="preserve">, respectively, and the same for </w:t>
      </w:r>
      <m:oMath>
        <m:r>
          <w:rPr>
            <w:rFonts w:ascii="Cambria Math" w:hAnsi="Cambria Math"/>
            <w:color w:val="000000" w:themeColor="text1"/>
          </w:rPr>
          <m:t>Proliferation</m:t>
        </m:r>
      </m:oMath>
      <w:r w:rsidRPr="00B27EF7">
        <w:rPr>
          <w:color w:val="000000" w:themeColor="text1"/>
        </w:rPr>
        <w:t xml:space="preserve">. This is the same principle we followed in the </w:t>
      </w:r>
      <w:r w:rsidR="00820256">
        <w:rPr>
          <w:color w:val="000000" w:themeColor="text1"/>
        </w:rPr>
        <w:t>2017</w:t>
      </w:r>
      <w:r w:rsidR="00820256" w:rsidRPr="00B27EF7">
        <w:rPr>
          <w:color w:val="000000" w:themeColor="text1"/>
        </w:rPr>
        <w:t xml:space="preserve"> </w:t>
      </w:r>
      <w:r w:rsidRPr="00B27EF7">
        <w:rPr>
          <w:color w:val="000000" w:themeColor="text1"/>
        </w:rPr>
        <w:t xml:space="preserve">model, but the weights are modified for the case of Proliferation since the </w:t>
      </w:r>
      <w:r w:rsidR="00820256">
        <w:rPr>
          <w:color w:val="000000" w:themeColor="text1"/>
        </w:rPr>
        <w:t>2020</w:t>
      </w:r>
      <w:r w:rsidR="00820256" w:rsidRPr="00B27EF7">
        <w:rPr>
          <w:color w:val="000000" w:themeColor="text1"/>
        </w:rPr>
        <w:t xml:space="preserve"> </w:t>
      </w:r>
      <w:r w:rsidRPr="00B27EF7">
        <w:rPr>
          <w:color w:val="000000" w:themeColor="text1"/>
        </w:rPr>
        <w:t xml:space="preserve">model has 4 node states for Proliferation, while the </w:t>
      </w:r>
      <w:r w:rsidR="00820256">
        <w:rPr>
          <w:color w:val="000000" w:themeColor="text1"/>
        </w:rPr>
        <w:t>2017</w:t>
      </w:r>
      <w:r w:rsidR="00820256" w:rsidRPr="00B27EF7">
        <w:rPr>
          <w:color w:val="000000" w:themeColor="text1"/>
        </w:rPr>
        <w:t xml:space="preserve"> </w:t>
      </w:r>
      <w:r w:rsidRPr="00B27EF7">
        <w:rPr>
          <w:color w:val="000000" w:themeColor="text1"/>
        </w:rPr>
        <w:t xml:space="preserve">model had 5. The weight of </w:t>
      </w:r>
      <m:oMath>
        <m:r>
          <w:rPr>
            <w:rFonts w:ascii="Cambria Math" w:hAnsi="Cambria Math"/>
            <w:color w:val="000000" w:themeColor="text1"/>
          </w:rPr>
          <m:t>Apoptosis=1</m:t>
        </m:r>
      </m:oMath>
      <w:r w:rsidRPr="00B27EF7">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A1</m:t>
            </m:r>
          </m:sub>
        </m:sSub>
      </m:oMath>
      <w:r w:rsidRPr="00B27EF7">
        <w:rPr>
          <w:color w:val="000000" w:themeColor="text1"/>
        </w:rPr>
        <w:t xml:space="preserve">) in </w:t>
      </w:r>
      <m:oMath>
        <m:r>
          <w:rPr>
            <w:rFonts w:ascii="Cambria Math" w:hAnsi="Cambria Math"/>
            <w:color w:val="000000" w:themeColor="text1"/>
          </w:rPr>
          <m:t>Apoptosi</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oMath>
      <w:r w:rsidRPr="00B27EF7">
        <w:rPr>
          <w:color w:val="000000" w:themeColor="text1"/>
        </w:rPr>
        <w:t xml:space="preserve"> is one of the differences in the cell</w:t>
      </w:r>
      <w:r>
        <w:rPr>
          <w:color w:val="000000" w:themeColor="text1"/>
        </w:rPr>
        <w:t xml:space="preserve"> </w:t>
      </w:r>
      <w:r w:rsidRPr="00B27EF7">
        <w:rPr>
          <w:color w:val="000000" w:themeColor="text1"/>
        </w:rPr>
        <w:t>line-specific models.</w:t>
      </w:r>
    </w:p>
    <w:p w14:paraId="7A14BA3D" w14:textId="77777777" w:rsidR="00E20B20" w:rsidRPr="00B27EF7" w:rsidRDefault="00E20B20" w:rsidP="00E20B20">
      <w:pPr>
        <w:jc w:val="both"/>
        <w:rPr>
          <w:color w:val="000000" w:themeColor="text1"/>
        </w:rPr>
      </w:pPr>
    </w:p>
    <w:p w14:paraId="0839B3F8" w14:textId="77777777" w:rsidR="00E20B20" w:rsidRPr="00B27EF7" w:rsidRDefault="00E20B20" w:rsidP="00E20B20">
      <w:pPr>
        <w:pStyle w:val="Heading3"/>
        <w:jc w:val="both"/>
        <w:rPr>
          <w:color w:val="000000" w:themeColor="text1"/>
        </w:rPr>
      </w:pPr>
      <w:bookmarkStart w:id="10" w:name="_m2bxou4epx1d" w:colFirst="0" w:colLast="0"/>
      <w:bookmarkEnd w:id="10"/>
      <w:r w:rsidRPr="00B27EF7">
        <w:rPr>
          <w:color w:val="000000" w:themeColor="text1"/>
        </w:rPr>
        <w:lastRenderedPageBreak/>
        <w:t>Cell</w:t>
      </w:r>
      <w:r>
        <w:rPr>
          <w:color w:val="000000" w:themeColor="text1"/>
        </w:rPr>
        <w:t xml:space="preserve"> </w:t>
      </w:r>
      <w:r w:rsidRPr="00B27EF7">
        <w:rPr>
          <w:color w:val="000000" w:themeColor="text1"/>
        </w:rPr>
        <w:t>line</w:t>
      </w:r>
      <w:r>
        <w:rPr>
          <w:color w:val="000000" w:themeColor="text1"/>
        </w:rPr>
        <w:t>-</w:t>
      </w:r>
      <w:r w:rsidRPr="00B27EF7">
        <w:rPr>
          <w:color w:val="000000" w:themeColor="text1"/>
        </w:rPr>
        <w:t>specific models</w:t>
      </w:r>
    </w:p>
    <w:p w14:paraId="28B9E3AC" w14:textId="77777777" w:rsidR="00E20B20" w:rsidRPr="00B27EF7" w:rsidRDefault="00E20B20" w:rsidP="00E20B20">
      <w:pPr>
        <w:jc w:val="both"/>
        <w:rPr>
          <w:color w:val="000000" w:themeColor="text1"/>
        </w:rPr>
      </w:pPr>
    </w:p>
    <w:p w14:paraId="7E600842" w14:textId="7C9AC3E5" w:rsidR="00E20B20" w:rsidRPr="00B27EF7" w:rsidRDefault="00E20B20" w:rsidP="00E20B20">
      <w:pPr>
        <w:jc w:val="both"/>
        <w:rPr>
          <w:color w:val="000000" w:themeColor="text1"/>
        </w:rPr>
      </w:pPr>
      <w:r w:rsidRPr="00B27EF7">
        <w:rPr>
          <w:color w:val="000000" w:themeColor="text1"/>
        </w:rPr>
        <w:t>The cell</w:t>
      </w:r>
      <w:r>
        <w:rPr>
          <w:color w:val="000000" w:themeColor="text1"/>
        </w:rPr>
        <w:t xml:space="preserve"> </w:t>
      </w:r>
      <w:r w:rsidRPr="00B27EF7">
        <w:rPr>
          <w:color w:val="000000" w:themeColor="text1"/>
        </w:rPr>
        <w:t>line</w:t>
      </w:r>
      <w:r>
        <w:rPr>
          <w:color w:val="000000" w:themeColor="text1"/>
        </w:rPr>
        <w:t>-</w:t>
      </w:r>
      <w:r w:rsidRPr="00B27EF7">
        <w:rPr>
          <w:color w:val="000000" w:themeColor="text1"/>
        </w:rPr>
        <w:t xml:space="preserve">specific models for MCF7 and T47D use the </w:t>
      </w:r>
      <w:r w:rsidR="00820256">
        <w:rPr>
          <w:color w:val="000000" w:themeColor="text1"/>
        </w:rPr>
        <w:t>2020</w:t>
      </w:r>
      <w:r w:rsidR="00820256" w:rsidRPr="00B27EF7">
        <w:rPr>
          <w:color w:val="000000" w:themeColor="text1"/>
        </w:rPr>
        <w:t xml:space="preserve"> </w:t>
      </w:r>
      <w:r w:rsidRPr="00B27EF7">
        <w:rPr>
          <w:color w:val="000000" w:themeColor="text1"/>
        </w:rPr>
        <w:t>network model. The MCF7-specific and T47D-specific models differ only in three aspects:</w:t>
      </w:r>
    </w:p>
    <w:p w14:paraId="4529D6D2" w14:textId="77777777" w:rsidR="00E20B20" w:rsidRPr="00B27EF7" w:rsidRDefault="00E20B20" w:rsidP="00E20B20">
      <w:pPr>
        <w:jc w:val="both"/>
        <w:rPr>
          <w:color w:val="000000" w:themeColor="text1"/>
        </w:rPr>
      </w:pPr>
    </w:p>
    <w:p w14:paraId="71230017" w14:textId="77777777" w:rsidR="00E20B20" w:rsidRPr="00B27EF7" w:rsidRDefault="00E20B20" w:rsidP="00E20B20">
      <w:pPr>
        <w:numPr>
          <w:ilvl w:val="0"/>
          <w:numId w:val="1"/>
        </w:numPr>
        <w:jc w:val="both"/>
        <w:rPr>
          <w:color w:val="000000" w:themeColor="text1"/>
        </w:rPr>
      </w:pPr>
      <w:r w:rsidRPr="00B27EF7">
        <w:rPr>
          <w:color w:val="000000" w:themeColor="text1"/>
        </w:rPr>
        <w:t xml:space="preserve">The source node </w:t>
      </w:r>
      <m:oMath>
        <m:r>
          <w:rPr>
            <w:rFonts w:ascii="Cambria Math" w:hAnsi="Cambria Math"/>
            <w:color w:val="000000" w:themeColor="text1"/>
          </w:rPr>
          <m:t>BCLXL_T</m:t>
        </m:r>
      </m:oMath>
      <w:r w:rsidRPr="00B27EF7">
        <w:rPr>
          <w:color w:val="000000" w:themeColor="text1"/>
        </w:rPr>
        <w:t>, which denotes the expression of the gene encoding for BCL-XL, is active in T47D (</w:t>
      </w:r>
      <m:oMath>
        <m:r>
          <w:rPr>
            <w:rFonts w:ascii="Cambria Math" w:hAnsi="Cambria Math"/>
            <w:color w:val="000000" w:themeColor="text1"/>
          </w:rPr>
          <m:t>BCLXL_T=1</m:t>
        </m:r>
      </m:oMath>
      <w:r w:rsidRPr="00B27EF7">
        <w:rPr>
          <w:color w:val="000000" w:themeColor="text1"/>
        </w:rPr>
        <w:t>) but not in MCF7 (</w:t>
      </w:r>
      <m:oMath>
        <m:r>
          <w:rPr>
            <w:rFonts w:ascii="Cambria Math" w:hAnsi="Cambria Math"/>
            <w:color w:val="000000" w:themeColor="text1"/>
          </w:rPr>
          <m:t>BCLXL_T=1</m:t>
        </m:r>
      </m:oMath>
      <w:r w:rsidRPr="00B27EF7">
        <w:rPr>
          <w:color w:val="000000" w:themeColor="text1"/>
        </w:rPr>
        <w:t xml:space="preserve">), in agreement with </w:t>
      </w:r>
      <w:r>
        <w:rPr>
          <w:color w:val="000000" w:themeColor="text1"/>
        </w:rPr>
        <w:t>Fig. 3</w:t>
      </w:r>
      <w:r w:rsidRPr="00B27EF7">
        <w:rPr>
          <w:color w:val="000000" w:themeColor="text1"/>
        </w:rPr>
        <w:t xml:space="preserve">E. This also results in a difference in the state of </w:t>
      </w:r>
      <m:oMath>
        <m:r>
          <w:rPr>
            <w:rFonts w:ascii="Cambria Math" w:hAnsi="Cambria Math"/>
            <w:color w:val="000000" w:themeColor="text1"/>
          </w:rPr>
          <m:t>BCLXL</m:t>
        </m:r>
      </m:oMath>
      <w:r w:rsidRPr="00B27EF7">
        <w:rPr>
          <w:i/>
          <w:color w:val="000000" w:themeColor="text1"/>
        </w:rPr>
        <w:t xml:space="preserve"> </w:t>
      </w:r>
      <w:r w:rsidRPr="00B27EF7">
        <w:rPr>
          <w:color w:val="000000" w:themeColor="text1"/>
        </w:rPr>
        <w:t>in the attractors of MCF7 (</w:t>
      </w:r>
      <m:oMath>
        <m:r>
          <w:rPr>
            <w:rFonts w:ascii="Cambria Math" w:hAnsi="Cambria Math"/>
            <w:color w:val="000000" w:themeColor="text1"/>
          </w:rPr>
          <m:t>BCLXL=0</m:t>
        </m:r>
      </m:oMath>
      <w:r w:rsidRPr="00B27EF7">
        <w:rPr>
          <w:color w:val="000000" w:themeColor="text1"/>
        </w:rPr>
        <w:t>) and T47D (</w:t>
      </w:r>
      <m:oMath>
        <m:r>
          <w:rPr>
            <w:rFonts w:ascii="Cambria Math" w:hAnsi="Cambria Math"/>
            <w:color w:val="000000" w:themeColor="text1"/>
          </w:rPr>
          <m:t>BCLXL=1</m:t>
        </m:r>
      </m:oMath>
      <w:r w:rsidRPr="00B27EF7">
        <w:rPr>
          <w:color w:val="000000" w:themeColor="text1"/>
        </w:rPr>
        <w:t>).</w:t>
      </w:r>
    </w:p>
    <w:p w14:paraId="66C76F55" w14:textId="77777777" w:rsidR="00E20B20" w:rsidRPr="00B27EF7" w:rsidRDefault="00E20B20" w:rsidP="00E20B20">
      <w:pPr>
        <w:numPr>
          <w:ilvl w:val="0"/>
          <w:numId w:val="1"/>
        </w:numPr>
        <w:jc w:val="both"/>
        <w:rPr>
          <w:color w:val="000000" w:themeColor="text1"/>
        </w:rPr>
      </w:pPr>
      <w:r w:rsidRPr="00B27EF7">
        <w:rPr>
          <w:color w:val="000000" w:themeColor="text1"/>
        </w:rPr>
        <w:t xml:space="preserve">The source node </w:t>
      </w:r>
      <m:oMath>
        <m:r>
          <w:rPr>
            <w:rFonts w:ascii="Cambria Math" w:hAnsi="Cambria Math"/>
            <w:color w:val="000000" w:themeColor="text1"/>
          </w:rPr>
          <m:t>p21_T</m:t>
        </m:r>
      </m:oMath>
      <w:r w:rsidRPr="00B27EF7">
        <w:rPr>
          <w:color w:val="000000" w:themeColor="text1"/>
        </w:rPr>
        <w:t xml:space="preserve">, which denotes the expression of the gene </w:t>
      </w:r>
      <w:r w:rsidRPr="00B27EF7">
        <w:rPr>
          <w:i/>
          <w:color w:val="000000" w:themeColor="text1"/>
        </w:rPr>
        <w:t>CDKN1A</w:t>
      </w:r>
      <w:r w:rsidRPr="00B27EF7">
        <w:rPr>
          <w:color w:val="000000" w:themeColor="text1"/>
        </w:rPr>
        <w:t>, is more active in MCF7 (</w:t>
      </w:r>
      <m:oMath>
        <m:r>
          <w:rPr>
            <w:rFonts w:ascii="Cambria Math" w:hAnsi="Cambria Math"/>
            <w:color w:val="000000" w:themeColor="text1"/>
          </w:rPr>
          <m:t>p21_T=2</m:t>
        </m:r>
      </m:oMath>
      <w:r w:rsidRPr="00B27EF7">
        <w:rPr>
          <w:color w:val="000000" w:themeColor="text1"/>
        </w:rPr>
        <w:t>) than T47D (</w:t>
      </w:r>
      <m:oMath>
        <m:r>
          <w:rPr>
            <w:rFonts w:ascii="Cambria Math" w:hAnsi="Cambria Math"/>
            <w:color w:val="000000" w:themeColor="text1"/>
          </w:rPr>
          <m:t>p21_T=1</m:t>
        </m:r>
      </m:oMath>
      <w:r w:rsidRPr="00B27EF7">
        <w:rPr>
          <w:color w:val="000000" w:themeColor="text1"/>
        </w:rPr>
        <w:t xml:space="preserve">), in agreement with </w:t>
      </w:r>
      <w:r>
        <w:rPr>
          <w:color w:val="000000" w:themeColor="text1"/>
        </w:rPr>
        <w:t>Fig. 5</w:t>
      </w:r>
      <w:r w:rsidRPr="00B27EF7">
        <w:rPr>
          <w:color w:val="000000" w:themeColor="text1"/>
        </w:rPr>
        <w:t>E.</w:t>
      </w:r>
    </w:p>
    <w:p w14:paraId="0C070F30" w14:textId="77777777" w:rsidR="00E20B20" w:rsidRPr="00B27EF7" w:rsidRDefault="00E20B20" w:rsidP="00E20B20">
      <w:pPr>
        <w:numPr>
          <w:ilvl w:val="0"/>
          <w:numId w:val="1"/>
        </w:numPr>
        <w:jc w:val="both"/>
        <w:rPr>
          <w:color w:val="000000" w:themeColor="text1"/>
        </w:rPr>
      </w:pPr>
      <w:r w:rsidRPr="00B27EF7">
        <w:rPr>
          <w:color w:val="000000" w:themeColor="text1"/>
        </w:rPr>
        <w:t xml:space="preserve">The weight of </w:t>
      </w:r>
      <m:oMath>
        <m:r>
          <w:rPr>
            <w:rFonts w:ascii="Cambria Math" w:hAnsi="Cambria Math"/>
            <w:color w:val="000000" w:themeColor="text1"/>
          </w:rPr>
          <m:t>Apoptosis=1</m:t>
        </m:r>
      </m:oMath>
      <w:r w:rsidRPr="00B27EF7">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A1</m:t>
            </m:r>
          </m:sub>
        </m:sSub>
      </m:oMath>
      <w:r w:rsidRPr="00B27EF7">
        <w:rPr>
          <w:color w:val="000000" w:themeColor="text1"/>
        </w:rPr>
        <w:t xml:space="preserve">) in </w:t>
      </w:r>
      <m:oMath>
        <m:r>
          <w:rPr>
            <w:rFonts w:ascii="Cambria Math" w:hAnsi="Cambria Math"/>
            <w:color w:val="000000" w:themeColor="text1"/>
          </w:rPr>
          <m:t>Apoptosi</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oMath>
      <w:r w:rsidRPr="00B27EF7">
        <w:rPr>
          <w:color w:val="000000" w:themeColor="text1"/>
        </w:rPr>
        <w:t xml:space="preserve"> is larger in MCF7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A1</m:t>
            </m:r>
          </m:sub>
        </m:sSub>
        <m:r>
          <w:rPr>
            <w:rFonts w:ascii="Cambria Math" w:hAnsi="Cambria Math"/>
            <w:color w:val="000000" w:themeColor="text1"/>
          </w:rPr>
          <m:t>=0.25</m:t>
        </m:r>
      </m:oMath>
      <w:r w:rsidRPr="00B27EF7">
        <w:rPr>
          <w:color w:val="000000" w:themeColor="text1"/>
        </w:rPr>
        <w:t>) than in T47D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A1</m:t>
            </m:r>
          </m:sub>
        </m:sSub>
        <m:r>
          <w:rPr>
            <w:rFonts w:ascii="Cambria Math" w:hAnsi="Cambria Math"/>
            <w:color w:val="000000" w:themeColor="text1"/>
          </w:rPr>
          <m:t>=0.125</m:t>
        </m:r>
      </m:oMath>
      <w:r w:rsidRPr="00B27EF7">
        <w:rPr>
          <w:color w:val="000000" w:themeColor="text1"/>
        </w:rPr>
        <w:t xml:space="preserve">). This is in agreement with Figs. </w:t>
      </w:r>
      <w:r>
        <w:rPr>
          <w:color w:val="000000" w:themeColor="text1"/>
        </w:rPr>
        <w:t>2</w:t>
      </w:r>
      <w:r w:rsidRPr="00B27EF7">
        <w:rPr>
          <w:color w:val="000000" w:themeColor="text1"/>
        </w:rPr>
        <w:t xml:space="preserve">D and </w:t>
      </w:r>
      <w:r>
        <w:rPr>
          <w:color w:val="000000" w:themeColor="text1"/>
        </w:rPr>
        <w:t>3</w:t>
      </w:r>
      <w:r w:rsidRPr="00B27EF7">
        <w:rPr>
          <w:color w:val="000000" w:themeColor="text1"/>
        </w:rPr>
        <w:t>E.</w:t>
      </w:r>
    </w:p>
    <w:p w14:paraId="05DE48DB" w14:textId="77777777" w:rsidR="00E20B20" w:rsidRPr="00B27EF7" w:rsidRDefault="00E20B20" w:rsidP="00E20B20">
      <w:pPr>
        <w:pStyle w:val="Heading3"/>
        <w:jc w:val="both"/>
        <w:rPr>
          <w:color w:val="000000" w:themeColor="text1"/>
        </w:rPr>
      </w:pPr>
      <w:bookmarkStart w:id="11" w:name="_6s2vloagep1r" w:colFirst="0" w:colLast="0"/>
      <w:bookmarkEnd w:id="11"/>
      <w:r w:rsidRPr="00B27EF7">
        <w:rPr>
          <w:color w:val="000000" w:themeColor="text1"/>
        </w:rPr>
        <w:t>FOXO3, ER microenvironment, HER3 microenvironment</w:t>
      </w:r>
    </w:p>
    <w:p w14:paraId="3B9DB7AD" w14:textId="77777777" w:rsidR="00E20B20" w:rsidRPr="00B27EF7" w:rsidRDefault="00E20B20" w:rsidP="00E20B20">
      <w:pPr>
        <w:jc w:val="both"/>
        <w:rPr>
          <w:color w:val="000000" w:themeColor="text1"/>
        </w:rPr>
      </w:pPr>
    </w:p>
    <w:p w14:paraId="2C9C3194" w14:textId="585A2A6A" w:rsidR="00E20B20" w:rsidRPr="008B09AE" w:rsidRDefault="00E20B20" w:rsidP="00E20B20">
      <w:pPr>
        <w:jc w:val="both"/>
        <w:rPr>
          <w:color w:val="000000" w:themeColor="text1"/>
        </w:rPr>
      </w:pPr>
      <w:r w:rsidRPr="008B09AE">
        <w:rPr>
          <w:color w:val="000000" w:themeColor="text1"/>
        </w:rPr>
        <w:t xml:space="preserve">The </w:t>
      </w:r>
      <w:r w:rsidR="00820256" w:rsidRPr="008B09AE">
        <w:rPr>
          <w:color w:val="000000" w:themeColor="text1"/>
        </w:rPr>
        <w:t xml:space="preserve">2020 </w:t>
      </w:r>
      <w:r w:rsidRPr="008B09AE">
        <w:rPr>
          <w:color w:val="000000" w:themeColor="text1"/>
        </w:rPr>
        <w:t>model includes nodes that denote microenvironments: a microenvironment that induces ER activity when ESR1 is upregulated (</w:t>
      </w:r>
      <m:oMath>
        <m:r>
          <w:rPr>
            <w:rFonts w:ascii="Cambria Math" w:hAnsi="Cambria Math"/>
            <w:color w:val="000000" w:themeColor="text1"/>
          </w:rPr>
          <m:t>ER_microenvironment</m:t>
        </m:r>
      </m:oMath>
      <w:r w:rsidRPr="008B09AE">
        <w:rPr>
          <w:color w:val="000000" w:themeColor="text1"/>
        </w:rPr>
        <w:t>) and a microenvironment that induces HER2/HER3 activity when HER3 is upregulated (</w:t>
      </w:r>
      <m:oMath>
        <m:r>
          <w:rPr>
            <w:rFonts w:ascii="Cambria Math" w:hAnsi="Cambria Math"/>
            <w:color w:val="000000" w:themeColor="text1"/>
          </w:rPr>
          <m:t>HER3_microenvironment</m:t>
        </m:r>
      </m:oMath>
      <w:r w:rsidRPr="008B09AE">
        <w:rPr>
          <w:rFonts w:eastAsia="Arial Unicode MS"/>
          <w:color w:val="000000" w:themeColor="text1"/>
        </w:rPr>
        <w:t xml:space="preserve">). These microenvironment nodes are included so that the </w:t>
      </w:r>
      <w:r w:rsidR="00820256" w:rsidRPr="008B09AE">
        <w:rPr>
          <w:rFonts w:eastAsia="Arial Unicode MS"/>
          <w:color w:val="000000" w:themeColor="text1"/>
        </w:rPr>
        <w:t xml:space="preserve">2020 </w:t>
      </w:r>
      <w:r w:rsidRPr="008B09AE">
        <w:rPr>
          <w:rFonts w:eastAsia="Arial Unicode MS"/>
          <w:color w:val="000000" w:themeColor="text1"/>
        </w:rPr>
        <w:t>model can be consistent with both our experimental results on FOXO3 (which upregulates ESR1 and HER3) and previous work on resistance mechanisms to PI3K</w:t>
      </w:r>
      <w:r w:rsidRPr="008B09AE">
        <w:rPr>
          <w:rFonts w:eastAsia="Arial Unicode MS"/>
          <w:color w:val="000000" w:themeColor="text1"/>
        </w:rPr>
        <w:sym w:font="Symbol" w:char="F061"/>
      </w:r>
      <w:r w:rsidRPr="008B09AE">
        <w:rPr>
          <w:rFonts w:eastAsia="Arial Unicode MS"/>
          <w:color w:val="000000" w:themeColor="text1"/>
        </w:rPr>
        <w:t xml:space="preserve"> inhibitors in these microenvironments.</w:t>
      </w:r>
    </w:p>
    <w:p w14:paraId="7F26CA69" w14:textId="77777777" w:rsidR="00E20B20" w:rsidRPr="008B09AE" w:rsidRDefault="00E20B20" w:rsidP="00E20B20">
      <w:pPr>
        <w:jc w:val="both"/>
        <w:rPr>
          <w:color w:val="000000" w:themeColor="text1"/>
        </w:rPr>
      </w:pPr>
    </w:p>
    <w:p w14:paraId="0E302192" w14:textId="545896B8" w:rsidR="00E20B20" w:rsidRPr="008B09AE" w:rsidRDefault="00E20B20" w:rsidP="00E20B20">
      <w:pPr>
        <w:jc w:val="both"/>
        <w:rPr>
          <w:color w:val="000000" w:themeColor="text1"/>
        </w:rPr>
      </w:pPr>
      <w:r w:rsidRPr="008B09AE">
        <w:rPr>
          <w:color w:val="000000" w:themeColor="text1"/>
        </w:rPr>
        <w:t>In addition to its tumor suppressor effect, FOXO3 acts as an oncogene in the context of PI3K inhibition in breast cancer. Increased FOXO3 nuclear activity through PI3K/AKT inhibition in breast cancer results in feedback activation of receptor tyrosine kinases (e.g. HER3 or IGF1R,</w:t>
      </w:r>
      <w:r w:rsidR="008B09AE" w:rsidRPr="008B09AE">
        <w:rPr>
          <w:color w:val="000000" w:themeColor="text1"/>
        </w:rPr>
        <w:t xml:space="preserve"> </w:t>
      </w:r>
      <w:r w:rsidR="008B09AE" w:rsidRPr="008B09AE">
        <w:rPr>
          <w:noProof/>
          <w:color w:val="000000" w:themeColor="text1"/>
        </w:rPr>
        <w:t>(7–9)</w:t>
      </w:r>
      <w:r w:rsidRPr="008B09AE">
        <w:rPr>
          <w:color w:val="000000" w:themeColor="text1"/>
        </w:rPr>
        <w:t xml:space="preserve">) and ER transcriptional activity </w:t>
      </w:r>
      <w:r w:rsidR="00F26AA4">
        <w:rPr>
          <w:noProof/>
          <w:color w:val="000000" w:themeColor="text1"/>
        </w:rPr>
        <w:t>(4)</w:t>
      </w:r>
      <w:r w:rsidRPr="008B09AE">
        <w:rPr>
          <w:rFonts w:eastAsia="Arial Unicode MS"/>
          <w:color w:val="000000" w:themeColor="text1"/>
        </w:rPr>
        <w:t>. A consequence of the dual tumor suppressor and oncogene effect of FOXO3 is that, depending on their relative strength, a decrease in FOXO3 activity can result in reduced sensitivity to PI3K</w:t>
      </w:r>
      <w:r w:rsidRPr="008B09AE">
        <w:rPr>
          <w:rFonts w:eastAsia="Arial Unicode MS"/>
          <w:color w:val="000000" w:themeColor="text1"/>
        </w:rPr>
        <w:sym w:font="Symbol" w:char="F061"/>
      </w:r>
      <w:r w:rsidRPr="008B09AE">
        <w:rPr>
          <w:rFonts w:eastAsia="Arial Unicode MS"/>
          <w:color w:val="000000" w:themeColor="text1"/>
        </w:rPr>
        <w:t xml:space="preserve"> inhibition (if the tumor suppressor effect dominates) or increased sensitivity (if the oncogenic feedback activation effect dominates). In the </w:t>
      </w:r>
      <w:r w:rsidR="00820256" w:rsidRPr="008B09AE">
        <w:rPr>
          <w:rFonts w:eastAsia="Arial Unicode MS"/>
          <w:color w:val="000000" w:themeColor="text1"/>
        </w:rPr>
        <w:t xml:space="preserve">2017 </w:t>
      </w:r>
      <w:r w:rsidRPr="008B09AE">
        <w:rPr>
          <w:rFonts w:eastAsia="Arial Unicode MS"/>
          <w:color w:val="000000" w:themeColor="text1"/>
        </w:rPr>
        <w:t xml:space="preserve">network model we previously built </w:t>
      </w:r>
      <w:r w:rsidR="005C21D8">
        <w:rPr>
          <w:noProof/>
          <w:color w:val="000000" w:themeColor="text1"/>
        </w:rPr>
        <w:t>(1)</w:t>
      </w:r>
      <w:r w:rsidRPr="008B09AE">
        <w:rPr>
          <w:color w:val="000000" w:themeColor="text1"/>
        </w:rPr>
        <w:t xml:space="preserve">, </w:t>
      </w:r>
      <m:oMath>
        <m:r>
          <w:rPr>
            <w:rFonts w:ascii="Cambria Math" w:hAnsi="Cambria Math"/>
            <w:color w:val="000000" w:themeColor="text1"/>
          </w:rPr>
          <m:t>FOXO3=0</m:t>
        </m:r>
      </m:oMath>
      <w:r w:rsidRPr="008B09AE">
        <w:rPr>
          <w:color w:val="000000" w:themeColor="text1"/>
        </w:rPr>
        <w:t xml:space="preserve"> led to a multi-faceted change in the response to alpelisib compared to the normal (unperturbed) response to alpelisib: reduction in apoptosis (</w:t>
      </w:r>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r>
          <w:rPr>
            <w:rFonts w:ascii="Cambria Math" w:hAnsi="Cambria Math"/>
            <w:color w:val="000000" w:themeColor="text1"/>
          </w:rPr>
          <m:t xml:space="preserve"> =0.33</m:t>
        </m:r>
      </m:oMath>
      <w:r w:rsidRPr="008B09AE">
        <w:rPr>
          <w:color w:val="000000" w:themeColor="text1"/>
        </w:rPr>
        <w:t xml:space="preserve"> vs </w:t>
      </w:r>
      <m:oMath>
        <m:r>
          <w:rPr>
            <w:rFonts w:ascii="Cambria Math" w:hAnsi="Cambria Math"/>
            <w:color w:val="000000" w:themeColor="text1"/>
          </w:rPr>
          <m:t>Apoptosi</m:t>
        </m:r>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norm</m:t>
            </m:r>
          </m:sub>
        </m:sSub>
        <m:r>
          <w:rPr>
            <w:rFonts w:ascii="Cambria Math" w:hAnsi="Cambria Math"/>
            <w:color w:val="000000" w:themeColor="text1"/>
          </w:rPr>
          <m:t xml:space="preserve"> =0.70</m:t>
        </m:r>
      </m:oMath>
      <w:r w:rsidRPr="008B09AE">
        <w:rPr>
          <w:color w:val="000000" w:themeColor="text1"/>
        </w:rPr>
        <w:t>, through FOXO3’s effect on BIM) and also a reduction in proliferation (</w:t>
      </w:r>
      <m:oMath>
        <m:r>
          <w:rPr>
            <w:rFonts w:ascii="Cambria Math" w:hAnsi="Cambria Math"/>
            <w:color w:val="000000" w:themeColor="text1"/>
          </w:rPr>
          <m:t>Proliferatio</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norm</m:t>
            </m:r>
          </m:sub>
        </m:sSub>
        <m:r>
          <w:rPr>
            <w:rFonts w:ascii="Cambria Math" w:hAnsi="Cambria Math"/>
            <w:color w:val="000000" w:themeColor="text1"/>
          </w:rPr>
          <m:t>=0.13</m:t>
        </m:r>
      </m:oMath>
      <w:r w:rsidRPr="008B09AE">
        <w:rPr>
          <w:color w:val="000000" w:themeColor="text1"/>
        </w:rPr>
        <w:t xml:space="preserve"> vs </w:t>
      </w:r>
      <m:oMath>
        <m:r>
          <w:rPr>
            <w:rFonts w:ascii="Cambria Math" w:hAnsi="Cambria Math"/>
            <w:color w:val="000000" w:themeColor="text1"/>
          </w:rPr>
          <m:t>Proliferatio</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norm</m:t>
            </m:r>
          </m:sub>
        </m:sSub>
        <m:r>
          <w:rPr>
            <w:rFonts w:ascii="Cambria Math" w:hAnsi="Cambria Math"/>
            <w:color w:val="000000" w:themeColor="text1"/>
          </w:rPr>
          <m:t xml:space="preserve"> =0.25</m:t>
        </m:r>
      </m:oMath>
      <w:r w:rsidRPr="008B09AE">
        <w:rPr>
          <w:color w:val="000000" w:themeColor="text1"/>
        </w:rPr>
        <w:t xml:space="preserve">, through FOXO3’s feedback activation effect on ESR1). </w:t>
      </w:r>
    </w:p>
    <w:p w14:paraId="6784A897" w14:textId="77777777" w:rsidR="00E20B20" w:rsidRPr="008B09AE" w:rsidRDefault="00E20B20" w:rsidP="00E20B20">
      <w:pPr>
        <w:jc w:val="both"/>
        <w:rPr>
          <w:color w:val="000000" w:themeColor="text1"/>
        </w:rPr>
      </w:pPr>
    </w:p>
    <w:p w14:paraId="67449ECA" w14:textId="30EA98FA" w:rsidR="00E20B20" w:rsidRPr="008B09AE" w:rsidRDefault="00E20B20" w:rsidP="00E20B20">
      <w:pPr>
        <w:jc w:val="both"/>
        <w:rPr>
          <w:color w:val="000000" w:themeColor="text1"/>
        </w:rPr>
      </w:pPr>
      <w:r w:rsidRPr="008B09AE">
        <w:rPr>
          <w:color w:val="000000" w:themeColor="text1"/>
        </w:rPr>
        <w:t xml:space="preserve">Given the reduction in alpelisib-induced apoptosis caused by </w:t>
      </w:r>
      <m:oMath>
        <m:r>
          <w:rPr>
            <w:rFonts w:ascii="Cambria Math" w:hAnsi="Cambria Math"/>
            <w:color w:val="000000" w:themeColor="text1"/>
          </w:rPr>
          <m:t>FOXO3=0</m:t>
        </m:r>
      </m:oMath>
      <w:r w:rsidRPr="008B09AE">
        <w:rPr>
          <w:color w:val="000000" w:themeColor="text1"/>
        </w:rPr>
        <w:t xml:space="preserve">, we considered downregulation of FOXO3 as a potential resistance mechanism to alpelisib. However, since </w:t>
      </w:r>
      <m:oMath>
        <m:r>
          <w:rPr>
            <w:rFonts w:ascii="Cambria Math" w:hAnsi="Cambria Math"/>
            <w:color w:val="000000" w:themeColor="text1"/>
          </w:rPr>
          <m:t>FOXO3=0</m:t>
        </m:r>
      </m:oMath>
      <w:r w:rsidRPr="008B09AE">
        <w:rPr>
          <w:color w:val="000000" w:themeColor="text1"/>
        </w:rPr>
        <w:t xml:space="preserve"> also resulted in a reduction in proliferation (and survivability) through feedback regulation of ER transcription, downregulation of FOXO3 could increase sensitivity to alpelisib in microenvironments in which the feedback activation effects dominate. For example, in an estrogen-rich microenvironment, reduced ER transcriptional activity caused by downregulation of FOXO3 might result in an increased sensitivity to alpelisib, and similarly in a HER3-activating environment (e.g. the brain microenvironment or a neuregulin-rich environment </w:t>
      </w:r>
      <w:r w:rsidR="005C21D8">
        <w:rPr>
          <w:noProof/>
          <w:color w:val="000000" w:themeColor="text1"/>
        </w:rPr>
        <w:t>(9)</w:t>
      </w:r>
      <w:r w:rsidRPr="008B09AE">
        <w:rPr>
          <w:color w:val="000000" w:themeColor="text1"/>
        </w:rPr>
        <w:t xml:space="preserve">). Our </w:t>
      </w:r>
      <w:r w:rsidR="00820256" w:rsidRPr="008B09AE">
        <w:rPr>
          <w:color w:val="000000" w:themeColor="text1"/>
        </w:rPr>
        <w:t xml:space="preserve">2017 </w:t>
      </w:r>
      <w:r w:rsidRPr="008B09AE">
        <w:rPr>
          <w:color w:val="000000" w:themeColor="text1"/>
        </w:rPr>
        <w:t>model did not explicitly include the presence of these microenvironments, and implicitly assumed an ER microenvironment.</w:t>
      </w:r>
    </w:p>
    <w:p w14:paraId="4E8CA7D7" w14:textId="77777777" w:rsidR="00E20B20" w:rsidRPr="008B09AE" w:rsidRDefault="00E20B20" w:rsidP="00E20B20">
      <w:pPr>
        <w:jc w:val="both"/>
        <w:rPr>
          <w:color w:val="000000" w:themeColor="text1"/>
        </w:rPr>
      </w:pPr>
    </w:p>
    <w:p w14:paraId="050FB1A2" w14:textId="78DF4386" w:rsidR="00E20B20" w:rsidRPr="008B09AE" w:rsidRDefault="00E20B20" w:rsidP="00E20B20">
      <w:pPr>
        <w:jc w:val="both"/>
        <w:rPr>
          <w:color w:val="000000" w:themeColor="text1"/>
        </w:rPr>
      </w:pPr>
      <w:r w:rsidRPr="008B09AE">
        <w:rPr>
          <w:color w:val="000000" w:themeColor="text1"/>
        </w:rPr>
        <w:t xml:space="preserve">The logical rules of the microenvironment target nodes in the </w:t>
      </w:r>
      <w:r w:rsidR="00820256" w:rsidRPr="008B09AE">
        <w:rPr>
          <w:color w:val="000000" w:themeColor="text1"/>
        </w:rPr>
        <w:t xml:space="preserve">2020 </w:t>
      </w:r>
      <w:r w:rsidRPr="008B09AE">
        <w:rPr>
          <w:color w:val="000000" w:themeColor="text1"/>
        </w:rPr>
        <w:t xml:space="preserve">network model are such that </w:t>
      </w:r>
      <m:oMath>
        <m:r>
          <w:rPr>
            <w:rFonts w:ascii="Cambria Math" w:hAnsi="Cambria Math"/>
            <w:color w:val="000000" w:themeColor="text1"/>
          </w:rPr>
          <m:t>ER_microenvironment</m:t>
        </m:r>
      </m:oMath>
      <w:r w:rsidRPr="008B09AE">
        <w:rPr>
          <w:color w:val="000000" w:themeColor="text1"/>
        </w:rPr>
        <w:t xml:space="preserve"> is necessary for long-term </w:t>
      </w:r>
      <m:oMath>
        <m:r>
          <w:rPr>
            <w:rFonts w:ascii="Cambria Math" w:hAnsi="Cambria Math"/>
            <w:color w:val="000000" w:themeColor="text1"/>
          </w:rPr>
          <m:t>ESR1=2</m:t>
        </m:r>
      </m:oMath>
      <w:r w:rsidRPr="008B09AE">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ESR1_2</m:t>
            </m:r>
          </m:sub>
        </m:sSub>
        <m:r>
          <w:rPr>
            <w:rFonts w:ascii="Cambria Math" w:hAnsi="Cambria Math"/>
            <w:color w:val="000000" w:themeColor="text1"/>
          </w:rPr>
          <m:t>=1</m:t>
        </m:r>
      </m:oMath>
      <w:r w:rsidRPr="008B09AE">
        <w:rPr>
          <w:color w:val="000000" w:themeColor="text1"/>
        </w:rPr>
        <w:t xml:space="preserve">) and </w:t>
      </w:r>
      <m:oMath>
        <m:r>
          <w:rPr>
            <w:rFonts w:ascii="Cambria Math" w:hAnsi="Cambria Math"/>
            <w:color w:val="000000" w:themeColor="text1"/>
          </w:rPr>
          <m:t>HER3_microenvironment</m:t>
        </m:r>
      </m:oMath>
      <w:r w:rsidRPr="008B09AE">
        <w:rPr>
          <w:color w:val="000000" w:themeColor="text1"/>
        </w:rPr>
        <w:t xml:space="preserve"> is necessary for </w:t>
      </w:r>
      <m:oMath>
        <m:r>
          <w:rPr>
            <w:rFonts w:ascii="Cambria Math" w:hAnsi="Cambria Math"/>
            <w:color w:val="000000" w:themeColor="text1"/>
          </w:rPr>
          <m:t>HER2/3=2</m:t>
        </m:r>
      </m:oMath>
      <w:r w:rsidRPr="008B09AE">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HER2_3_2</m:t>
            </m:r>
          </m:sub>
        </m:sSub>
        <m:r>
          <w:rPr>
            <w:rFonts w:ascii="Cambria Math" w:hAnsi="Cambria Math"/>
            <w:color w:val="000000" w:themeColor="text1"/>
          </w:rPr>
          <m:t>=1</m:t>
        </m:r>
      </m:oMath>
      <w:r w:rsidRPr="008B09AE">
        <w:rPr>
          <w:color w:val="000000" w:themeColor="text1"/>
        </w:rPr>
        <w:t xml:space="preserve">). The updated rules for these nodes are the same as the one in the </w:t>
      </w:r>
      <w:r w:rsidR="00820256" w:rsidRPr="008B09AE">
        <w:rPr>
          <w:color w:val="000000" w:themeColor="text1"/>
        </w:rPr>
        <w:t xml:space="preserve">2017 </w:t>
      </w:r>
      <w:r w:rsidRPr="008B09AE">
        <w:rPr>
          <w:color w:val="000000" w:themeColor="text1"/>
        </w:rPr>
        <w:t>model except that each has an extra term:</w:t>
      </w:r>
    </w:p>
    <w:p w14:paraId="461E551D" w14:textId="77777777" w:rsidR="00E20B20" w:rsidRPr="008B09AE" w:rsidRDefault="00E20B20" w:rsidP="00E20B20">
      <w:pPr>
        <w:jc w:val="both"/>
        <w:rPr>
          <w:color w:val="000000" w:themeColor="text1"/>
        </w:rPr>
      </w:pPr>
    </w:p>
    <w:p w14:paraId="14B41B65"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ESR1_2</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ESR1_2</m:t>
              </m:r>
            </m:sub>
          </m:sSub>
          <m:r>
            <w:rPr>
              <w:rFonts w:ascii="Cambria Math" w:hAnsi="Cambria Math"/>
              <w:color w:val="000000" w:themeColor="text1"/>
            </w:rPr>
            <m:t xml:space="preserve">(previous model) and (ER_microenvironment or </m:t>
          </m:r>
          <m:r>
            <w:rPr>
              <w:rFonts w:ascii="Cambria Math" w:hAnsi="Cambria Math"/>
              <w:color w:val="000000" w:themeColor="text1"/>
              <w:highlight w:val="white"/>
            </w:rPr>
            <m:t xml:space="preserve">not ER_transcription_feedback_2) </m:t>
          </m:r>
        </m:oMath>
      </m:oMathPara>
    </w:p>
    <w:p w14:paraId="5C8BADB5"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HER_2_3_2</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HER_2_3_2</m:t>
              </m:r>
            </m:sub>
          </m:sSub>
          <m:r>
            <w:rPr>
              <w:rFonts w:ascii="Cambria Math" w:hAnsi="Cambria Math"/>
              <w:color w:val="000000" w:themeColor="text1"/>
            </w:rPr>
            <m:t>(previous model) and (HER3_microenvironment)</m:t>
          </m:r>
        </m:oMath>
      </m:oMathPara>
    </w:p>
    <w:p w14:paraId="7593E58C" w14:textId="77777777" w:rsidR="00E20B20" w:rsidRPr="008B09AE" w:rsidRDefault="00E20B20" w:rsidP="00E20B20">
      <w:pPr>
        <w:jc w:val="both"/>
        <w:rPr>
          <w:color w:val="000000" w:themeColor="text1"/>
        </w:rPr>
      </w:pPr>
    </w:p>
    <w:p w14:paraId="45DA222C" w14:textId="6A942219" w:rsidR="00E20B20" w:rsidRPr="008B09AE" w:rsidRDefault="00E20B20" w:rsidP="00E20B20">
      <w:pPr>
        <w:jc w:val="both"/>
        <w:rPr>
          <w:color w:val="000000" w:themeColor="text1"/>
        </w:rPr>
      </w:pPr>
      <w:r w:rsidRPr="008B09AE">
        <w:rPr>
          <w:rFonts w:eastAsia="Arial Unicode MS"/>
          <w:color w:val="000000" w:themeColor="text1"/>
        </w:rPr>
        <w:t xml:space="preserve">The </w:t>
      </w:r>
      <w:r w:rsidR="00820256" w:rsidRPr="008B09AE">
        <w:rPr>
          <w:rFonts w:eastAsia="Arial Unicode MS"/>
          <w:color w:val="000000" w:themeColor="text1"/>
        </w:rPr>
        <w:t xml:space="preserve">2020 </w:t>
      </w:r>
      <w:r w:rsidRPr="008B09AE">
        <w:rPr>
          <w:rFonts w:eastAsia="Arial Unicode MS"/>
          <w:color w:val="000000" w:themeColor="text1"/>
        </w:rPr>
        <w:t>network model is able to recapitulate the reduced sensitivity to PI3K</w:t>
      </w:r>
      <w:r w:rsidRPr="008B09AE">
        <w:rPr>
          <w:rFonts w:eastAsia="Arial Unicode MS"/>
          <w:color w:val="000000" w:themeColor="text1"/>
        </w:rPr>
        <w:sym w:font="Symbol" w:char="F061"/>
      </w:r>
      <w:r w:rsidRPr="008B09AE">
        <w:rPr>
          <w:rFonts w:eastAsia="Arial Unicode MS"/>
          <w:color w:val="000000" w:themeColor="text1"/>
        </w:rPr>
        <w:t xml:space="preserve"> inhibitors in HER3 and ER microenvironments, for which FOXO3-mediated upregulation of HER3 and ESR1 has a greater weight on survival than the tumor suppressor role of FOXO3. The</w:t>
      </w:r>
      <w:r w:rsidR="00820256" w:rsidRPr="008B09AE">
        <w:rPr>
          <w:rFonts w:eastAsia="Arial Unicode MS"/>
          <w:color w:val="000000" w:themeColor="text1"/>
        </w:rPr>
        <w:t xml:space="preserve"> 2020</w:t>
      </w:r>
      <w:r w:rsidRPr="008B09AE">
        <w:rPr>
          <w:rFonts w:eastAsia="Arial Unicode MS"/>
          <w:color w:val="000000" w:themeColor="text1"/>
        </w:rPr>
        <w:t xml:space="preserve"> model also recapitulates the reduced PI3K</w:t>
      </w:r>
      <w:r w:rsidRPr="008B09AE">
        <w:rPr>
          <w:rFonts w:eastAsia="Arial Unicode MS"/>
          <w:color w:val="000000" w:themeColor="text1"/>
        </w:rPr>
        <w:sym w:font="Symbol" w:char="F061"/>
      </w:r>
      <w:r w:rsidRPr="008B09AE">
        <w:rPr>
          <w:rFonts w:eastAsia="Arial Unicode MS"/>
          <w:color w:val="000000" w:themeColor="text1"/>
        </w:rPr>
        <w:t xml:space="preserve"> inhibitor sensitivity to FOXO3 knockdown we observed in our experiments, in which the absence of HER3 and ER microenvironments leads to the tumor suppressor effect of FOXO3 to dominate. In particular, in the </w:t>
      </w:r>
      <w:r w:rsidR="00820256" w:rsidRPr="008B09AE">
        <w:rPr>
          <w:rFonts w:eastAsia="Arial Unicode MS"/>
          <w:color w:val="000000" w:themeColor="text1"/>
        </w:rPr>
        <w:t xml:space="preserve">2020 </w:t>
      </w:r>
      <w:r w:rsidRPr="008B09AE">
        <w:rPr>
          <w:rFonts w:eastAsia="Arial Unicode MS"/>
          <w:color w:val="000000" w:themeColor="text1"/>
        </w:rPr>
        <w:t>model FOXO3 knockdown results in both a reduction in apoptosis and an increase in proliferation in response to PI3K</w:t>
      </w:r>
      <w:r w:rsidRPr="008B09AE">
        <w:rPr>
          <w:rFonts w:eastAsia="Arial Unicode MS"/>
          <w:color w:val="000000" w:themeColor="text1"/>
        </w:rPr>
        <w:sym w:font="Symbol" w:char="F061"/>
      </w:r>
      <w:r w:rsidRPr="008B09AE">
        <w:rPr>
          <w:rFonts w:eastAsia="Arial Unicode MS"/>
          <w:color w:val="000000" w:themeColor="text1"/>
        </w:rPr>
        <w:t xml:space="preserve"> inhibitors.</w:t>
      </w:r>
    </w:p>
    <w:p w14:paraId="5C5DC4A1" w14:textId="77777777" w:rsidR="00E20B20" w:rsidRPr="00B27EF7" w:rsidRDefault="00E20B20" w:rsidP="00E20B20">
      <w:pPr>
        <w:jc w:val="both"/>
        <w:rPr>
          <w:color w:val="000000" w:themeColor="text1"/>
        </w:rPr>
      </w:pPr>
    </w:p>
    <w:p w14:paraId="144D3BBE" w14:textId="77777777" w:rsidR="00E20B20" w:rsidRPr="00B27EF7" w:rsidRDefault="00E20B20" w:rsidP="00E20B20">
      <w:pPr>
        <w:pStyle w:val="Heading3"/>
        <w:jc w:val="both"/>
        <w:rPr>
          <w:color w:val="000000" w:themeColor="text1"/>
        </w:rPr>
      </w:pPr>
      <w:bookmarkStart w:id="12" w:name="_a3a6y0goe485" w:colFirst="0" w:colLast="0"/>
      <w:bookmarkEnd w:id="12"/>
      <w:r w:rsidRPr="00B27EF7">
        <w:rPr>
          <w:color w:val="000000" w:themeColor="text1"/>
        </w:rPr>
        <w:t>Apoptosis</w:t>
      </w:r>
    </w:p>
    <w:p w14:paraId="71F9A709" w14:textId="77777777" w:rsidR="00E20B20" w:rsidRPr="00B27EF7" w:rsidRDefault="00E20B20" w:rsidP="00E20B20">
      <w:pPr>
        <w:jc w:val="both"/>
        <w:rPr>
          <w:i/>
          <w:color w:val="000000" w:themeColor="text1"/>
        </w:rPr>
      </w:pPr>
    </w:p>
    <w:p w14:paraId="1189FB42" w14:textId="502B737C" w:rsidR="00E20B20" w:rsidRPr="008B09AE" w:rsidRDefault="00E20B20" w:rsidP="00E20B20">
      <w:pPr>
        <w:jc w:val="both"/>
        <w:rPr>
          <w:color w:val="000000" w:themeColor="text1"/>
        </w:rPr>
      </w:pPr>
      <w:r w:rsidRPr="008B09AE">
        <w:rPr>
          <w:color w:val="000000" w:themeColor="text1"/>
        </w:rPr>
        <w:t xml:space="preserve">In the </w:t>
      </w:r>
      <w:r w:rsidR="00820256" w:rsidRPr="008B09AE">
        <w:rPr>
          <w:color w:val="000000" w:themeColor="text1"/>
        </w:rPr>
        <w:t xml:space="preserve">2017 </w:t>
      </w:r>
      <w:r w:rsidRPr="008B09AE">
        <w:rPr>
          <w:color w:val="000000" w:themeColor="text1"/>
        </w:rPr>
        <w:t xml:space="preserve">model, the rule for the node </w:t>
      </w:r>
      <m:oMath>
        <m:r>
          <w:rPr>
            <w:rFonts w:ascii="Cambria Math" w:hAnsi="Cambria Math"/>
            <w:color w:val="000000" w:themeColor="text1"/>
          </w:rPr>
          <m:t>Apoptosis</m:t>
        </m:r>
      </m:oMath>
      <w:r w:rsidRPr="008B09AE">
        <w:rPr>
          <w:color w:val="000000" w:themeColor="text1"/>
        </w:rPr>
        <w:t xml:space="preserve"> assumed that alpelisib alone would induce cell death. This was because alpelisib resulted in the transcriptional upregulation of BIM, the phosphorylation and activation of BAD, and the transcriptional downregulation of MCL1. The </w:t>
      </w:r>
      <w:r w:rsidR="00820256" w:rsidRPr="008B09AE">
        <w:rPr>
          <w:color w:val="000000" w:themeColor="text1"/>
        </w:rPr>
        <w:t xml:space="preserve">2017 </w:t>
      </w:r>
      <w:r w:rsidRPr="008B09AE">
        <w:rPr>
          <w:color w:val="000000" w:themeColor="text1"/>
        </w:rPr>
        <w:t xml:space="preserve">model also assumed that the combination of alpelisib and fulvestrant would result in an increase in cell death compared to either of them alone (through upregulation of BCL2). The regulatory function for </w:t>
      </w:r>
      <m:oMath>
        <m:r>
          <w:rPr>
            <w:rFonts w:ascii="Cambria Math" w:hAnsi="Cambria Math"/>
            <w:color w:val="000000" w:themeColor="text1"/>
          </w:rPr>
          <m:t>Apoptosis</m:t>
        </m:r>
      </m:oMath>
      <w:r w:rsidRPr="008B09AE">
        <w:rPr>
          <w:color w:val="000000" w:themeColor="text1"/>
        </w:rPr>
        <w:t xml:space="preserve"> also assumed that downregulation of MCL1 or BCL2 alone would not induce cell death. In our experiments, alpelisib did not result in a significant induction of cell death, and only showed a significant induction when combined with BH3 mimetics (Figs. 2D-E, 3C-D). Fulvestrant did not result in a</w:t>
      </w:r>
      <w:r w:rsidR="0050745E" w:rsidRPr="008B09AE">
        <w:rPr>
          <w:color w:val="000000" w:themeColor="text1"/>
        </w:rPr>
        <w:t xml:space="preserve"> significant</w:t>
      </w:r>
      <w:r w:rsidRPr="008B09AE">
        <w:rPr>
          <w:color w:val="000000" w:themeColor="text1"/>
        </w:rPr>
        <w:t xml:space="preserve"> increase in cell death, either alone or when combined with alpelisib. We did not observe a significant decrease in MCL1 protein expression in response to alpelisib and found that MCL1 inhibitor s63845 alone (or in combination with BCL-XL/BCL-2 inhibitor navitoclax) resulted in the induction of cell death (Figs. 2D-E, 3C-D).</w:t>
      </w:r>
    </w:p>
    <w:p w14:paraId="7578D788" w14:textId="77777777" w:rsidR="00E20B20" w:rsidRPr="008B09AE" w:rsidRDefault="00E20B20" w:rsidP="00E20B20">
      <w:pPr>
        <w:jc w:val="both"/>
        <w:rPr>
          <w:color w:val="000000" w:themeColor="text1"/>
        </w:rPr>
      </w:pPr>
    </w:p>
    <w:p w14:paraId="37F18454" w14:textId="77777777" w:rsidR="00E20B20" w:rsidRPr="008B09AE" w:rsidRDefault="00E20B20" w:rsidP="00E20B20">
      <w:pPr>
        <w:jc w:val="both"/>
        <w:rPr>
          <w:color w:val="000000" w:themeColor="text1"/>
        </w:rPr>
      </w:pPr>
      <w:r w:rsidRPr="008B09AE">
        <w:rPr>
          <w:color w:val="000000" w:themeColor="text1"/>
        </w:rPr>
        <w:t xml:space="preserve">To capture our experimental results, we modify the regulatory function for </w:t>
      </w:r>
      <m:oMath>
        <m:r>
          <w:rPr>
            <w:rFonts w:ascii="Cambria Math" w:hAnsi="Cambria Math"/>
            <w:color w:val="000000" w:themeColor="text1"/>
          </w:rPr>
          <m:t>Apoptosis</m:t>
        </m:r>
      </m:oMath>
      <w:r w:rsidRPr="008B09AE">
        <w:rPr>
          <w:color w:val="000000" w:themeColor="text1"/>
        </w:rPr>
        <w:t xml:space="preserve"> so that alpelisib alone (through its induction of BIM and BAD) will only have a small effect on apoptosis (</w:t>
      </w:r>
      <m:oMath>
        <m:r>
          <w:rPr>
            <w:rFonts w:ascii="Cambria Math" w:hAnsi="Cambria Math"/>
            <w:color w:val="000000" w:themeColor="text1"/>
          </w:rPr>
          <m:t>Apoptosis=1</m:t>
        </m:r>
      </m:oMath>
      <w:r w:rsidRPr="008B09AE">
        <w:rPr>
          <w:color w:val="000000" w:themeColor="text1"/>
        </w:rPr>
        <w:t>). For this to be the case, we also needed to remove the edge responsible for the downregulation of MCL1 caused by alpelisib, and instead have MCL1 depend only on the basal transcriptional status of MCL1 (</w:t>
      </w:r>
      <m:oMath>
        <m:r>
          <w:rPr>
            <w:rFonts w:ascii="Cambria Math" w:hAnsi="Cambria Math"/>
            <w:color w:val="000000" w:themeColor="text1"/>
          </w:rPr>
          <m:t>MCL1_T</m:t>
        </m:r>
      </m:oMath>
      <w:r w:rsidRPr="008B09AE">
        <w:rPr>
          <w:color w:val="000000" w:themeColor="text1"/>
        </w:rPr>
        <w:t xml:space="preserve">) and the presence of the drug s63845. We also removed the edge responsible for the induction of cell death by fulvestrant (from </w:t>
      </w:r>
      <m:oMath>
        <m:r>
          <w:rPr>
            <w:rFonts w:ascii="Cambria Math" w:hAnsi="Cambria Math"/>
            <w:color w:val="000000" w:themeColor="text1"/>
          </w:rPr>
          <m:t>ER_transcription</m:t>
        </m:r>
      </m:oMath>
      <w:r w:rsidRPr="008B09AE">
        <w:rPr>
          <w:color w:val="000000" w:themeColor="text1"/>
        </w:rPr>
        <w:t xml:space="preserve"> to </w:t>
      </w:r>
      <m:oMath>
        <m:r>
          <w:rPr>
            <w:rFonts w:ascii="Cambria Math" w:hAnsi="Cambria Math"/>
            <w:color w:val="000000" w:themeColor="text1"/>
          </w:rPr>
          <m:t>BCL2</m:t>
        </m:r>
      </m:oMath>
      <w:r w:rsidRPr="008B09AE">
        <w:rPr>
          <w:color w:val="000000" w:themeColor="text1"/>
        </w:rPr>
        <w:t>) since we did not observe a significant induction of apoptosis by fulvestrant. Since BH3 mimetics alone had a larger effect on apoptosis than alpelisib alone, we modified the rule so that low activity of MCL1, BCL-XL, and BCL2 resulted in a larger effect on apoptosis (</w:t>
      </w:r>
      <m:oMath>
        <m:r>
          <w:rPr>
            <w:rFonts w:ascii="Cambria Math" w:hAnsi="Cambria Math"/>
            <w:color w:val="000000" w:themeColor="text1"/>
          </w:rPr>
          <m:t>Apoptosis=2</m:t>
        </m:r>
      </m:oMath>
      <w:r w:rsidRPr="008B09AE">
        <w:rPr>
          <w:color w:val="000000" w:themeColor="text1"/>
        </w:rPr>
        <w:t>). The largest effect on apoptosis (</w:t>
      </w:r>
      <m:oMath>
        <m:r>
          <w:rPr>
            <w:rFonts w:ascii="Cambria Math" w:hAnsi="Cambria Math"/>
            <w:color w:val="000000" w:themeColor="text1"/>
          </w:rPr>
          <m:t>Apoptosis=3</m:t>
        </m:r>
      </m:oMath>
      <w:r w:rsidRPr="008B09AE">
        <w:rPr>
          <w:color w:val="000000" w:themeColor="text1"/>
        </w:rPr>
        <w:t>) was the combination of low activity of MCL1, BCL-XL, and BCL2, and induction of BIM.</w:t>
      </w:r>
    </w:p>
    <w:p w14:paraId="476E512C" w14:textId="77777777" w:rsidR="00E20B20" w:rsidRPr="008B09AE" w:rsidRDefault="00E20B20" w:rsidP="00E20B20">
      <w:pPr>
        <w:jc w:val="both"/>
        <w:rPr>
          <w:color w:val="000000" w:themeColor="text1"/>
        </w:rPr>
      </w:pPr>
    </w:p>
    <w:p w14:paraId="6E2CE9D6" w14:textId="77777777" w:rsidR="00E20B20" w:rsidRPr="008B09AE" w:rsidRDefault="00B650EC" w:rsidP="00E20B20">
      <w:pPr>
        <w:jc w:val="center"/>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Apoptosis</m:t>
              </m:r>
            </m:sub>
          </m:sSub>
          <m:r>
            <w:rPr>
              <w:rFonts w:ascii="Cambria Math" w:hAnsi="Cambria Math"/>
              <w:color w:val="000000" w:themeColor="text1"/>
            </w:rPr>
            <m:t>=(BIM and BAD) or Apoptosis</m:t>
          </m:r>
        </m:oMath>
      </m:oMathPara>
    </w:p>
    <w:p w14:paraId="4C13A350"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Apoptosis_2</m:t>
              </m:r>
            </m:sub>
          </m:sSub>
          <m:r>
            <w:rPr>
              <w:rFonts w:ascii="Cambria Math" w:hAnsi="Cambria Math"/>
              <w:color w:val="000000" w:themeColor="text1"/>
            </w:rPr>
            <m:t>=not (MCL1 or BCL2 or BCLXL) or Apoptosis_2</m:t>
          </m:r>
        </m:oMath>
      </m:oMathPara>
    </w:p>
    <w:p w14:paraId="286D158C"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Apoptosis_3</m:t>
              </m:r>
            </m:sub>
          </m:sSub>
          <m:r>
            <w:rPr>
              <w:rFonts w:ascii="Cambria Math" w:hAnsi="Cambria Math"/>
              <w:color w:val="000000" w:themeColor="text1"/>
            </w:rPr>
            <m:t>=(BIM and not (MCL1 or BCL2 or BCLXL)) or Apoptosis_3</m:t>
          </m:r>
        </m:oMath>
      </m:oMathPara>
    </w:p>
    <w:p w14:paraId="7BE05B65"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MCL1</m:t>
              </m:r>
            </m:sub>
          </m:sSub>
          <m:r>
            <w:rPr>
              <w:rFonts w:ascii="Cambria Math" w:hAnsi="Cambria Math"/>
              <w:color w:val="000000" w:themeColor="text1"/>
            </w:rPr>
            <m:t>=MCL1_T and not S63845</m:t>
          </m:r>
        </m:oMath>
      </m:oMathPara>
    </w:p>
    <w:p w14:paraId="691F3317"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BCLXL</m:t>
              </m:r>
            </m:sub>
          </m:sSub>
          <m:r>
            <w:rPr>
              <w:rFonts w:ascii="Cambria Math" w:hAnsi="Cambria Math"/>
              <w:color w:val="000000" w:themeColor="text1"/>
            </w:rPr>
            <m:t>=BCLXL_T and not Navitoclax</m:t>
          </m:r>
        </m:oMath>
      </m:oMathPara>
    </w:p>
    <w:p w14:paraId="6CF7EDDE"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BCL2</m:t>
              </m:r>
            </m:sub>
          </m:sSub>
          <m:r>
            <w:rPr>
              <w:rFonts w:ascii="Cambria Math" w:hAnsi="Cambria Math"/>
              <w:color w:val="000000" w:themeColor="text1"/>
            </w:rPr>
            <m:t>=BCL2_T and not Navitoclax</m:t>
          </m:r>
        </m:oMath>
      </m:oMathPara>
    </w:p>
    <w:p w14:paraId="7E6D48CB" w14:textId="77777777" w:rsidR="00E20B20" w:rsidRPr="00B27EF7" w:rsidRDefault="00E20B20" w:rsidP="00E20B20">
      <w:pPr>
        <w:pStyle w:val="Heading3"/>
        <w:jc w:val="both"/>
        <w:rPr>
          <w:color w:val="000000" w:themeColor="text1"/>
        </w:rPr>
      </w:pPr>
      <w:bookmarkStart w:id="13" w:name="_igljo2vn1ri2" w:colFirst="0" w:colLast="0"/>
      <w:bookmarkEnd w:id="13"/>
      <w:r w:rsidRPr="00B27EF7">
        <w:rPr>
          <w:color w:val="000000" w:themeColor="text1"/>
        </w:rPr>
        <w:lastRenderedPageBreak/>
        <w:t>Negative interaction from ER transcription to ESR1</w:t>
      </w:r>
    </w:p>
    <w:p w14:paraId="418E8A5C" w14:textId="77777777" w:rsidR="00E20B20" w:rsidRPr="00B27EF7" w:rsidRDefault="00E20B20" w:rsidP="00E20B20">
      <w:pPr>
        <w:jc w:val="both"/>
        <w:rPr>
          <w:i/>
          <w:color w:val="000000" w:themeColor="text1"/>
        </w:rPr>
      </w:pPr>
    </w:p>
    <w:p w14:paraId="145EB395" w14:textId="277E7240" w:rsidR="00E20B20" w:rsidRPr="008B09AE" w:rsidRDefault="00E20B20" w:rsidP="00E20B20">
      <w:pPr>
        <w:jc w:val="both"/>
        <w:rPr>
          <w:color w:val="000000" w:themeColor="text1"/>
        </w:rPr>
      </w:pPr>
      <w:r w:rsidRPr="008B09AE">
        <w:rPr>
          <w:color w:val="000000" w:themeColor="text1"/>
        </w:rPr>
        <w:t xml:space="preserve">Alpelisib-induced upregulation of ESR1 is only transient </w:t>
      </w:r>
      <w:r w:rsidR="008B09AE" w:rsidRPr="008B09AE">
        <w:rPr>
          <w:noProof/>
          <w:color w:val="000000" w:themeColor="text1"/>
        </w:rPr>
        <w:t>(4,10)</w:t>
      </w:r>
      <w:r w:rsidRPr="008B09AE">
        <w:rPr>
          <w:color w:val="000000" w:themeColor="text1"/>
        </w:rPr>
        <w:t xml:space="preserve">. It is unclear what the mechanism behind ESR1’s upregulation being transient is, but we enforce it through a negative feedback loop from </w:t>
      </w:r>
      <m:oMath>
        <m:r>
          <w:rPr>
            <w:rFonts w:ascii="Cambria Math" w:hAnsi="Cambria Math"/>
            <w:color w:val="000000" w:themeColor="text1"/>
            <w:highlight w:val="white"/>
          </w:rPr>
          <m:t>ER_transcription</m:t>
        </m:r>
      </m:oMath>
      <w:r w:rsidRPr="008B09AE">
        <w:rPr>
          <w:i/>
          <w:color w:val="000000" w:themeColor="text1"/>
        </w:rPr>
        <w:t xml:space="preserve"> to </w:t>
      </w:r>
      <m:oMath>
        <m:r>
          <w:rPr>
            <w:rFonts w:ascii="Cambria Math" w:hAnsi="Cambria Math"/>
            <w:color w:val="000000" w:themeColor="text1"/>
            <w:highlight w:val="white"/>
          </w:rPr>
          <m:t>ESR1</m:t>
        </m:r>
      </m:oMath>
      <w:r w:rsidRPr="008B09AE">
        <w:rPr>
          <w:color w:val="000000" w:themeColor="text1"/>
        </w:rPr>
        <w:t>. In particular, we use nodes (</w:t>
      </w:r>
      <m:oMath>
        <m:r>
          <w:rPr>
            <w:rFonts w:ascii="Cambria Math" w:hAnsi="Cambria Math"/>
            <w:color w:val="000000" w:themeColor="text1"/>
            <w:highlight w:val="white"/>
          </w:rPr>
          <m:t>ER_transcription_feedback</m:t>
        </m:r>
      </m:oMath>
      <w:r w:rsidRPr="008B09AE">
        <w:rPr>
          <w:color w:val="000000" w:themeColor="text1"/>
        </w:rPr>
        <w:t xml:space="preserve">, </w:t>
      </w:r>
      <m:oMath>
        <m:r>
          <w:rPr>
            <w:rFonts w:ascii="Cambria Math" w:hAnsi="Cambria Math"/>
            <w:color w:val="000000" w:themeColor="text1"/>
            <w:highlight w:val="white"/>
          </w:rPr>
          <m:t>ER_transcription_feedback_2</m:t>
        </m:r>
      </m:oMath>
      <w:r w:rsidRPr="008B09AE">
        <w:rPr>
          <w:color w:val="000000" w:themeColor="text1"/>
        </w:rPr>
        <w:t>) to encode time delays and make this negative feedback loop slow.</w:t>
      </w:r>
    </w:p>
    <w:p w14:paraId="101C0B89" w14:textId="77777777" w:rsidR="00E20B20" w:rsidRPr="008B09AE" w:rsidRDefault="00E20B20" w:rsidP="00E20B20">
      <w:pPr>
        <w:jc w:val="both"/>
        <w:rPr>
          <w:color w:val="000000" w:themeColor="text1"/>
        </w:rPr>
      </w:pPr>
    </w:p>
    <w:p w14:paraId="1EF34749"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highlight w:val="white"/>
                </w:rPr>
              </m:ctrlPr>
            </m:sSubPr>
            <m:e>
              <m:r>
                <w:rPr>
                  <w:rFonts w:ascii="Cambria Math" w:hAnsi="Cambria Math"/>
                  <w:color w:val="000000" w:themeColor="text1"/>
                </w:rPr>
                <m:t>f</m:t>
              </m:r>
            </m:e>
            <m:sub>
              <m:r>
                <w:rPr>
                  <w:rFonts w:ascii="Cambria Math" w:hAnsi="Cambria Math"/>
                  <w:color w:val="000000" w:themeColor="text1"/>
                  <w:highlight w:val="white"/>
                </w:rPr>
                <m:t>ER_transcription_2</m:t>
              </m:r>
            </m:sub>
          </m:sSub>
          <m:r>
            <w:rPr>
              <w:rFonts w:ascii="Cambria Math" w:hAnsi="Cambria Math"/>
              <w:color w:val="000000" w:themeColor="text1"/>
            </w:rPr>
            <m:t>=</m:t>
          </m:r>
          <m:sSub>
            <m:sSubPr>
              <m:ctrlPr>
                <w:rPr>
                  <w:rFonts w:ascii="Cambria Math" w:hAnsi="Cambria Math"/>
                  <w:color w:val="000000" w:themeColor="text1"/>
                  <w:highlight w:val="white"/>
                </w:rPr>
              </m:ctrlPr>
            </m:sSubPr>
            <m:e>
              <m:r>
                <w:rPr>
                  <w:rFonts w:ascii="Cambria Math" w:hAnsi="Cambria Math"/>
                  <w:color w:val="000000" w:themeColor="text1"/>
                </w:rPr>
                <m:t>f</m:t>
              </m:r>
            </m:e>
            <m:sub>
              <m:r>
                <w:rPr>
                  <w:rFonts w:ascii="Cambria Math" w:hAnsi="Cambria Math"/>
                  <w:color w:val="000000" w:themeColor="text1"/>
                  <w:highlight w:val="white"/>
                </w:rPr>
                <m:t>ER_transcription_2</m:t>
              </m:r>
            </m:sub>
          </m:sSub>
          <m:r>
            <w:rPr>
              <w:rFonts w:ascii="Cambria Math" w:hAnsi="Cambria Math"/>
              <w:color w:val="000000" w:themeColor="text1"/>
            </w:rPr>
            <m:t xml:space="preserve"> (previous model) =KMT2D and FOXA1 and PBX1 and ESR1_2</m:t>
          </m:r>
        </m:oMath>
      </m:oMathPara>
    </w:p>
    <w:p w14:paraId="76027E0E"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highlight w:val="white"/>
                </w:rPr>
              </m:ctrlPr>
            </m:sSubPr>
            <m:e>
              <m:r>
                <w:rPr>
                  <w:rFonts w:ascii="Cambria Math" w:hAnsi="Cambria Math"/>
                  <w:color w:val="000000" w:themeColor="text1"/>
                </w:rPr>
                <m:t>f</m:t>
              </m:r>
            </m:e>
            <m:sub>
              <m:r>
                <w:rPr>
                  <w:rFonts w:ascii="Cambria Math" w:hAnsi="Cambria Math"/>
                  <w:color w:val="000000" w:themeColor="text1"/>
                  <w:highlight w:val="white"/>
                </w:rPr>
                <m:t>ER_transcription_feedback</m:t>
              </m:r>
            </m:sub>
          </m:sSub>
          <m:r>
            <w:rPr>
              <w:rFonts w:ascii="Cambria Math" w:hAnsi="Cambria Math"/>
              <w:color w:val="000000" w:themeColor="text1"/>
            </w:rPr>
            <m:t>=</m:t>
          </m:r>
          <m:r>
            <w:rPr>
              <w:rFonts w:ascii="Cambria Math" w:hAnsi="Cambria Math"/>
              <w:color w:val="000000" w:themeColor="text1"/>
              <w:highlight w:val="white"/>
            </w:rPr>
            <m:t>ER_transcription_2</m:t>
          </m:r>
        </m:oMath>
      </m:oMathPara>
    </w:p>
    <w:p w14:paraId="58AAC450"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highlight w:val="white"/>
                </w:rPr>
              </m:ctrlPr>
            </m:sSubPr>
            <m:e>
              <m:r>
                <w:rPr>
                  <w:rFonts w:ascii="Cambria Math" w:hAnsi="Cambria Math"/>
                  <w:color w:val="000000" w:themeColor="text1"/>
                </w:rPr>
                <m:t>f</m:t>
              </m:r>
            </m:e>
            <m:sub>
              <m:r>
                <w:rPr>
                  <w:rFonts w:ascii="Cambria Math" w:hAnsi="Cambria Math"/>
                  <w:color w:val="000000" w:themeColor="text1"/>
                  <w:highlight w:val="white"/>
                </w:rPr>
                <m:t>ER_transcription_feedback_2</m:t>
              </m:r>
            </m:sub>
          </m:sSub>
          <m:r>
            <w:rPr>
              <w:rFonts w:ascii="Cambria Math" w:hAnsi="Cambria Math"/>
              <w:color w:val="000000" w:themeColor="text1"/>
            </w:rPr>
            <m:t>=</m:t>
          </m:r>
          <m:r>
            <w:rPr>
              <w:rFonts w:ascii="Cambria Math" w:hAnsi="Cambria Math"/>
              <w:color w:val="000000" w:themeColor="text1"/>
              <w:highlight w:val="white"/>
            </w:rPr>
            <m:t>ER_transcription_feedback or ER_transcription_feedback_2</m:t>
          </m:r>
        </m:oMath>
      </m:oMathPara>
    </w:p>
    <w:p w14:paraId="2A3A1A30"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ESR1_2</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ESR1_2</m:t>
              </m:r>
            </m:sub>
          </m:sSub>
          <m:r>
            <w:rPr>
              <w:rFonts w:ascii="Cambria Math" w:hAnsi="Cambria Math"/>
              <w:color w:val="000000" w:themeColor="text1"/>
            </w:rPr>
            <m:t xml:space="preserve">(previous model) and (ER_microenvironment or </m:t>
          </m:r>
          <m:r>
            <w:rPr>
              <w:rFonts w:ascii="Cambria Math" w:hAnsi="Cambria Math"/>
              <w:color w:val="000000" w:themeColor="text1"/>
              <w:highlight w:val="white"/>
            </w:rPr>
            <m:t>not ER_transcription_feedback_2)</m:t>
          </m:r>
        </m:oMath>
      </m:oMathPara>
    </w:p>
    <w:p w14:paraId="120B7736" w14:textId="77777777" w:rsidR="00E20B20" w:rsidRPr="00B27EF7" w:rsidRDefault="00E20B20" w:rsidP="00E20B20">
      <w:pPr>
        <w:jc w:val="both"/>
        <w:rPr>
          <w:color w:val="000000" w:themeColor="text1"/>
        </w:rPr>
      </w:pPr>
    </w:p>
    <w:p w14:paraId="5CE908F0" w14:textId="77777777" w:rsidR="00E20B20" w:rsidRPr="00B27EF7" w:rsidRDefault="00E20B20" w:rsidP="00E20B20">
      <w:pPr>
        <w:pStyle w:val="Heading3"/>
        <w:jc w:val="both"/>
        <w:rPr>
          <w:color w:val="000000" w:themeColor="text1"/>
        </w:rPr>
      </w:pPr>
      <w:bookmarkStart w:id="14" w:name="_viqyfzemk1am" w:colFirst="0" w:colLast="0"/>
      <w:bookmarkEnd w:id="14"/>
      <w:r w:rsidRPr="00B27EF7">
        <w:rPr>
          <w:color w:val="000000" w:themeColor="text1"/>
        </w:rPr>
        <w:t>MYC targets</w:t>
      </w:r>
    </w:p>
    <w:p w14:paraId="7308D379" w14:textId="77777777" w:rsidR="00E20B20" w:rsidRPr="00B27EF7" w:rsidRDefault="00E20B20" w:rsidP="00E20B20">
      <w:pPr>
        <w:jc w:val="both"/>
        <w:rPr>
          <w:color w:val="000000" w:themeColor="text1"/>
        </w:rPr>
      </w:pPr>
    </w:p>
    <w:p w14:paraId="34A5C590" w14:textId="06E525B9" w:rsidR="00E20B20" w:rsidRPr="008B09AE" w:rsidRDefault="00E20B20" w:rsidP="00E20B20">
      <w:pPr>
        <w:jc w:val="both"/>
        <w:rPr>
          <w:color w:val="000000" w:themeColor="text1"/>
        </w:rPr>
      </w:pPr>
      <w:r w:rsidRPr="008B09AE">
        <w:rPr>
          <w:color w:val="000000" w:themeColor="text1"/>
        </w:rPr>
        <w:t xml:space="preserve">In the </w:t>
      </w:r>
      <w:r w:rsidR="00820256" w:rsidRPr="008B09AE">
        <w:rPr>
          <w:color w:val="000000" w:themeColor="text1"/>
        </w:rPr>
        <w:t xml:space="preserve">2017 </w:t>
      </w:r>
      <w:r w:rsidRPr="008B09AE">
        <w:rPr>
          <w:color w:val="000000" w:themeColor="text1"/>
        </w:rPr>
        <w:t>model, the node denoting cap-dependent translation (</w:t>
      </w:r>
      <m:oMath>
        <m:r>
          <w:rPr>
            <w:rFonts w:ascii="Cambria Math" w:hAnsi="Cambria Math"/>
            <w:color w:val="000000" w:themeColor="text1"/>
          </w:rPr>
          <m:t>Translation</m:t>
        </m:r>
      </m:oMath>
      <w:r w:rsidRPr="008B09AE">
        <w:rPr>
          <w:color w:val="000000" w:themeColor="text1"/>
        </w:rPr>
        <w:t xml:space="preserve">), which is regulated by the mTORC1 pathway, was a direct regulator of the state of </w:t>
      </w:r>
      <m:oMath>
        <m:r>
          <w:rPr>
            <w:rFonts w:ascii="Cambria Math" w:hAnsi="Cambria Math"/>
            <w:color w:val="000000" w:themeColor="text1"/>
          </w:rPr>
          <m:t>Proliferation</m:t>
        </m:r>
      </m:oMath>
      <w:r w:rsidRPr="008B09AE">
        <w:rPr>
          <w:color w:val="000000" w:themeColor="text1"/>
        </w:rPr>
        <w:t xml:space="preserve">. This was based on previous work on the importance of cap-dependent translation in response to PI3K/mTOR inhibitors </w:t>
      </w:r>
      <w:r w:rsidR="005C21D8">
        <w:rPr>
          <w:noProof/>
          <w:color w:val="000000" w:themeColor="text1"/>
        </w:rPr>
        <w:t>(8)</w:t>
      </w:r>
      <w:r w:rsidRPr="008B09AE">
        <w:rPr>
          <w:color w:val="000000" w:themeColor="text1"/>
        </w:rPr>
        <w:t xml:space="preserve"> and the biological knowledge on mTOR-mediated translational control </w:t>
      </w:r>
      <w:r w:rsidR="00343503">
        <w:rPr>
          <w:noProof/>
          <w:color w:val="000000" w:themeColor="text1"/>
        </w:rPr>
        <w:t>(11)</w:t>
      </w:r>
      <w:r w:rsidRPr="008B09AE">
        <w:rPr>
          <w:color w:val="000000" w:themeColor="text1"/>
        </w:rPr>
        <w:t xml:space="preserve">. Recent work on PI3K inhibitors, PI3K pathway signaling and MYC-driven cancer made us reconsider the direct interaction from </w:t>
      </w:r>
      <m:oMath>
        <m:r>
          <w:rPr>
            <w:rFonts w:ascii="Cambria Math" w:hAnsi="Cambria Math"/>
            <w:color w:val="000000" w:themeColor="text1"/>
          </w:rPr>
          <m:t>Translation</m:t>
        </m:r>
      </m:oMath>
      <w:r w:rsidRPr="008B09AE">
        <w:rPr>
          <w:color w:val="000000" w:themeColor="text1"/>
        </w:rPr>
        <w:t xml:space="preserve"> to </w:t>
      </w:r>
      <m:oMath>
        <m:r>
          <w:rPr>
            <w:rFonts w:ascii="Cambria Math" w:hAnsi="Cambria Math"/>
            <w:color w:val="000000" w:themeColor="text1"/>
          </w:rPr>
          <m:t>Proliferation</m:t>
        </m:r>
      </m:oMath>
      <w:r w:rsidRPr="008B09AE">
        <w:rPr>
          <w:color w:val="000000" w:themeColor="text1"/>
        </w:rPr>
        <w:t xml:space="preserve">, and we instead assume that this interaction is mediated by a new node, </w:t>
      </w:r>
      <m:oMath>
        <m:r>
          <w:rPr>
            <w:rFonts w:ascii="Cambria Math" w:hAnsi="Cambria Math"/>
            <w:color w:val="000000" w:themeColor="text1"/>
          </w:rPr>
          <m:t>MYC_targets</m:t>
        </m:r>
      </m:oMath>
      <w:r w:rsidRPr="008B09AE">
        <w:rPr>
          <w:color w:val="000000" w:themeColor="text1"/>
        </w:rPr>
        <w:t>.</w:t>
      </w:r>
    </w:p>
    <w:p w14:paraId="569901D9" w14:textId="77777777" w:rsidR="00E20B20" w:rsidRPr="008B09AE" w:rsidRDefault="00E20B20" w:rsidP="00E20B20">
      <w:pPr>
        <w:jc w:val="both"/>
        <w:rPr>
          <w:color w:val="000000" w:themeColor="text1"/>
        </w:rPr>
      </w:pPr>
    </w:p>
    <w:p w14:paraId="46E8C82F" w14:textId="00B96358" w:rsidR="00E20B20" w:rsidRPr="008B09AE" w:rsidRDefault="00E20B20" w:rsidP="00E20B20">
      <w:pPr>
        <w:jc w:val="both"/>
        <w:rPr>
          <w:color w:val="000000" w:themeColor="text1"/>
        </w:rPr>
      </w:pPr>
      <w:r w:rsidRPr="008B09AE">
        <w:rPr>
          <w:rFonts w:eastAsia="Arial Unicode MS"/>
          <w:color w:val="000000" w:themeColor="text1"/>
        </w:rPr>
        <w:t>Very recent work on PI3K</w:t>
      </w:r>
      <w:r w:rsidRPr="008B09AE">
        <w:rPr>
          <w:rFonts w:eastAsia="Arial Unicode MS"/>
          <w:color w:val="000000" w:themeColor="text1"/>
        </w:rPr>
        <w:sym w:font="Symbol" w:char="F061"/>
      </w:r>
      <w:r w:rsidRPr="008B09AE">
        <w:rPr>
          <w:rFonts w:eastAsia="Arial Unicode MS"/>
          <w:color w:val="000000" w:themeColor="text1"/>
        </w:rPr>
        <w:t xml:space="preserve"> inhibitors found that multiple MYC target gene expression signatures (including the hallmark signatures </w:t>
      </w:r>
      <w:r w:rsidR="00343503">
        <w:rPr>
          <w:rFonts w:eastAsia="Arial Unicode MS"/>
          <w:noProof/>
          <w:color w:val="000000" w:themeColor="text1"/>
        </w:rPr>
        <w:t>(12)</w:t>
      </w:r>
      <w:r w:rsidRPr="008B09AE">
        <w:rPr>
          <w:rFonts w:eastAsia="Arial Unicode MS"/>
          <w:color w:val="000000" w:themeColor="text1"/>
        </w:rPr>
        <w:t>) are strongly downregulated in response to alpelisib in MCF7 and T47D cells, and that MYC overexpression can cause resistance to PI3K</w:t>
      </w:r>
      <w:r w:rsidRPr="008B09AE">
        <w:rPr>
          <w:rFonts w:eastAsia="Arial Unicode MS"/>
          <w:color w:val="000000" w:themeColor="text1"/>
        </w:rPr>
        <w:sym w:font="Symbol" w:char="F061"/>
      </w:r>
      <w:r w:rsidRPr="008B09AE">
        <w:rPr>
          <w:rFonts w:eastAsia="Arial Unicode MS"/>
          <w:color w:val="000000" w:themeColor="text1"/>
        </w:rPr>
        <w:t xml:space="preserve"> inhibitors </w:t>
      </w:r>
      <w:r w:rsidR="00343503">
        <w:rPr>
          <w:rFonts w:eastAsia="Arial Unicode MS"/>
          <w:noProof/>
          <w:color w:val="000000" w:themeColor="text1"/>
        </w:rPr>
        <w:t>(13)</w:t>
      </w:r>
      <w:r w:rsidRPr="008B09AE">
        <w:rPr>
          <w:color w:val="000000" w:themeColor="text1"/>
        </w:rPr>
        <w:t xml:space="preserve">. This is consistent with past work showing that overexpression of MYC or of eIF4F (which is part of the mTORC1 pathway and a direct regulator of </w:t>
      </w:r>
      <m:oMath>
        <m:r>
          <w:rPr>
            <w:rFonts w:ascii="Cambria Math" w:hAnsi="Cambria Math"/>
            <w:color w:val="000000" w:themeColor="text1"/>
          </w:rPr>
          <m:t>Translation</m:t>
        </m:r>
      </m:oMath>
      <w:r w:rsidRPr="008B09AE">
        <w:rPr>
          <w:color w:val="000000" w:themeColor="text1"/>
        </w:rPr>
        <w:t xml:space="preserve"> in our</w:t>
      </w:r>
      <w:r w:rsidR="00820256" w:rsidRPr="008B09AE">
        <w:rPr>
          <w:color w:val="000000" w:themeColor="text1"/>
        </w:rPr>
        <w:t xml:space="preserve"> 2017 and 2020</w:t>
      </w:r>
      <w:r w:rsidRPr="008B09AE">
        <w:rPr>
          <w:color w:val="000000" w:themeColor="text1"/>
        </w:rPr>
        <w:t xml:space="preserve"> models) induces resistance to PI3K/mTOR inhibitors </w:t>
      </w:r>
      <w:r w:rsidR="00343503">
        <w:rPr>
          <w:noProof/>
          <w:color w:val="000000" w:themeColor="text1"/>
        </w:rPr>
        <w:t>(14,15)</w:t>
      </w:r>
      <w:r w:rsidRPr="008B09AE">
        <w:rPr>
          <w:color w:val="000000" w:themeColor="text1"/>
        </w:rPr>
        <w:t xml:space="preserve">. These results are also consistent with very recent work finding a mutual exclusivity of </w:t>
      </w:r>
      <w:r w:rsidRPr="008B09AE">
        <w:rPr>
          <w:i/>
          <w:color w:val="000000" w:themeColor="text1"/>
        </w:rPr>
        <w:t>PIK3CA</w:t>
      </w:r>
      <w:r w:rsidRPr="008B09AE">
        <w:rPr>
          <w:color w:val="000000" w:themeColor="text1"/>
        </w:rPr>
        <w:t xml:space="preserve"> and MYC alterations </w:t>
      </w:r>
      <w:r w:rsidR="00725C35">
        <w:rPr>
          <w:noProof/>
          <w:color w:val="000000" w:themeColor="text1"/>
        </w:rPr>
        <w:t>(16)</w:t>
      </w:r>
      <w:r w:rsidRPr="008B09AE">
        <w:rPr>
          <w:color w:val="000000" w:themeColor="text1"/>
        </w:rPr>
        <w:t xml:space="preserve">, and the correlation of MYC and PI3K pathways signatures in breast and other cancers </w:t>
      </w:r>
      <w:r w:rsidR="00343503">
        <w:rPr>
          <w:noProof/>
          <w:color w:val="000000" w:themeColor="text1"/>
        </w:rPr>
        <w:t>(17)</w:t>
      </w:r>
      <w:r w:rsidRPr="008B09AE">
        <w:rPr>
          <w:color w:val="000000" w:themeColor="text1"/>
        </w:rPr>
        <w:t>.</w:t>
      </w:r>
    </w:p>
    <w:p w14:paraId="6B54918E" w14:textId="77777777" w:rsidR="00E20B20" w:rsidRPr="008B09AE" w:rsidRDefault="00E20B20" w:rsidP="00E20B20">
      <w:pPr>
        <w:jc w:val="both"/>
        <w:rPr>
          <w:color w:val="000000" w:themeColor="text1"/>
        </w:rPr>
      </w:pPr>
    </w:p>
    <w:p w14:paraId="2660F6AA" w14:textId="574EBC27" w:rsidR="00E20B20" w:rsidRPr="008B09AE" w:rsidRDefault="00E20B20" w:rsidP="00E20B20">
      <w:pPr>
        <w:jc w:val="both"/>
        <w:rPr>
          <w:color w:val="000000" w:themeColor="text1"/>
          <w:highlight w:val="white"/>
        </w:rPr>
      </w:pPr>
      <w:r w:rsidRPr="008B09AE">
        <w:rPr>
          <w:color w:val="000000" w:themeColor="text1"/>
        </w:rPr>
        <w:t xml:space="preserve">This work points to an overlap between the downstream effect of MYC and the mTORC1 pathway that is not fully captured in the </w:t>
      </w:r>
      <w:r w:rsidR="00820256" w:rsidRPr="008B09AE">
        <w:rPr>
          <w:color w:val="000000" w:themeColor="text1"/>
        </w:rPr>
        <w:t xml:space="preserve">2017 </w:t>
      </w:r>
      <w:r w:rsidRPr="008B09AE">
        <w:rPr>
          <w:color w:val="000000" w:themeColor="text1"/>
        </w:rPr>
        <w:t xml:space="preserve">model. To capture this overlap, the </w:t>
      </w:r>
      <w:r w:rsidR="00820256" w:rsidRPr="008B09AE">
        <w:rPr>
          <w:color w:val="000000" w:themeColor="text1"/>
        </w:rPr>
        <w:t xml:space="preserve">2020 </w:t>
      </w:r>
      <w:r w:rsidRPr="008B09AE">
        <w:rPr>
          <w:color w:val="000000" w:themeColor="text1"/>
        </w:rPr>
        <w:t xml:space="preserve">model includes the new node </w:t>
      </w:r>
      <m:oMath>
        <m:r>
          <w:rPr>
            <w:rFonts w:ascii="Cambria Math" w:hAnsi="Cambria Math"/>
            <w:color w:val="000000" w:themeColor="text1"/>
          </w:rPr>
          <m:t>MYC_targets</m:t>
        </m:r>
      </m:oMath>
      <w:r w:rsidRPr="008B09AE">
        <w:rPr>
          <w:color w:val="000000" w:themeColor="text1"/>
        </w:rPr>
        <w:t xml:space="preserve"> (the name of the MYC hallmark signatures in </w:t>
      </w:r>
      <w:r w:rsidR="00343503">
        <w:rPr>
          <w:noProof/>
          <w:color w:val="000000" w:themeColor="text1"/>
        </w:rPr>
        <w:t>(12)</w:t>
      </w:r>
      <w:r w:rsidRPr="008B09AE">
        <w:rPr>
          <w:color w:val="000000" w:themeColor="text1"/>
        </w:rPr>
        <w:t xml:space="preserve">), which denotes genes regulated by MYC and by mTORC1-dependent translation through the </w:t>
      </w:r>
      <w:r w:rsidRPr="008B09AE">
        <w:rPr>
          <w:color w:val="000000" w:themeColor="text1"/>
          <w:highlight w:val="white"/>
        </w:rPr>
        <w:t xml:space="preserve">EIF4 factors. </w:t>
      </w:r>
    </w:p>
    <w:p w14:paraId="70E397D2" w14:textId="77777777" w:rsidR="00E20B20" w:rsidRPr="008B09AE" w:rsidRDefault="00E20B20" w:rsidP="00E20B20">
      <w:pPr>
        <w:jc w:val="both"/>
        <w:rPr>
          <w:color w:val="000000" w:themeColor="text1"/>
          <w:highlight w:val="white"/>
        </w:rPr>
      </w:pPr>
    </w:p>
    <w:p w14:paraId="664438BD" w14:textId="77777777" w:rsidR="00E20B20" w:rsidRPr="008B09AE" w:rsidRDefault="00E20B20" w:rsidP="00E20B20">
      <w:pPr>
        <w:jc w:val="both"/>
        <w:rPr>
          <w:color w:val="000000" w:themeColor="text1"/>
        </w:rPr>
      </w:pPr>
      <w:r w:rsidRPr="008B09AE">
        <w:rPr>
          <w:color w:val="000000" w:themeColor="text1"/>
          <w:highlight w:val="white"/>
        </w:rPr>
        <w:t xml:space="preserve">The regulatory function for </w:t>
      </w:r>
      <m:oMath>
        <m:r>
          <w:rPr>
            <w:rFonts w:ascii="Cambria Math" w:hAnsi="Cambria Math"/>
            <w:color w:val="000000" w:themeColor="text1"/>
          </w:rPr>
          <m:t>MYC_targets</m:t>
        </m:r>
      </m:oMath>
      <w:r w:rsidRPr="008B09AE">
        <w:rPr>
          <w:color w:val="000000" w:themeColor="text1"/>
          <w:highlight w:val="white"/>
        </w:rPr>
        <w:t xml:space="preserve"> </w:t>
      </w:r>
      <w:r w:rsidRPr="008B09AE">
        <w:rPr>
          <w:color w:val="000000" w:themeColor="text1"/>
        </w:rPr>
        <w:t>is such that either Translation and basal MYC activity (</w:t>
      </w:r>
      <m:oMath>
        <m:r>
          <w:rPr>
            <w:rFonts w:ascii="Cambria Math" w:hAnsi="Cambria Math"/>
            <w:color w:val="000000" w:themeColor="text1"/>
          </w:rPr>
          <m:t>MYC=1</m:t>
        </m:r>
      </m:oMath>
      <w:r w:rsidRPr="008B09AE">
        <w:rPr>
          <w:color w:val="000000" w:themeColor="text1"/>
        </w:rPr>
        <w:t>) or high MYC activity alone (</w:t>
      </w:r>
      <m:oMath>
        <m:r>
          <w:rPr>
            <w:rFonts w:ascii="Cambria Math" w:hAnsi="Cambria Math"/>
            <w:color w:val="000000" w:themeColor="text1"/>
          </w:rPr>
          <m:t>MYC=2</m:t>
        </m:r>
      </m:oMath>
      <w:r w:rsidRPr="008B09AE">
        <w:rPr>
          <w:color w:val="000000" w:themeColor="text1"/>
        </w:rPr>
        <w:t>) can result in high activity of MYC targets (</w:t>
      </w:r>
      <m:oMath>
        <m:r>
          <w:rPr>
            <w:rFonts w:ascii="Cambria Math" w:hAnsi="Cambria Math"/>
            <w:color w:val="000000" w:themeColor="text1"/>
          </w:rPr>
          <m:t>MYC_targets=2</m:t>
        </m:r>
      </m:oMath>
      <w:r w:rsidRPr="008B09AE">
        <w:rPr>
          <w:color w:val="000000" w:themeColor="text1"/>
        </w:rPr>
        <w:t>). Translation or MYC activity (</w:t>
      </w:r>
      <m:oMath>
        <m:r>
          <w:rPr>
            <w:rFonts w:ascii="Cambria Math" w:hAnsi="Cambria Math"/>
            <w:color w:val="000000" w:themeColor="text1"/>
          </w:rPr>
          <m:t>MYC≥ 1</m:t>
        </m:r>
      </m:oMath>
      <w:r w:rsidRPr="008B09AE">
        <w:rPr>
          <w:color w:val="000000" w:themeColor="text1"/>
        </w:rPr>
        <w:t>) alone can result in in intermediate activity of MYC targets (</w:t>
      </w:r>
      <m:oMath>
        <m:r>
          <w:rPr>
            <w:rFonts w:ascii="Cambria Math" w:hAnsi="Cambria Math"/>
            <w:color w:val="000000" w:themeColor="text1"/>
          </w:rPr>
          <m:t>MYC_targets=1</m:t>
        </m:r>
      </m:oMath>
      <w:r w:rsidRPr="008B09AE">
        <w:rPr>
          <w:color w:val="000000" w:themeColor="text1"/>
        </w:rPr>
        <w:t>).</w:t>
      </w:r>
    </w:p>
    <w:p w14:paraId="6241A8C3" w14:textId="77777777" w:rsidR="00E20B20" w:rsidRPr="008B09AE" w:rsidRDefault="00E20B20" w:rsidP="00E20B20">
      <w:pPr>
        <w:jc w:val="both"/>
        <w:rPr>
          <w:color w:val="000000" w:themeColor="text1"/>
        </w:rPr>
      </w:pPr>
    </w:p>
    <w:p w14:paraId="0BF43595"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MYC_targets</m:t>
              </m:r>
            </m:sub>
          </m:sSub>
          <m:r>
            <w:rPr>
              <w:rFonts w:ascii="Cambria Math" w:hAnsi="Cambria Math"/>
              <w:color w:val="000000" w:themeColor="text1"/>
            </w:rPr>
            <m:t>=(MYC_2 or MYC) or Translation</m:t>
          </m:r>
        </m:oMath>
      </m:oMathPara>
    </w:p>
    <w:p w14:paraId="32B84875" w14:textId="77777777" w:rsidR="00E20B20" w:rsidRPr="008B09AE"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MYC_targets_2</m:t>
              </m:r>
            </m:sub>
          </m:sSub>
          <m:r>
            <w:rPr>
              <w:rFonts w:ascii="Cambria Math" w:hAnsi="Cambria Math"/>
              <w:color w:val="000000" w:themeColor="text1"/>
            </w:rPr>
            <m:t>=(MYC_2) or (MYC and Translation)</m:t>
          </m:r>
        </m:oMath>
      </m:oMathPara>
    </w:p>
    <w:p w14:paraId="62C0743D" w14:textId="77777777" w:rsidR="00E20B20" w:rsidRPr="00B27EF7" w:rsidRDefault="00E20B20" w:rsidP="00E20B20">
      <w:pPr>
        <w:jc w:val="both"/>
        <w:rPr>
          <w:color w:val="000000" w:themeColor="text1"/>
        </w:rPr>
      </w:pPr>
    </w:p>
    <w:p w14:paraId="0C3829CC" w14:textId="77777777" w:rsidR="00E20B20" w:rsidRPr="00B27EF7" w:rsidRDefault="00E20B20" w:rsidP="00E20B20">
      <w:pPr>
        <w:pStyle w:val="Heading3"/>
        <w:jc w:val="both"/>
        <w:rPr>
          <w:color w:val="000000" w:themeColor="text1"/>
        </w:rPr>
      </w:pPr>
      <w:bookmarkStart w:id="15" w:name="_efjqp08vsdji" w:colFirst="0" w:colLast="0"/>
      <w:bookmarkEnd w:id="15"/>
      <w:r w:rsidRPr="00B27EF7">
        <w:rPr>
          <w:color w:val="000000" w:themeColor="text1"/>
        </w:rPr>
        <w:lastRenderedPageBreak/>
        <w:t>Proliferation, pRb, and E2F</w:t>
      </w:r>
    </w:p>
    <w:p w14:paraId="61A81E38" w14:textId="77777777" w:rsidR="00E20B20" w:rsidRPr="00B27EF7" w:rsidRDefault="00E20B20" w:rsidP="00E20B20">
      <w:pPr>
        <w:jc w:val="both"/>
        <w:rPr>
          <w:color w:val="000000" w:themeColor="text1"/>
        </w:rPr>
      </w:pPr>
    </w:p>
    <w:p w14:paraId="099C4382" w14:textId="12C43675" w:rsidR="00E20B20" w:rsidRPr="00157EC2" w:rsidRDefault="00E20B20" w:rsidP="00E20B20">
      <w:pPr>
        <w:jc w:val="both"/>
        <w:rPr>
          <w:color w:val="000000" w:themeColor="text1"/>
        </w:rPr>
      </w:pPr>
      <w:r w:rsidRPr="00157EC2">
        <w:rPr>
          <w:color w:val="000000" w:themeColor="text1"/>
        </w:rPr>
        <w:t xml:space="preserve">In the </w:t>
      </w:r>
      <w:r w:rsidR="00B5145E" w:rsidRPr="00157EC2">
        <w:rPr>
          <w:color w:val="000000" w:themeColor="text1"/>
        </w:rPr>
        <w:t xml:space="preserve">2020 </w:t>
      </w:r>
      <w:r w:rsidRPr="00157EC2">
        <w:rPr>
          <w:color w:val="000000" w:themeColor="text1"/>
        </w:rPr>
        <w:t xml:space="preserve">model, </w:t>
      </w:r>
      <m:oMath>
        <m:r>
          <w:rPr>
            <w:rFonts w:ascii="Cambria Math" w:hAnsi="Cambria Math"/>
            <w:color w:val="000000" w:themeColor="text1"/>
          </w:rPr>
          <m:t>pRb</m:t>
        </m:r>
      </m:oMath>
      <w:r w:rsidRPr="00157EC2">
        <w:rPr>
          <w:color w:val="000000" w:themeColor="text1"/>
        </w:rPr>
        <w:t xml:space="preserve">, </w:t>
      </w:r>
      <m:oMath>
        <m:r>
          <w:rPr>
            <w:rFonts w:ascii="Cambria Math" w:hAnsi="Cambria Math"/>
            <w:color w:val="000000" w:themeColor="text1"/>
          </w:rPr>
          <m:t>E2F</m:t>
        </m:r>
      </m:oMath>
      <w:r w:rsidRPr="00157EC2">
        <w:rPr>
          <w:color w:val="000000" w:themeColor="text1"/>
        </w:rPr>
        <w:t xml:space="preserve">, and </w:t>
      </w:r>
      <m:oMath>
        <m:r>
          <w:rPr>
            <w:rFonts w:ascii="Cambria Math" w:hAnsi="Cambria Math"/>
            <w:color w:val="000000" w:themeColor="text1"/>
          </w:rPr>
          <m:t>Proliferation</m:t>
        </m:r>
      </m:oMath>
      <w:r w:rsidRPr="00157EC2">
        <w:rPr>
          <w:color w:val="000000" w:themeColor="text1"/>
        </w:rPr>
        <w:t xml:space="preserve"> each have one less state compared to the </w:t>
      </w:r>
      <w:r w:rsidR="00B5145E" w:rsidRPr="00157EC2">
        <w:rPr>
          <w:color w:val="000000" w:themeColor="text1"/>
        </w:rPr>
        <w:t xml:space="preserve">2017 </w:t>
      </w:r>
      <w:r w:rsidRPr="00157EC2">
        <w:rPr>
          <w:color w:val="000000" w:themeColor="text1"/>
        </w:rPr>
        <w:t xml:space="preserve">model (in the </w:t>
      </w:r>
      <w:r w:rsidR="00B5145E" w:rsidRPr="00157EC2">
        <w:rPr>
          <w:color w:val="000000" w:themeColor="text1"/>
        </w:rPr>
        <w:t xml:space="preserve">2020 </w:t>
      </w:r>
      <w:r w:rsidRPr="00157EC2">
        <w:rPr>
          <w:color w:val="000000" w:themeColor="text1"/>
        </w:rPr>
        <w:t xml:space="preserve">model </w:t>
      </w:r>
      <m:oMath>
        <m:r>
          <w:rPr>
            <w:rFonts w:ascii="Cambria Math" w:hAnsi="Cambria Math"/>
            <w:color w:val="000000" w:themeColor="text1"/>
          </w:rPr>
          <m:t>pRb</m:t>
        </m:r>
      </m:oMath>
      <w:r w:rsidRPr="00157EC2">
        <w:rPr>
          <w:color w:val="000000" w:themeColor="text1"/>
        </w:rPr>
        <w:t xml:space="preserve"> and </w:t>
      </w:r>
      <m:oMath>
        <m:r>
          <w:rPr>
            <w:rFonts w:ascii="Cambria Math" w:hAnsi="Cambria Math"/>
            <w:color w:val="000000" w:themeColor="text1"/>
          </w:rPr>
          <m:t>E2F</m:t>
        </m:r>
      </m:oMath>
      <w:r w:rsidRPr="00157EC2">
        <w:rPr>
          <w:color w:val="000000" w:themeColor="text1"/>
        </w:rPr>
        <w:t xml:space="preserve"> have 3 states and </w:t>
      </w:r>
      <m:oMath>
        <m:r>
          <w:rPr>
            <w:rFonts w:ascii="Cambria Math" w:hAnsi="Cambria Math"/>
            <w:color w:val="000000" w:themeColor="text1"/>
          </w:rPr>
          <m:t>Proliferation</m:t>
        </m:r>
      </m:oMath>
      <w:r w:rsidRPr="00157EC2">
        <w:rPr>
          <w:rFonts w:eastAsia="Arial Unicode MS"/>
          <w:color w:val="000000" w:themeColor="text1"/>
        </w:rPr>
        <w:t xml:space="preserve"> has 4 states). This change is motivated by the relatively small effect on PI3K</w:t>
      </w:r>
      <w:r w:rsidRPr="00157EC2">
        <w:rPr>
          <w:rFonts w:eastAsia="Arial Unicode MS"/>
          <w:color w:val="000000" w:themeColor="text1"/>
        </w:rPr>
        <w:sym w:font="Symbol" w:char="F061"/>
      </w:r>
      <w:r w:rsidRPr="00157EC2">
        <w:rPr>
          <w:rFonts w:eastAsia="Arial Unicode MS"/>
          <w:color w:val="000000" w:themeColor="text1"/>
        </w:rPr>
        <w:t xml:space="preserve"> inhibitor sensitivity seen by FOXO3 and RB1 knockdown compared to what was seen for other PI3K</w:t>
      </w:r>
      <w:r w:rsidRPr="00157EC2">
        <w:rPr>
          <w:rFonts w:eastAsia="Arial Unicode MS"/>
          <w:color w:val="000000" w:themeColor="text1"/>
        </w:rPr>
        <w:sym w:font="Symbol" w:char="F061"/>
      </w:r>
      <w:r w:rsidRPr="00157EC2">
        <w:rPr>
          <w:rFonts w:eastAsia="Arial Unicode MS"/>
          <w:color w:val="000000" w:themeColor="text1"/>
        </w:rPr>
        <w:t xml:space="preserve"> inhibitor resistance mechanisms (see e.g. </w:t>
      </w:r>
      <w:r w:rsidR="00B73B5C">
        <w:rPr>
          <w:rFonts w:eastAsia="Arial Unicode MS"/>
          <w:noProof/>
          <w:color w:val="000000" w:themeColor="text1"/>
        </w:rPr>
        <w:t>(18)</w:t>
      </w:r>
      <w:r w:rsidRPr="00157EC2">
        <w:rPr>
          <w:color w:val="000000" w:themeColor="text1"/>
        </w:rPr>
        <w:t>).</w:t>
      </w:r>
    </w:p>
    <w:p w14:paraId="4AD67AB0" w14:textId="77777777" w:rsidR="00E20B20" w:rsidRPr="00157EC2" w:rsidRDefault="00E20B20" w:rsidP="00E20B20">
      <w:pPr>
        <w:jc w:val="both"/>
        <w:rPr>
          <w:color w:val="000000" w:themeColor="text1"/>
        </w:rPr>
      </w:pPr>
    </w:p>
    <w:p w14:paraId="47178FC3" w14:textId="064CE256" w:rsidR="00722827" w:rsidRPr="00157EC2" w:rsidRDefault="00E20B20" w:rsidP="00722827">
      <w:pPr>
        <w:jc w:val="both"/>
        <w:rPr>
          <w:color w:val="000000" w:themeColor="text1"/>
        </w:rPr>
      </w:pPr>
      <w:r w:rsidRPr="00157EC2">
        <w:rPr>
          <w:color w:val="000000" w:themeColor="text1"/>
        </w:rPr>
        <w:t xml:space="preserve">In the </w:t>
      </w:r>
      <w:r w:rsidR="00B5145E" w:rsidRPr="00157EC2">
        <w:rPr>
          <w:color w:val="000000" w:themeColor="text1"/>
        </w:rPr>
        <w:t xml:space="preserve">2017 </w:t>
      </w:r>
      <w:r w:rsidRPr="00157EC2">
        <w:rPr>
          <w:color w:val="000000" w:themeColor="text1"/>
        </w:rPr>
        <w:t xml:space="preserve">model, </w:t>
      </w:r>
      <m:oMath>
        <m:r>
          <w:rPr>
            <w:rFonts w:ascii="Cambria Math" w:hAnsi="Cambria Math"/>
            <w:color w:val="000000" w:themeColor="text1"/>
          </w:rPr>
          <m:t>pRb</m:t>
        </m:r>
      </m:oMath>
      <w:r w:rsidRPr="00157EC2">
        <w:rPr>
          <w:color w:val="000000" w:themeColor="text1"/>
        </w:rPr>
        <w:t xml:space="preserve"> and </w:t>
      </w:r>
      <m:oMath>
        <m:r>
          <w:rPr>
            <w:rFonts w:ascii="Cambria Math" w:hAnsi="Cambria Math"/>
            <w:color w:val="000000" w:themeColor="text1"/>
          </w:rPr>
          <m:t>E2F</m:t>
        </m:r>
      </m:oMath>
      <w:r w:rsidRPr="00157EC2">
        <w:rPr>
          <w:color w:val="000000" w:themeColor="text1"/>
        </w:rPr>
        <w:t xml:space="preserve"> could have 4 states, which reflected distinct degrees of phosphorylation of Rb and their distinct ability to bind and inhibit the E2F family of transcription factors: unphosphorylated, multiple hypo-phosphorylated states (e.g. phosphorylation at 1 or 2 sites), and hyper-phosphorylated </w:t>
      </w:r>
      <w:r w:rsidR="00B73B5C">
        <w:rPr>
          <w:noProof/>
          <w:color w:val="000000" w:themeColor="text1"/>
        </w:rPr>
        <w:t>(19–21)</w:t>
      </w:r>
      <w:r w:rsidRPr="00157EC2">
        <w:rPr>
          <w:color w:val="000000" w:themeColor="text1"/>
        </w:rPr>
        <w:t>. The unphosphorylated Rb binds and inhibits the E2F family, while the ability to inhibit E2F is lower in the hypo-phosphorylated forms, and the lowest in the hyper-phosphorylated form.</w:t>
      </w:r>
      <w:r w:rsidR="00722827" w:rsidRPr="00157EC2">
        <w:rPr>
          <w:color w:val="000000" w:themeColor="text1"/>
        </w:rPr>
        <w:t xml:space="preserve"> Note that there is significant evidence that RB1 KD results in the upregulation of E2F transcription factors in ER+ breast cancer </w:t>
      </w:r>
      <w:r w:rsidR="00725C35">
        <w:rPr>
          <w:noProof/>
          <w:color w:val="000000" w:themeColor="text1"/>
        </w:rPr>
        <w:t>(22–24)</w:t>
      </w:r>
      <w:r w:rsidR="00722827" w:rsidRPr="00157EC2">
        <w:rPr>
          <w:color w:val="000000" w:themeColor="text1"/>
        </w:rPr>
        <w:t>. There is also evidence that there is an increase in R</w:t>
      </w:r>
      <w:r w:rsidR="00BC6249" w:rsidRPr="00157EC2">
        <w:rPr>
          <w:color w:val="000000" w:themeColor="text1"/>
        </w:rPr>
        <w:t>b</w:t>
      </w:r>
      <w:r w:rsidR="00722827" w:rsidRPr="00157EC2">
        <w:rPr>
          <w:color w:val="000000" w:themeColor="text1"/>
        </w:rPr>
        <w:t xml:space="preserve"> activity in response to PI3Kα inhibitors (see </w:t>
      </w:r>
      <w:r w:rsidR="00B73B5C">
        <w:rPr>
          <w:noProof/>
          <w:color w:val="000000" w:themeColor="text1"/>
        </w:rPr>
        <w:t>(25)</w:t>
      </w:r>
      <w:r w:rsidR="00722827" w:rsidRPr="00157EC2">
        <w:rPr>
          <w:color w:val="000000" w:themeColor="text1"/>
        </w:rPr>
        <w:t xml:space="preserve"> where they measured R</w:t>
      </w:r>
      <w:r w:rsidR="00BC6249" w:rsidRPr="00157EC2">
        <w:rPr>
          <w:color w:val="000000" w:themeColor="text1"/>
        </w:rPr>
        <w:t>b</w:t>
      </w:r>
      <w:r w:rsidR="00722827" w:rsidRPr="00157EC2">
        <w:rPr>
          <w:color w:val="000000" w:themeColor="text1"/>
        </w:rPr>
        <w:t xml:space="preserve"> phosphorylation in ER+ cell lines in response to PI3Kα inhibitors) and a downregulation of E2F transcriptional activity in response to alpelisib (see </w:t>
      </w:r>
      <w:r w:rsidR="00B73B5C">
        <w:rPr>
          <w:noProof/>
          <w:color w:val="000000" w:themeColor="text1"/>
        </w:rPr>
        <w:t>(13)</w:t>
      </w:r>
      <w:r w:rsidR="00722827" w:rsidRPr="00157EC2">
        <w:rPr>
          <w:color w:val="000000" w:themeColor="text1"/>
        </w:rPr>
        <w:t>, where the used the HALLMARK_E2F_TARGETS gene signature in RNA-seq data from MCF7 and T47D cell lines treated with alpelisib).</w:t>
      </w:r>
    </w:p>
    <w:p w14:paraId="6BD69D46" w14:textId="77777777" w:rsidR="00E20B20" w:rsidRPr="00157EC2" w:rsidRDefault="00E20B20" w:rsidP="00E20B20">
      <w:pPr>
        <w:jc w:val="both"/>
        <w:rPr>
          <w:color w:val="000000" w:themeColor="text1"/>
        </w:rPr>
      </w:pPr>
    </w:p>
    <w:p w14:paraId="235C6A50" w14:textId="77777777" w:rsidR="00E20B20" w:rsidRPr="00157EC2" w:rsidRDefault="00E20B20" w:rsidP="00E20B20">
      <w:pPr>
        <w:jc w:val="both"/>
        <w:rPr>
          <w:color w:val="000000" w:themeColor="text1"/>
        </w:rPr>
      </w:pPr>
      <w:r w:rsidRPr="00157EC2">
        <w:rPr>
          <w:color w:val="000000" w:themeColor="text1"/>
        </w:rPr>
        <w:t xml:space="preserve">Given that our experiments showed that RB1 knockdown has a small effect on sensitivity to alpelisib (Fig. 6), this suggests that we need less than 4 states of Rb to capture its effect on its targets, </w:t>
      </w:r>
      <m:oMath>
        <m:r>
          <w:rPr>
            <w:rFonts w:ascii="Cambria Math" w:hAnsi="Cambria Math"/>
            <w:color w:val="000000" w:themeColor="text1"/>
          </w:rPr>
          <m:t>E2F</m:t>
        </m:r>
      </m:oMath>
      <w:r w:rsidRPr="00157EC2">
        <w:rPr>
          <w:color w:val="000000" w:themeColor="text1"/>
        </w:rPr>
        <w:t xml:space="preserve"> and </w:t>
      </w:r>
      <m:oMath>
        <m:r>
          <w:rPr>
            <w:rFonts w:ascii="Cambria Math" w:hAnsi="Cambria Math"/>
            <w:color w:val="000000" w:themeColor="text1"/>
          </w:rPr>
          <m:t>Proliferation</m:t>
        </m:r>
      </m:oMath>
      <w:r w:rsidRPr="00157EC2">
        <w:rPr>
          <w:color w:val="000000" w:themeColor="text1"/>
        </w:rPr>
        <w:t xml:space="preserve">. The number of states of </w:t>
      </w:r>
      <m:oMath>
        <m:r>
          <w:rPr>
            <w:rFonts w:ascii="Cambria Math" w:hAnsi="Cambria Math"/>
            <w:color w:val="000000" w:themeColor="text1"/>
          </w:rPr>
          <m:t>pRb</m:t>
        </m:r>
      </m:oMath>
      <w:r w:rsidRPr="00157EC2">
        <w:rPr>
          <w:color w:val="000000" w:themeColor="text1"/>
        </w:rPr>
        <w:t xml:space="preserve"> may not be fully dictated by the phosphorylation states of Rb. Since </w:t>
      </w:r>
      <m:oMath>
        <m:r>
          <w:rPr>
            <w:rFonts w:ascii="Cambria Math" w:hAnsi="Cambria Math"/>
            <w:color w:val="000000" w:themeColor="text1"/>
          </w:rPr>
          <m:t>Proliferation</m:t>
        </m:r>
      </m:oMath>
      <w:r w:rsidRPr="00157EC2">
        <w:rPr>
          <w:color w:val="000000" w:themeColor="text1"/>
        </w:rPr>
        <w:t xml:space="preserve"> denotes the propensity of cells to enter the cell cycle, a more appropriate interpretation is to consider </w:t>
      </w:r>
      <m:oMath>
        <m:r>
          <w:rPr>
            <w:rFonts w:ascii="Cambria Math" w:hAnsi="Cambria Math"/>
            <w:color w:val="000000" w:themeColor="text1"/>
          </w:rPr>
          <m:t>pRb</m:t>
        </m:r>
      </m:oMath>
      <w:r w:rsidRPr="00157EC2">
        <w:rPr>
          <w:color w:val="000000" w:themeColor="text1"/>
        </w:rPr>
        <w:t xml:space="preserve"> as the activity level of Rb in terms of its inhibitory effect on E2F and on the proliferation propensity (where </w:t>
      </w:r>
      <m:oMath>
        <m:r>
          <w:rPr>
            <w:rFonts w:ascii="Cambria Math" w:hAnsi="Cambria Math"/>
            <w:color w:val="000000" w:themeColor="text1"/>
          </w:rPr>
          <m:t>pRb=2</m:t>
        </m:r>
      </m:oMath>
      <w:r w:rsidRPr="00157EC2">
        <w:rPr>
          <w:color w:val="000000" w:themeColor="text1"/>
        </w:rPr>
        <w:t xml:space="preserve"> denotes no anti-proliferative effect and </w:t>
      </w:r>
      <m:oMath>
        <m:r>
          <w:rPr>
            <w:rFonts w:ascii="Cambria Math" w:hAnsi="Cambria Math"/>
            <w:color w:val="000000" w:themeColor="text1"/>
          </w:rPr>
          <m:t>pRb=0</m:t>
        </m:r>
      </m:oMath>
      <w:r w:rsidRPr="00157EC2">
        <w:rPr>
          <w:color w:val="000000" w:themeColor="text1"/>
        </w:rPr>
        <w:t xml:space="preserve"> is the maximum anti-proliferative effect) .</w:t>
      </w:r>
    </w:p>
    <w:p w14:paraId="2B67377C" w14:textId="77777777" w:rsidR="00E20B20" w:rsidRPr="00157EC2" w:rsidRDefault="00E20B20" w:rsidP="00E20B20">
      <w:pPr>
        <w:jc w:val="both"/>
        <w:rPr>
          <w:color w:val="000000" w:themeColor="text1"/>
        </w:rPr>
      </w:pPr>
    </w:p>
    <w:p w14:paraId="31C86145" w14:textId="77777777" w:rsidR="00E20B20" w:rsidRPr="00157EC2" w:rsidRDefault="00E20B20" w:rsidP="00E20B20">
      <w:pPr>
        <w:jc w:val="both"/>
        <w:rPr>
          <w:color w:val="000000" w:themeColor="text1"/>
        </w:rPr>
      </w:pPr>
      <w:r w:rsidRPr="00157EC2">
        <w:rPr>
          <w:color w:val="000000" w:themeColor="text1"/>
        </w:rPr>
        <w:t xml:space="preserve">Using the above interpretation, the activity levels of </w:t>
      </w:r>
      <m:oMath>
        <m:r>
          <w:rPr>
            <w:rFonts w:ascii="Cambria Math" w:hAnsi="Cambria Math"/>
            <w:color w:val="000000" w:themeColor="text1"/>
          </w:rPr>
          <m:t>pRb</m:t>
        </m:r>
      </m:oMath>
      <w:r w:rsidRPr="00157EC2">
        <w:rPr>
          <w:color w:val="000000" w:themeColor="text1"/>
        </w:rPr>
        <w:t xml:space="preserve"> would still depend on the activity of the cyclin E and cyclin D complexes (nodes </w:t>
      </w:r>
      <m:oMath>
        <m:r>
          <w:rPr>
            <w:rFonts w:ascii="Cambria Math" w:hAnsi="Cambria Math"/>
            <w:color w:val="000000" w:themeColor="text1"/>
          </w:rPr>
          <m:t>cyclinE/CDK2</m:t>
        </m:r>
      </m:oMath>
      <w:r w:rsidRPr="00157EC2">
        <w:rPr>
          <w:color w:val="000000" w:themeColor="text1"/>
        </w:rPr>
        <w:t xml:space="preserve"> and </w:t>
      </w:r>
      <m:oMath>
        <m:r>
          <w:rPr>
            <w:rFonts w:ascii="Cambria Math" w:hAnsi="Cambria Math"/>
            <w:color w:val="000000" w:themeColor="text1"/>
          </w:rPr>
          <m:t>cycD/CDK4/6</m:t>
        </m:r>
      </m:oMath>
      <w:r w:rsidRPr="00157EC2">
        <w:rPr>
          <w:color w:val="000000" w:themeColor="text1"/>
        </w:rPr>
        <w:t xml:space="preserve">), which regulate the activation of Rb during cell cycle progression. We assume that </w:t>
      </w:r>
      <m:oMath>
        <m:r>
          <w:rPr>
            <w:rFonts w:ascii="Cambria Math" w:hAnsi="Cambria Math"/>
            <w:color w:val="000000" w:themeColor="text1"/>
          </w:rPr>
          <m:t>pRb=2</m:t>
        </m:r>
      </m:oMath>
      <w:r w:rsidRPr="00157EC2">
        <w:rPr>
          <w:color w:val="000000" w:themeColor="text1"/>
        </w:rPr>
        <w:t xml:space="preserve"> requires the activity of both the cyclin D and E complexes (</w:t>
      </w:r>
      <m:oMath>
        <m:r>
          <w:rPr>
            <w:rFonts w:ascii="Cambria Math" w:hAnsi="Cambria Math"/>
            <w:color w:val="000000" w:themeColor="text1"/>
          </w:rPr>
          <m:t>cyclinE/CDK2=1</m:t>
        </m:r>
      </m:oMath>
      <w:r w:rsidRPr="00157EC2">
        <w:rPr>
          <w:color w:val="000000" w:themeColor="text1"/>
        </w:rPr>
        <w:t xml:space="preserve"> and </w:t>
      </w:r>
      <m:oMath>
        <m:r>
          <w:rPr>
            <w:rFonts w:ascii="Cambria Math" w:hAnsi="Cambria Math"/>
            <w:color w:val="000000" w:themeColor="text1"/>
          </w:rPr>
          <m:t>cycD/CDK4/6=1</m:t>
        </m:r>
      </m:oMath>
      <w:r w:rsidRPr="00157EC2">
        <w:rPr>
          <w:color w:val="000000" w:themeColor="text1"/>
        </w:rPr>
        <w:t>) or high activity of the cyclin D complex (</w:t>
      </w:r>
      <m:oMath>
        <m:r>
          <w:rPr>
            <w:rFonts w:ascii="Cambria Math" w:hAnsi="Cambria Math"/>
            <w:color w:val="000000" w:themeColor="text1"/>
          </w:rPr>
          <m:t>cycD/CDK4/6=2</m:t>
        </m:r>
      </m:oMath>
      <w:r w:rsidRPr="00157EC2">
        <w:rPr>
          <w:color w:val="000000" w:themeColor="text1"/>
        </w:rPr>
        <w:t xml:space="preserve">). For </w:t>
      </w:r>
      <m:oMath>
        <m:r>
          <w:rPr>
            <w:rFonts w:ascii="Cambria Math" w:hAnsi="Cambria Math"/>
            <w:color w:val="000000" w:themeColor="text1"/>
          </w:rPr>
          <m:t>pRb=1</m:t>
        </m:r>
      </m:oMath>
      <w:r w:rsidRPr="00157EC2">
        <w:rPr>
          <w:color w:val="000000" w:themeColor="text1"/>
        </w:rPr>
        <w:t xml:space="preserve">, the activity of either complex is sufficient. In addition, since the loss of Rb results in no inhibitory effect of Rb on E2F family members, we encode this in the rules by enforcing that </w:t>
      </w:r>
      <m:oMath>
        <m:r>
          <w:rPr>
            <w:rFonts w:ascii="Cambria Math" w:hAnsi="Cambria Math"/>
            <w:color w:val="000000" w:themeColor="text1"/>
          </w:rPr>
          <m:t>Rb_T=0</m:t>
        </m:r>
      </m:oMath>
      <w:r w:rsidRPr="00157EC2">
        <w:rPr>
          <w:color w:val="000000" w:themeColor="text1"/>
        </w:rPr>
        <w:t xml:space="preserve"> results in </w:t>
      </w:r>
      <m:oMath>
        <m:r>
          <w:rPr>
            <w:rFonts w:ascii="Cambria Math" w:hAnsi="Cambria Math"/>
            <w:color w:val="000000" w:themeColor="text1"/>
          </w:rPr>
          <m:t>pRb=2</m:t>
        </m:r>
      </m:oMath>
      <w:r w:rsidRPr="00157EC2">
        <w:rPr>
          <w:color w:val="000000" w:themeColor="text1"/>
        </w:rPr>
        <w:t xml:space="preserve"> (i.e., no inhibitory effect on the node </w:t>
      </w:r>
      <m:oMath>
        <m:r>
          <w:rPr>
            <w:rFonts w:ascii="Cambria Math" w:hAnsi="Cambria Math"/>
            <w:color w:val="000000" w:themeColor="text1"/>
          </w:rPr>
          <m:t>E2F</m:t>
        </m:r>
      </m:oMath>
      <w:r w:rsidRPr="00157EC2">
        <w:rPr>
          <w:color w:val="000000" w:themeColor="text1"/>
        </w:rPr>
        <w:t>).</w:t>
      </w:r>
    </w:p>
    <w:p w14:paraId="6F486A02" w14:textId="77777777" w:rsidR="00E20B20" w:rsidRPr="00157EC2" w:rsidRDefault="00E20B20" w:rsidP="00E20B20">
      <w:pPr>
        <w:jc w:val="both"/>
        <w:rPr>
          <w:color w:val="000000" w:themeColor="text1"/>
        </w:rPr>
      </w:pPr>
    </w:p>
    <w:p w14:paraId="4817B5AE" w14:textId="77777777" w:rsidR="00E20B20" w:rsidRPr="00157EC2"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pRb</m:t>
              </m:r>
            </m:sub>
          </m:sSub>
          <m:r>
            <w:rPr>
              <w:rFonts w:ascii="Cambria Math" w:hAnsi="Cambria Math"/>
              <w:color w:val="000000" w:themeColor="text1"/>
            </w:rPr>
            <m:t>=(cycD_CDK46_2 or cycD_CDK46) or not Rb_T</m:t>
          </m:r>
        </m:oMath>
      </m:oMathPara>
    </w:p>
    <w:p w14:paraId="50A19DDD" w14:textId="77777777" w:rsidR="00E20B20" w:rsidRPr="00157EC2"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pRb_2</m:t>
              </m:r>
            </m:sub>
          </m:sSub>
          <m:r>
            <w:rPr>
              <w:rFonts w:ascii="Cambria Math" w:hAnsi="Cambria Math"/>
              <w:color w:val="000000" w:themeColor="text1"/>
            </w:rPr>
            <m:t>=((cycD_CDK46 and cycE_CDK2) or cycD_CDK46_2) or not Rb_T</m:t>
          </m:r>
        </m:oMath>
      </m:oMathPara>
    </w:p>
    <w:p w14:paraId="63321654" w14:textId="77777777" w:rsidR="00E20B20" w:rsidRPr="00157EC2"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E2F</m:t>
              </m:r>
            </m:sub>
          </m:sSub>
          <m:r>
            <w:rPr>
              <w:rFonts w:ascii="Cambria Math" w:hAnsi="Cambria Math"/>
              <w:color w:val="000000" w:themeColor="text1"/>
            </w:rPr>
            <m:t>=pRb</m:t>
          </m:r>
        </m:oMath>
      </m:oMathPara>
    </w:p>
    <w:p w14:paraId="138F75B3" w14:textId="77777777" w:rsidR="00E20B20" w:rsidRPr="00157EC2"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E2F_2</m:t>
              </m:r>
            </m:sub>
          </m:sSub>
          <m:r>
            <w:rPr>
              <w:rFonts w:ascii="Cambria Math" w:hAnsi="Cambria Math"/>
              <w:color w:val="000000" w:themeColor="text1"/>
            </w:rPr>
            <m:t>=pRb_2</m:t>
          </m:r>
        </m:oMath>
      </m:oMathPara>
    </w:p>
    <w:p w14:paraId="01A31E10" w14:textId="77777777" w:rsidR="00E20B20" w:rsidRPr="00157EC2" w:rsidRDefault="00E20B20" w:rsidP="00E20B20">
      <w:pPr>
        <w:jc w:val="both"/>
        <w:rPr>
          <w:color w:val="000000" w:themeColor="text1"/>
        </w:rPr>
      </w:pPr>
    </w:p>
    <w:p w14:paraId="69C4EA9B" w14:textId="19D5DAAF" w:rsidR="00E20B20" w:rsidRPr="00157EC2" w:rsidRDefault="00E20B20" w:rsidP="00E20B20">
      <w:pPr>
        <w:jc w:val="both"/>
        <w:rPr>
          <w:color w:val="000000" w:themeColor="text1"/>
        </w:rPr>
      </w:pPr>
      <w:r w:rsidRPr="00157EC2">
        <w:rPr>
          <w:color w:val="000000" w:themeColor="text1"/>
        </w:rPr>
        <w:t xml:space="preserve">In the </w:t>
      </w:r>
      <w:r w:rsidR="00B5145E" w:rsidRPr="00157EC2">
        <w:rPr>
          <w:color w:val="000000" w:themeColor="text1"/>
        </w:rPr>
        <w:t xml:space="preserve">2017 </w:t>
      </w:r>
      <w:r w:rsidRPr="00157EC2">
        <w:rPr>
          <w:color w:val="000000" w:themeColor="text1"/>
        </w:rPr>
        <w:t xml:space="preserve">model, the number of states of the node </w:t>
      </w:r>
      <m:oMath>
        <m:r>
          <w:rPr>
            <w:rFonts w:ascii="Cambria Math" w:hAnsi="Cambria Math"/>
            <w:color w:val="000000" w:themeColor="text1"/>
          </w:rPr>
          <m:t>Proliferation</m:t>
        </m:r>
      </m:oMath>
      <w:r w:rsidRPr="00157EC2">
        <w:rPr>
          <w:color w:val="000000" w:themeColor="text1"/>
        </w:rPr>
        <w:t xml:space="preserve"> (5 states) was determined by the number of states of its regulators </w:t>
      </w:r>
      <m:oMath>
        <m:r>
          <w:rPr>
            <w:rFonts w:ascii="Cambria Math" w:hAnsi="Cambria Math"/>
            <w:color w:val="000000" w:themeColor="text1"/>
          </w:rPr>
          <m:t>E2F</m:t>
        </m:r>
      </m:oMath>
      <w:r w:rsidRPr="00157EC2">
        <w:rPr>
          <w:color w:val="000000" w:themeColor="text1"/>
        </w:rPr>
        <w:t xml:space="preserve"> (4 states) and </w:t>
      </w:r>
      <m:oMath>
        <m:r>
          <w:rPr>
            <w:rFonts w:ascii="Cambria Math" w:hAnsi="Cambria Math"/>
            <w:color w:val="000000" w:themeColor="text1"/>
          </w:rPr>
          <m:t>Translation</m:t>
        </m:r>
      </m:oMath>
      <w:r w:rsidRPr="00157EC2">
        <w:rPr>
          <w:rFonts w:eastAsia="Arial Unicode MS"/>
          <w:color w:val="000000" w:themeColor="text1"/>
        </w:rPr>
        <w:t xml:space="preserve"> (2 states), and the ability to reproduce previous knowledge on the response and resistance to PI3K</w:t>
      </w:r>
      <w:r w:rsidRPr="00157EC2">
        <w:rPr>
          <w:rFonts w:eastAsia="Arial Unicode MS"/>
          <w:color w:val="000000" w:themeColor="text1"/>
        </w:rPr>
        <w:sym w:font="Symbol" w:char="F061"/>
      </w:r>
      <w:r w:rsidRPr="00157EC2">
        <w:rPr>
          <w:rFonts w:eastAsia="Arial Unicode MS"/>
          <w:color w:val="000000" w:themeColor="text1"/>
        </w:rPr>
        <w:t xml:space="preserve"> inhibitors and other drugs in ER+ breast cancer. In the </w:t>
      </w:r>
      <w:r w:rsidR="00B5145E" w:rsidRPr="00157EC2">
        <w:rPr>
          <w:rFonts w:eastAsia="Arial Unicode MS"/>
          <w:color w:val="000000" w:themeColor="text1"/>
        </w:rPr>
        <w:t xml:space="preserve">2020 </w:t>
      </w:r>
      <w:r w:rsidRPr="00157EC2">
        <w:rPr>
          <w:rFonts w:eastAsia="Arial Unicode MS"/>
          <w:color w:val="000000" w:themeColor="text1"/>
        </w:rPr>
        <w:t>model, the number of states for the node Proliferation is constrained by our experimental results.</w:t>
      </w:r>
    </w:p>
    <w:p w14:paraId="42692F40" w14:textId="77777777" w:rsidR="00E20B20" w:rsidRPr="00157EC2" w:rsidRDefault="00E20B20" w:rsidP="00E20B20">
      <w:pPr>
        <w:jc w:val="both"/>
        <w:rPr>
          <w:color w:val="000000" w:themeColor="text1"/>
        </w:rPr>
      </w:pPr>
    </w:p>
    <w:p w14:paraId="5846819D" w14:textId="77777777" w:rsidR="00E20B20" w:rsidRPr="00157EC2" w:rsidRDefault="00E20B20" w:rsidP="00E20B20">
      <w:pPr>
        <w:jc w:val="both"/>
        <w:rPr>
          <w:color w:val="000000" w:themeColor="text1"/>
        </w:rPr>
      </w:pPr>
      <w:r w:rsidRPr="00157EC2">
        <w:rPr>
          <w:color w:val="000000" w:themeColor="text1"/>
        </w:rPr>
        <w:t>We assume that, in the absence of drugs, the cell has the highest proliferation propensity (</w:t>
      </w:r>
      <m:oMath>
        <m:r>
          <w:rPr>
            <w:rFonts w:ascii="Cambria Math" w:hAnsi="Cambria Math"/>
            <w:color w:val="000000" w:themeColor="text1"/>
          </w:rPr>
          <m:t>Proliferation=3</m:t>
        </m:r>
      </m:oMath>
      <w:r w:rsidRPr="00157EC2">
        <w:rPr>
          <w:color w:val="000000" w:themeColor="text1"/>
        </w:rPr>
        <w:t xml:space="preserve">). With alpelisib, there is a much lower proliferation propensity. This is nevertheless not the lowest possible proliferation propensity, as the fact that combination of alpelisib and fulvestrant further reduces cell viability but </w:t>
      </w:r>
      <w:r w:rsidRPr="00157EC2">
        <w:rPr>
          <w:color w:val="000000" w:themeColor="text1"/>
        </w:rPr>
        <w:lastRenderedPageBreak/>
        <w:t xml:space="preserve">not apoptosis suggests that proliferation propensity is even lower in this case. The lower proliferation propensity in response to alpelisib would then correspond to </w:t>
      </w:r>
      <m:oMath>
        <m:r>
          <w:rPr>
            <w:rFonts w:ascii="Cambria Math" w:hAnsi="Cambria Math"/>
            <w:color w:val="000000" w:themeColor="text1"/>
          </w:rPr>
          <m:t>Proliferation=1</m:t>
        </m:r>
      </m:oMath>
      <w:r w:rsidRPr="00157EC2">
        <w:rPr>
          <w:color w:val="000000" w:themeColor="text1"/>
        </w:rPr>
        <w:t xml:space="preserve">, and the lowest one (e.g., in response to alpelisib and fulvestrant) would correspond to </w:t>
      </w:r>
      <m:oMath>
        <m:r>
          <w:rPr>
            <w:rFonts w:ascii="Cambria Math" w:hAnsi="Cambria Math"/>
            <w:color w:val="000000" w:themeColor="text1"/>
          </w:rPr>
          <m:t>Proliferation=0</m:t>
        </m:r>
      </m:oMath>
      <w:r w:rsidRPr="00157EC2">
        <w:rPr>
          <w:color w:val="000000" w:themeColor="text1"/>
        </w:rPr>
        <w:t>. Resistance mechanisms to alpelisib such as knockdown of PTEN, knockdown of TSC1/2, or PIM1 overexpression, should allow the cell to stay at the highest proliferation propensity (</w:t>
      </w:r>
      <m:oMath>
        <m:r>
          <w:rPr>
            <w:rFonts w:ascii="Cambria Math" w:hAnsi="Cambria Math"/>
            <w:color w:val="000000" w:themeColor="text1"/>
          </w:rPr>
          <m:t>Proliferation=3</m:t>
        </m:r>
      </m:oMath>
      <w:r w:rsidRPr="00157EC2">
        <w:rPr>
          <w:color w:val="000000" w:themeColor="text1"/>
        </w:rPr>
        <w:t>), while the reduced sensitivity seen in FOXO3 or RB1 knockdown in our experiments should result in a small decrease of proliferation propensity (</w:t>
      </w:r>
      <m:oMath>
        <m:r>
          <w:rPr>
            <w:rFonts w:ascii="Cambria Math" w:hAnsi="Cambria Math"/>
            <w:color w:val="000000" w:themeColor="text1"/>
          </w:rPr>
          <m:t>Proliferation=2</m:t>
        </m:r>
      </m:oMath>
      <w:r w:rsidRPr="00157EC2">
        <w:rPr>
          <w:color w:val="000000" w:themeColor="text1"/>
        </w:rPr>
        <w:t>). To accomplish this ordering of states, we assume that the highest state of Proliferation (</w:t>
      </w:r>
      <m:oMath>
        <m:r>
          <w:rPr>
            <w:rFonts w:ascii="Cambria Math" w:hAnsi="Cambria Math"/>
            <w:color w:val="000000" w:themeColor="text1"/>
          </w:rPr>
          <m:t>Proliferation=3</m:t>
        </m:r>
      </m:oMath>
      <w:r w:rsidRPr="00157EC2">
        <w:rPr>
          <w:color w:val="000000" w:themeColor="text1"/>
        </w:rPr>
        <w:t>) can be achieved only with the highest activity of MYC targets (</w:t>
      </w:r>
      <m:oMath>
        <m:r>
          <w:rPr>
            <w:rFonts w:ascii="Cambria Math" w:hAnsi="Cambria Math"/>
            <w:color w:val="000000" w:themeColor="text1"/>
          </w:rPr>
          <m:t>MYC_targets=2</m:t>
        </m:r>
      </m:oMath>
      <w:r w:rsidRPr="00157EC2">
        <w:rPr>
          <w:color w:val="000000" w:themeColor="text1"/>
        </w:rPr>
        <w:t>) and an active state of E2F (</w:t>
      </w:r>
      <m:oMath>
        <m:r>
          <w:rPr>
            <w:rFonts w:ascii="Cambria Math" w:hAnsi="Cambria Math"/>
            <w:color w:val="000000" w:themeColor="text1"/>
          </w:rPr>
          <m:t>E2F≥ 1</m:t>
        </m:r>
      </m:oMath>
      <w:r w:rsidRPr="00157EC2">
        <w:rPr>
          <w:color w:val="000000" w:themeColor="text1"/>
        </w:rPr>
        <w:t>). The intermediate state (</w:t>
      </w:r>
      <m:oMath>
        <m:r>
          <w:rPr>
            <w:rFonts w:ascii="Cambria Math" w:hAnsi="Cambria Math"/>
            <w:color w:val="000000" w:themeColor="text1"/>
          </w:rPr>
          <m:t>Proliferation=2</m:t>
        </m:r>
      </m:oMath>
      <w:r w:rsidRPr="00157EC2">
        <w:rPr>
          <w:color w:val="000000" w:themeColor="text1"/>
        </w:rPr>
        <w:t>, corresponding to the reduced alpelisib sensitivity seen for knockdown of FOXO3 or RB1) can be achieved by high activity of E2F (</w:t>
      </w:r>
      <m:oMath>
        <m:r>
          <w:rPr>
            <w:rFonts w:ascii="Cambria Math" w:hAnsi="Cambria Math"/>
            <w:color w:val="000000" w:themeColor="text1"/>
          </w:rPr>
          <m:t>E2F= 2</m:t>
        </m:r>
      </m:oMath>
      <w:r w:rsidRPr="00157EC2">
        <w:rPr>
          <w:color w:val="000000" w:themeColor="text1"/>
        </w:rPr>
        <w:t xml:space="preserve">). The lowest active state of </w:t>
      </w:r>
      <m:oMath>
        <m:r>
          <w:rPr>
            <w:rFonts w:ascii="Cambria Math" w:hAnsi="Cambria Math"/>
            <w:color w:val="000000" w:themeColor="text1"/>
          </w:rPr>
          <m:t>Proliferation</m:t>
        </m:r>
      </m:oMath>
      <w:r w:rsidRPr="00157EC2">
        <w:rPr>
          <w:color w:val="000000" w:themeColor="text1"/>
        </w:rPr>
        <w:t xml:space="preserve"> (</w:t>
      </w:r>
      <m:oMath>
        <m:r>
          <w:rPr>
            <w:rFonts w:ascii="Cambria Math" w:hAnsi="Cambria Math"/>
            <w:color w:val="000000" w:themeColor="text1"/>
          </w:rPr>
          <m:t>Proliferation=1</m:t>
        </m:r>
      </m:oMath>
      <w:r w:rsidRPr="00157EC2">
        <w:rPr>
          <w:color w:val="000000" w:themeColor="text1"/>
        </w:rPr>
        <w:t>) can be achieved with the activity of either MYC targets (</w:t>
      </w:r>
      <m:oMath>
        <m:r>
          <w:rPr>
            <w:rFonts w:ascii="Cambria Math" w:hAnsi="Cambria Math"/>
            <w:color w:val="000000" w:themeColor="text1"/>
          </w:rPr>
          <m:t>MYC_targets≥ 1</m:t>
        </m:r>
      </m:oMath>
      <w:r w:rsidRPr="00157EC2">
        <w:rPr>
          <w:color w:val="000000" w:themeColor="text1"/>
        </w:rPr>
        <w:t>) or E2F (</w:t>
      </w:r>
      <m:oMath>
        <m:r>
          <w:rPr>
            <w:rFonts w:ascii="Cambria Math" w:hAnsi="Cambria Math"/>
            <w:color w:val="000000" w:themeColor="text1"/>
          </w:rPr>
          <m:t>E2F≥ 1</m:t>
        </m:r>
      </m:oMath>
      <w:r w:rsidRPr="00157EC2">
        <w:rPr>
          <w:color w:val="000000" w:themeColor="text1"/>
        </w:rPr>
        <w:t>)</w:t>
      </w:r>
    </w:p>
    <w:p w14:paraId="23E75C4C" w14:textId="77777777" w:rsidR="00E20B20" w:rsidRPr="00157EC2" w:rsidRDefault="00E20B20" w:rsidP="00E20B20">
      <w:pPr>
        <w:jc w:val="both"/>
        <w:rPr>
          <w:color w:val="000000" w:themeColor="text1"/>
        </w:rPr>
      </w:pPr>
    </w:p>
    <w:p w14:paraId="7DCC9789" w14:textId="77777777" w:rsidR="00E20B20" w:rsidRPr="00157EC2"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Proliferation</m:t>
              </m:r>
            </m:sub>
          </m:sSub>
          <m:r>
            <w:rPr>
              <w:rFonts w:ascii="Cambria Math" w:hAnsi="Cambria Math"/>
              <w:color w:val="000000" w:themeColor="text1"/>
            </w:rPr>
            <m:t>=MYC_targets or E2F</m:t>
          </m:r>
        </m:oMath>
      </m:oMathPara>
    </w:p>
    <w:p w14:paraId="2CDE715C" w14:textId="77777777" w:rsidR="00E20B20" w:rsidRPr="00157EC2"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Proliferation_2</m:t>
              </m:r>
            </m:sub>
          </m:sSub>
          <m:r>
            <w:rPr>
              <w:rFonts w:ascii="Cambria Math" w:hAnsi="Cambria Math"/>
              <w:color w:val="000000" w:themeColor="text1"/>
            </w:rPr>
            <m:t>=E2F_2</m:t>
          </m:r>
        </m:oMath>
      </m:oMathPara>
    </w:p>
    <w:p w14:paraId="6CAFA35F" w14:textId="77777777" w:rsidR="00E20B20" w:rsidRPr="00157EC2" w:rsidRDefault="00B650EC" w:rsidP="00E20B20">
      <w:pPr>
        <w:jc w:val="both"/>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Proliferation_3</m:t>
              </m:r>
            </m:sub>
          </m:sSub>
          <m:r>
            <w:rPr>
              <w:rFonts w:ascii="Cambria Math" w:hAnsi="Cambria Math"/>
              <w:color w:val="000000" w:themeColor="text1"/>
            </w:rPr>
            <m:t>=MYC_targets_2 and (E2F_2 or E2F)</m:t>
          </m:r>
        </m:oMath>
      </m:oMathPara>
    </w:p>
    <w:p w14:paraId="291B6242" w14:textId="77777777" w:rsidR="00E20B20" w:rsidRPr="00157EC2" w:rsidRDefault="00E20B20" w:rsidP="00E20B20">
      <w:pPr>
        <w:jc w:val="both"/>
        <w:rPr>
          <w:color w:val="000000" w:themeColor="text1"/>
        </w:rPr>
      </w:pPr>
    </w:p>
    <w:p w14:paraId="108FA120" w14:textId="32ED7240" w:rsidR="007967E3" w:rsidRPr="00B27EF7" w:rsidRDefault="007967E3" w:rsidP="007967E3">
      <w:pPr>
        <w:pStyle w:val="Heading3"/>
        <w:jc w:val="both"/>
        <w:rPr>
          <w:color w:val="000000" w:themeColor="text1"/>
        </w:rPr>
      </w:pPr>
      <w:r>
        <w:rPr>
          <w:color w:val="000000" w:themeColor="text1"/>
        </w:rPr>
        <w:t>Assessment of the model</w:t>
      </w:r>
      <w:r w:rsidR="00CE5EE8">
        <w:rPr>
          <w:color w:val="000000" w:themeColor="text1"/>
          <w:lang w:val="en-US"/>
        </w:rPr>
        <w:t>’s</w:t>
      </w:r>
      <w:r>
        <w:rPr>
          <w:color w:val="000000" w:themeColor="text1"/>
        </w:rPr>
        <w:t xml:space="preserve"> performance</w:t>
      </w:r>
    </w:p>
    <w:p w14:paraId="71250889" w14:textId="77777777" w:rsidR="007967E3" w:rsidRPr="00B27EF7" w:rsidRDefault="007967E3" w:rsidP="007967E3">
      <w:pPr>
        <w:jc w:val="both"/>
        <w:rPr>
          <w:color w:val="000000" w:themeColor="text1"/>
        </w:rPr>
      </w:pPr>
    </w:p>
    <w:p w14:paraId="0C11C9B9" w14:textId="173B3977" w:rsidR="00CA7805" w:rsidRDefault="007967E3" w:rsidP="007967E3">
      <w:pPr>
        <w:jc w:val="both"/>
        <w:rPr>
          <w:color w:val="000000" w:themeColor="text1"/>
        </w:rPr>
      </w:pPr>
      <w:r>
        <w:rPr>
          <w:color w:val="000000" w:themeColor="text1"/>
        </w:rPr>
        <w:t xml:space="preserve">To assess </w:t>
      </w:r>
      <w:r w:rsidRPr="00E25470">
        <w:rPr>
          <w:color w:val="000000" w:themeColor="text1"/>
        </w:rPr>
        <w:t xml:space="preserve">how well the model can recapitulate the current knowledge of response/resistance to </w:t>
      </w:r>
      <w:r w:rsidRPr="00EB53C7">
        <w:rPr>
          <w:rFonts w:eastAsia="Arial Unicode MS"/>
          <w:color w:val="000000" w:themeColor="text1"/>
        </w:rPr>
        <w:t>PI3K</w:t>
      </w:r>
      <w:r w:rsidRPr="00EB53C7">
        <w:rPr>
          <w:rFonts w:eastAsia="Arial Unicode MS"/>
          <w:color w:val="000000" w:themeColor="text1"/>
        </w:rPr>
        <w:sym w:font="Symbol" w:char="F061"/>
      </w:r>
      <w:r>
        <w:rPr>
          <w:rFonts w:eastAsia="Arial Unicode MS"/>
          <w:color w:val="000000" w:themeColor="text1"/>
        </w:rPr>
        <w:t xml:space="preserve"> </w:t>
      </w:r>
      <w:r w:rsidRPr="00E25470">
        <w:rPr>
          <w:color w:val="000000" w:themeColor="text1"/>
        </w:rPr>
        <w:t>inhibitors (including our own experiments)</w:t>
      </w:r>
      <w:r>
        <w:rPr>
          <w:color w:val="000000" w:themeColor="text1"/>
        </w:rPr>
        <w:t xml:space="preserve"> and other drugs, we compared the outcomes of several key experimental and clinical outcomes in ER+ breast cancer with the model’s behavior. We find that the model recapitulates the outcomes in </w:t>
      </w:r>
      <w:r w:rsidR="00180659">
        <w:rPr>
          <w:color w:val="000000" w:themeColor="text1"/>
        </w:rPr>
        <w:t>2</w:t>
      </w:r>
      <w:r w:rsidR="00245632">
        <w:rPr>
          <w:color w:val="000000" w:themeColor="text1"/>
        </w:rPr>
        <w:t>1</w:t>
      </w:r>
      <w:r>
        <w:rPr>
          <w:color w:val="000000" w:themeColor="text1"/>
        </w:rPr>
        <w:t xml:space="preserve"> out of </w:t>
      </w:r>
      <w:r w:rsidR="00180659">
        <w:rPr>
          <w:color w:val="000000" w:themeColor="text1"/>
        </w:rPr>
        <w:t>2</w:t>
      </w:r>
      <w:r w:rsidR="00245632">
        <w:rPr>
          <w:color w:val="000000" w:themeColor="text1"/>
        </w:rPr>
        <w:t>6</w:t>
      </w:r>
      <w:r>
        <w:rPr>
          <w:color w:val="000000" w:themeColor="text1"/>
        </w:rPr>
        <w:t xml:space="preserve"> cases (</w:t>
      </w:r>
      <w:r w:rsidRPr="00E25470">
        <w:rPr>
          <w:color w:val="000000" w:themeColor="text1"/>
        </w:rPr>
        <w:t>Supplemental Table S2</w:t>
      </w:r>
      <w:r>
        <w:rPr>
          <w:color w:val="000000" w:themeColor="text1"/>
        </w:rPr>
        <w:t xml:space="preserve">). The </w:t>
      </w:r>
      <w:r w:rsidR="00180659">
        <w:rPr>
          <w:color w:val="000000" w:themeColor="text1"/>
        </w:rPr>
        <w:t xml:space="preserve">five </w:t>
      </w:r>
      <w:r w:rsidR="005E563F">
        <w:rPr>
          <w:color w:val="000000" w:themeColor="text1"/>
        </w:rPr>
        <w:t>outcomes</w:t>
      </w:r>
      <w:r>
        <w:rPr>
          <w:color w:val="000000" w:themeColor="text1"/>
        </w:rPr>
        <w:t xml:space="preserve"> that the model could not reproduce are</w:t>
      </w:r>
      <w:r w:rsidR="00180659">
        <w:rPr>
          <w:color w:val="000000" w:themeColor="text1"/>
        </w:rPr>
        <w:t xml:space="preserve"> </w:t>
      </w:r>
      <w:r w:rsidR="005E563F">
        <w:rPr>
          <w:color w:val="000000" w:themeColor="text1"/>
        </w:rPr>
        <w:t>coming from</w:t>
      </w:r>
      <w:r w:rsidR="00180659">
        <w:rPr>
          <w:color w:val="000000" w:themeColor="text1"/>
        </w:rPr>
        <w:t xml:space="preserve"> experiments in this work and are</w:t>
      </w:r>
      <w:r>
        <w:rPr>
          <w:color w:val="000000" w:themeColor="text1"/>
        </w:rPr>
        <w:t xml:space="preserve"> the following: </w:t>
      </w:r>
      <w:r w:rsidR="00180659">
        <w:rPr>
          <w:color w:val="000000" w:themeColor="text1"/>
        </w:rPr>
        <w:t>(</w:t>
      </w:r>
      <w:r w:rsidR="001E36DA">
        <w:rPr>
          <w:color w:val="000000" w:themeColor="text1"/>
        </w:rPr>
        <w:t>1</w:t>
      </w:r>
      <w:r w:rsidR="00180659">
        <w:rPr>
          <w:color w:val="000000" w:themeColor="text1"/>
        </w:rPr>
        <w:t xml:space="preserve">) </w:t>
      </w:r>
      <w:r w:rsidR="00180659" w:rsidRPr="00180659">
        <w:rPr>
          <w:color w:val="000000" w:themeColor="text1"/>
        </w:rPr>
        <w:t>Rb knockdown does not reduce sensitivity to PI3Kα inhibitors in MCF7</w:t>
      </w:r>
      <w:r w:rsidR="00180659">
        <w:rPr>
          <w:color w:val="000000" w:themeColor="text1"/>
        </w:rPr>
        <w:t>, (</w:t>
      </w:r>
      <w:r w:rsidR="001E36DA">
        <w:rPr>
          <w:color w:val="000000" w:themeColor="text1"/>
        </w:rPr>
        <w:t>2</w:t>
      </w:r>
      <w:r w:rsidR="00180659">
        <w:rPr>
          <w:color w:val="000000" w:themeColor="text1"/>
        </w:rPr>
        <w:t>) t</w:t>
      </w:r>
      <w:r w:rsidR="00180659" w:rsidRPr="00180659">
        <w:rPr>
          <w:color w:val="000000" w:themeColor="text1"/>
        </w:rPr>
        <w:t>he combinations of alpelisib with everolimus, navitoclax, ipatasertib, or palbociclib are synergistically efficacious drug combinations in MCF7</w:t>
      </w:r>
      <w:r w:rsidR="00180659">
        <w:rPr>
          <w:color w:val="000000" w:themeColor="text1"/>
        </w:rPr>
        <w:t xml:space="preserve">, </w:t>
      </w:r>
      <w:r w:rsidR="001E36DA">
        <w:rPr>
          <w:color w:val="000000" w:themeColor="text1"/>
        </w:rPr>
        <w:t>(3</w:t>
      </w:r>
      <w:r w:rsidR="00180659">
        <w:rPr>
          <w:color w:val="000000" w:themeColor="text1"/>
        </w:rPr>
        <w:t>) t</w:t>
      </w:r>
      <w:r w:rsidR="00180659" w:rsidRPr="00180659">
        <w:rPr>
          <w:color w:val="000000" w:themeColor="text1"/>
        </w:rPr>
        <w:t>he combinations of alpelisib with everolimus, s63845, or navitoclax are synergistically efficacious drug combinations in T47D</w:t>
      </w:r>
      <w:r w:rsidR="00180659">
        <w:rPr>
          <w:color w:val="000000" w:themeColor="text1"/>
        </w:rPr>
        <w:t>, (</w:t>
      </w:r>
      <w:r w:rsidR="001E36DA">
        <w:rPr>
          <w:color w:val="000000" w:themeColor="text1"/>
        </w:rPr>
        <w:t>4</w:t>
      </w:r>
      <w:r w:rsidR="00180659">
        <w:rPr>
          <w:color w:val="000000" w:themeColor="text1"/>
        </w:rPr>
        <w:t>) f</w:t>
      </w:r>
      <w:r w:rsidR="00180659" w:rsidRPr="00180659">
        <w:rPr>
          <w:color w:val="000000" w:themeColor="text1"/>
        </w:rPr>
        <w:t>ulvestrant induces a small amount of apoptosis in MCF7</w:t>
      </w:r>
      <w:r w:rsidR="00180659">
        <w:rPr>
          <w:color w:val="000000" w:themeColor="text1"/>
        </w:rPr>
        <w:t>, and (</w:t>
      </w:r>
      <w:r w:rsidR="001E36DA">
        <w:rPr>
          <w:color w:val="000000" w:themeColor="text1"/>
        </w:rPr>
        <w:t>5</w:t>
      </w:r>
      <w:r w:rsidR="00180659">
        <w:rPr>
          <w:color w:val="000000" w:themeColor="text1"/>
        </w:rPr>
        <w:t>) e</w:t>
      </w:r>
      <w:r w:rsidR="00180659" w:rsidRPr="00180659">
        <w:rPr>
          <w:color w:val="000000" w:themeColor="text1"/>
        </w:rPr>
        <w:t>verolimus induces a small amount of apoptosis in MCF7</w:t>
      </w:r>
      <w:r>
        <w:rPr>
          <w:color w:val="000000" w:themeColor="text1"/>
        </w:rPr>
        <w:t>.</w:t>
      </w:r>
    </w:p>
    <w:p w14:paraId="0948CEA0" w14:textId="77777777" w:rsidR="00CA7805" w:rsidRDefault="00CA7805" w:rsidP="007967E3">
      <w:pPr>
        <w:jc w:val="both"/>
        <w:rPr>
          <w:color w:val="000000" w:themeColor="text1"/>
        </w:rPr>
      </w:pPr>
    </w:p>
    <w:p w14:paraId="17B1BA71" w14:textId="23F51DA7" w:rsidR="001E36DA" w:rsidRPr="00CE5EE8" w:rsidRDefault="001E36DA" w:rsidP="007967E3">
      <w:pPr>
        <w:jc w:val="both"/>
        <w:rPr>
          <w:color w:val="000000" w:themeColor="text1"/>
        </w:rPr>
      </w:pPr>
      <w:r>
        <w:rPr>
          <w:color w:val="000000" w:themeColor="text1"/>
        </w:rPr>
        <w:t xml:space="preserve">The discrepancies between the model and the experiments </w:t>
      </w:r>
      <w:r w:rsidR="005E563F">
        <w:rPr>
          <w:color w:val="000000" w:themeColor="text1"/>
        </w:rPr>
        <w:t>reflect</w:t>
      </w:r>
      <w:r>
        <w:rPr>
          <w:color w:val="000000" w:themeColor="text1"/>
        </w:rPr>
        <w:t xml:space="preserve"> the inability of the model to fully capture cell line-specific effects (case 1), the synergistically efficacious effect of some drugs (cases 2 and 3), or the small amount of apoptosis </w:t>
      </w:r>
      <w:r w:rsidRPr="00CE5EE8">
        <w:rPr>
          <w:color w:val="000000" w:themeColor="text1"/>
        </w:rPr>
        <w:t>ind</w:t>
      </w:r>
      <w:r w:rsidRPr="005E7A12">
        <w:rPr>
          <w:color w:val="000000" w:themeColor="text1"/>
        </w:rPr>
        <w:t>uced by some drugs (cases 4 and 5).</w:t>
      </w:r>
      <w:r w:rsidR="005E563F" w:rsidRPr="005E7A12">
        <w:rPr>
          <w:color w:val="000000" w:themeColor="text1"/>
        </w:rPr>
        <w:t xml:space="preserve"> In the following we discuss each discrepancy.</w:t>
      </w:r>
      <w:r w:rsidR="00AB1C35" w:rsidRPr="005E7A12">
        <w:rPr>
          <w:color w:val="000000" w:themeColor="text1"/>
        </w:rPr>
        <w:t xml:space="preserve"> </w:t>
      </w:r>
    </w:p>
    <w:p w14:paraId="4D59CF6B" w14:textId="097707ED" w:rsidR="00907F33" w:rsidRDefault="00907F33" w:rsidP="007967E3">
      <w:pPr>
        <w:jc w:val="both"/>
        <w:rPr>
          <w:color w:val="000000" w:themeColor="text1"/>
        </w:rPr>
      </w:pPr>
    </w:p>
    <w:p w14:paraId="739BDA0C" w14:textId="42C566A6" w:rsidR="00382AD0" w:rsidRDefault="00382AD0" w:rsidP="007967E3">
      <w:pPr>
        <w:jc w:val="both"/>
        <w:rPr>
          <w:color w:val="000000" w:themeColor="text1"/>
        </w:rPr>
      </w:pPr>
      <w:r>
        <w:rPr>
          <w:color w:val="000000" w:themeColor="text1"/>
        </w:rPr>
        <w:t>For</w:t>
      </w:r>
      <w:r w:rsidR="00907F33">
        <w:rPr>
          <w:color w:val="000000" w:themeColor="text1"/>
        </w:rPr>
        <w:t xml:space="preserve"> case 1, unlike the other cell line specific effects that we incorporated in the MCF7-specific and T47D-specific model, it is not clear </w:t>
      </w:r>
      <w:r>
        <w:rPr>
          <w:color w:val="000000" w:themeColor="text1"/>
        </w:rPr>
        <w:t>why</w:t>
      </w:r>
      <w:r w:rsidR="00907F33">
        <w:rPr>
          <w:color w:val="000000" w:themeColor="text1"/>
        </w:rPr>
        <w:t xml:space="preserve"> Rb KD has an effect </w:t>
      </w:r>
      <w:r w:rsidR="005E563F">
        <w:rPr>
          <w:color w:val="000000" w:themeColor="text1"/>
        </w:rPr>
        <w:t>i</w:t>
      </w:r>
      <w:r w:rsidR="00907F33">
        <w:rPr>
          <w:color w:val="000000" w:themeColor="text1"/>
        </w:rPr>
        <w:t xml:space="preserve">n T47D </w:t>
      </w:r>
      <w:r w:rsidR="005E563F">
        <w:rPr>
          <w:color w:val="000000" w:themeColor="text1"/>
        </w:rPr>
        <w:t xml:space="preserve">cells </w:t>
      </w:r>
      <w:r w:rsidR="00907F33">
        <w:rPr>
          <w:color w:val="000000" w:themeColor="text1"/>
        </w:rPr>
        <w:t>but not in MCF7.</w:t>
      </w:r>
      <w:r>
        <w:rPr>
          <w:color w:val="000000" w:themeColor="text1"/>
        </w:rPr>
        <w:t xml:space="preserve"> The lack of a molecular mechanism that could explain this difference between MCF7 and T47D is the reason behind this discrepancy.</w:t>
      </w:r>
    </w:p>
    <w:p w14:paraId="1CF82D9D" w14:textId="589B25CE" w:rsidR="00382AD0" w:rsidRDefault="00382AD0" w:rsidP="007967E3">
      <w:pPr>
        <w:jc w:val="both"/>
        <w:rPr>
          <w:color w:val="000000" w:themeColor="text1"/>
        </w:rPr>
      </w:pPr>
    </w:p>
    <w:p w14:paraId="5B20ACC1" w14:textId="2663E873" w:rsidR="00CA7805" w:rsidRDefault="00382AD0" w:rsidP="007967E3">
      <w:pPr>
        <w:jc w:val="both"/>
        <w:rPr>
          <w:color w:val="000000" w:themeColor="text1"/>
        </w:rPr>
      </w:pPr>
      <w:r>
        <w:rPr>
          <w:color w:val="000000" w:themeColor="text1"/>
        </w:rPr>
        <w:t xml:space="preserve">For cases 2-3, the model’s outcome is consistent </w:t>
      </w:r>
      <w:r w:rsidR="00554528">
        <w:rPr>
          <w:color w:val="000000" w:themeColor="text1"/>
        </w:rPr>
        <w:t xml:space="preserve">with </w:t>
      </w:r>
      <w:r>
        <w:rPr>
          <w:color w:val="000000" w:themeColor="text1"/>
        </w:rPr>
        <w:t>alpelisib + the cell line specific BH3 mimetic combination (s63845 for MCF7, s63845 + navitoclax for T47D)</w:t>
      </w:r>
      <w:r w:rsidR="00554528">
        <w:rPr>
          <w:color w:val="000000" w:themeColor="text1"/>
        </w:rPr>
        <w:t xml:space="preserve"> having the largest synergistically efficacious effect </w:t>
      </w:r>
      <w:r w:rsidR="005E563F">
        <w:rPr>
          <w:color w:val="000000" w:themeColor="text1"/>
        </w:rPr>
        <w:t>among</w:t>
      </w:r>
      <w:r w:rsidR="00554528">
        <w:rPr>
          <w:color w:val="000000" w:themeColor="text1"/>
        </w:rPr>
        <w:t xml:space="preserve"> the observed drug combinations</w:t>
      </w:r>
      <w:r>
        <w:rPr>
          <w:color w:val="000000" w:themeColor="text1"/>
        </w:rPr>
        <w:t>, but not with the</w:t>
      </w:r>
      <w:r w:rsidR="007176DB">
        <w:rPr>
          <w:color w:val="000000" w:themeColor="text1"/>
        </w:rPr>
        <w:t xml:space="preserve"> synergistically efficacious</w:t>
      </w:r>
      <w:r>
        <w:rPr>
          <w:color w:val="000000" w:themeColor="text1"/>
        </w:rPr>
        <w:t xml:space="preserve"> effect </w:t>
      </w:r>
      <w:r w:rsidR="007176DB">
        <w:rPr>
          <w:color w:val="000000" w:themeColor="text1"/>
        </w:rPr>
        <w:t>of</w:t>
      </w:r>
      <w:r>
        <w:rPr>
          <w:color w:val="000000" w:themeColor="text1"/>
        </w:rPr>
        <w:t xml:space="preserve"> all drug combinations with alpelisib</w:t>
      </w:r>
      <w:r w:rsidR="007176DB">
        <w:rPr>
          <w:color w:val="000000" w:themeColor="text1"/>
        </w:rPr>
        <w:t xml:space="preserve"> (i.e., drugs having a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obs</m:t>
            </m:r>
          </m:sub>
        </m:sSub>
      </m:oMath>
      <w:r w:rsidR="007176DB">
        <w:rPr>
          <w:color w:val="000000" w:themeColor="text1"/>
        </w:rPr>
        <w:t xml:space="preserve"> larger than the null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obs</m:t>
            </m:r>
          </m:sub>
        </m:sSub>
      </m:oMath>
      <w:r w:rsidR="007176DB">
        <w:rPr>
          <w:color w:val="000000" w:themeColor="text1"/>
        </w:rPr>
        <w:t>)</w:t>
      </w:r>
      <w:r>
        <w:rPr>
          <w:color w:val="000000" w:themeColor="text1"/>
        </w:rPr>
        <w:t xml:space="preserve">. </w:t>
      </w:r>
      <w:r w:rsidR="007176DB">
        <w:rPr>
          <w:color w:val="000000" w:themeColor="text1"/>
        </w:rPr>
        <w:t>In MCF7 and T47D, alpelisib + fulvestrant are synergistically efficacious in our experiments and the model is consistent with this result.</w:t>
      </w:r>
      <w:r w:rsidR="00ED2F8A">
        <w:rPr>
          <w:color w:val="000000" w:themeColor="text1"/>
        </w:rPr>
        <w:t xml:space="preserve"> </w:t>
      </w:r>
      <w:r w:rsidR="005B362C">
        <w:rPr>
          <w:color w:val="000000" w:themeColor="text1"/>
        </w:rPr>
        <w:t xml:space="preserve">The model does not capture the other </w:t>
      </w:r>
      <w:r w:rsidR="00ED2F8A">
        <w:rPr>
          <w:color w:val="000000" w:themeColor="text1"/>
        </w:rPr>
        <w:t xml:space="preserve">synergistically efficacious effects seen. </w:t>
      </w:r>
      <w:r w:rsidR="00554528">
        <w:rPr>
          <w:color w:val="000000" w:themeColor="text1"/>
        </w:rPr>
        <w:t>Alpelisib + everolimus and alpelisib + navitoclax</w:t>
      </w:r>
      <w:r w:rsidR="005B362C">
        <w:rPr>
          <w:color w:val="000000" w:themeColor="text1"/>
        </w:rPr>
        <w:t xml:space="preserve"> are synergistically efficacious in both cell lines, although this effect is based on </w:t>
      </w:r>
      <w:r w:rsidR="00AA2A51">
        <w:rPr>
          <w:color w:val="000000" w:themeColor="text1"/>
        </w:rPr>
        <w:t xml:space="preserve">a </w:t>
      </w:r>
      <w:r w:rsidR="005B362C">
        <w:rPr>
          <w:color w:val="000000" w:themeColor="text1"/>
        </w:rPr>
        <w:t xml:space="preserve">small change in relative growth rate in T47D. </w:t>
      </w:r>
      <w:r w:rsidR="007176DB">
        <w:rPr>
          <w:color w:val="000000" w:themeColor="text1"/>
        </w:rPr>
        <w:t>The rest of the alpelisib combinations are not synergistically efficacious in both cell lines</w:t>
      </w:r>
      <w:r w:rsidR="005B362C">
        <w:rPr>
          <w:color w:val="000000" w:themeColor="text1"/>
        </w:rPr>
        <w:t>.</w:t>
      </w:r>
      <w:r w:rsidR="00CA7805">
        <w:rPr>
          <w:color w:val="000000" w:themeColor="text1"/>
        </w:rPr>
        <w:t xml:space="preserve"> The </w:t>
      </w:r>
      <w:r w:rsidR="00CA7805">
        <w:rPr>
          <w:color w:val="000000" w:themeColor="text1"/>
        </w:rPr>
        <w:lastRenderedPageBreak/>
        <w:t>a</w:t>
      </w:r>
      <w:r w:rsidR="00CA7805" w:rsidRPr="008004DC">
        <w:rPr>
          <w:color w:val="000000" w:themeColor="text1"/>
        </w:rPr>
        <w:t>lpelisib + everolimus</w:t>
      </w:r>
      <w:r w:rsidR="00CA7805">
        <w:rPr>
          <w:color w:val="000000" w:themeColor="text1"/>
        </w:rPr>
        <w:t xml:space="preserve"> case could reflect a residual mTORC1 activity in cell lines sensitive to alpelisib, as seen for alpelisib-resis</w:t>
      </w:r>
      <w:r w:rsidR="00E5215B">
        <w:rPr>
          <w:color w:val="000000" w:themeColor="text1"/>
        </w:rPr>
        <w:t>t</w:t>
      </w:r>
      <w:r w:rsidR="00CA7805">
        <w:rPr>
          <w:color w:val="000000" w:themeColor="text1"/>
        </w:rPr>
        <w:t xml:space="preserve">ant cells in </w:t>
      </w:r>
      <w:r w:rsidR="0018321F">
        <w:rPr>
          <w:noProof/>
          <w:color w:val="000000" w:themeColor="text1"/>
        </w:rPr>
        <w:t>(26)</w:t>
      </w:r>
      <w:r w:rsidR="00CA7805">
        <w:rPr>
          <w:color w:val="000000" w:themeColor="text1"/>
        </w:rPr>
        <w:t xml:space="preserve">. The other </w:t>
      </w:r>
      <w:r w:rsidR="00ED2F8A">
        <w:rPr>
          <w:color w:val="000000" w:themeColor="text1"/>
        </w:rPr>
        <w:t xml:space="preserve">discrepancies could be related to the </w:t>
      </w:r>
      <w:r w:rsidR="008004DC">
        <w:rPr>
          <w:color w:val="000000" w:themeColor="text1"/>
        </w:rPr>
        <w:t xml:space="preserve">continuous nature of synergistic efficacy, which </w:t>
      </w:r>
      <w:r w:rsidR="00AA2A51">
        <w:rPr>
          <w:color w:val="000000" w:themeColor="text1"/>
        </w:rPr>
        <w:t>may not be</w:t>
      </w:r>
      <w:r w:rsidR="008004DC">
        <w:rPr>
          <w:color w:val="000000" w:themeColor="text1"/>
        </w:rPr>
        <w:t xml:space="preserve"> capture</w:t>
      </w:r>
      <w:r w:rsidR="00AA2A51">
        <w:rPr>
          <w:color w:val="000000" w:themeColor="text1"/>
        </w:rPr>
        <w:t>d</w:t>
      </w:r>
      <w:r w:rsidR="008004DC">
        <w:rPr>
          <w:color w:val="000000" w:themeColor="text1"/>
        </w:rPr>
        <w:t xml:space="preserve"> using discrete variables.</w:t>
      </w:r>
    </w:p>
    <w:p w14:paraId="30441104" w14:textId="77777777" w:rsidR="00CA7805" w:rsidRDefault="00CA7805" w:rsidP="007967E3">
      <w:pPr>
        <w:jc w:val="both"/>
        <w:rPr>
          <w:color w:val="000000" w:themeColor="text1"/>
        </w:rPr>
      </w:pPr>
    </w:p>
    <w:p w14:paraId="58E98B04" w14:textId="170EB8A0" w:rsidR="00DF3A43" w:rsidRDefault="00CA7805" w:rsidP="007967E3">
      <w:pPr>
        <w:jc w:val="both"/>
        <w:rPr>
          <w:color w:val="000000" w:themeColor="text1"/>
        </w:rPr>
      </w:pPr>
      <w:r w:rsidRPr="00CE5EE8">
        <w:rPr>
          <w:color w:val="000000" w:themeColor="text1"/>
        </w:rPr>
        <w:t xml:space="preserve">For cases 4-5, we </w:t>
      </w:r>
      <w:r w:rsidR="006606F1" w:rsidRPr="00CE5EE8">
        <w:rPr>
          <w:color w:val="000000" w:themeColor="text1"/>
        </w:rPr>
        <w:t xml:space="preserve">are </w:t>
      </w:r>
      <w:r w:rsidR="00AA2A51" w:rsidRPr="00CE5EE8">
        <w:rPr>
          <w:color w:val="000000" w:themeColor="text1"/>
        </w:rPr>
        <w:t xml:space="preserve">not </w:t>
      </w:r>
      <w:r w:rsidR="006606F1" w:rsidRPr="00CE5EE8">
        <w:rPr>
          <w:color w:val="000000" w:themeColor="text1"/>
        </w:rPr>
        <w:t xml:space="preserve">certain of </w:t>
      </w:r>
      <w:r w:rsidRPr="00CE5EE8">
        <w:rPr>
          <w:color w:val="000000" w:themeColor="text1"/>
        </w:rPr>
        <w:t>the molecular mechanism underlying the small amount of apoptosis ind</w:t>
      </w:r>
      <w:r w:rsidRPr="005E7A12">
        <w:rPr>
          <w:color w:val="000000" w:themeColor="text1"/>
        </w:rPr>
        <w:t xml:space="preserve">uced by everolimus and fulvestrant alone. The apoptotic effect of everolimus could be accounted for if we introduced </w:t>
      </w:r>
      <w:r w:rsidRPr="00CE5EE8">
        <w:rPr>
          <w:color w:val="000000" w:themeColor="text1"/>
        </w:rPr>
        <w:t xml:space="preserve">a residual mTORC1 activity in cell lines sensitive to alpelisib, added a new discrete level to </w:t>
      </w:r>
      <m:oMath>
        <m:r>
          <w:rPr>
            <w:rFonts w:ascii="Cambria Math" w:hAnsi="Cambria Math"/>
            <w:color w:val="000000" w:themeColor="text1"/>
          </w:rPr>
          <m:t>MCL1</m:t>
        </m:r>
      </m:oMath>
      <w:r w:rsidRPr="00CE5EE8">
        <w:rPr>
          <w:color w:val="000000" w:themeColor="text1"/>
        </w:rPr>
        <w:t xml:space="preserve">, and re-introduced the </w:t>
      </w:r>
      <m:oMath>
        <m:r>
          <w:rPr>
            <w:rFonts w:ascii="Cambria Math" w:hAnsi="Cambria Math"/>
            <w:color w:val="000000" w:themeColor="text1"/>
          </w:rPr>
          <m:t>Translation→MCL1</m:t>
        </m:r>
      </m:oMath>
      <w:r w:rsidRPr="00CE5EE8">
        <w:rPr>
          <w:color w:val="000000" w:themeColor="text1"/>
        </w:rPr>
        <w:t xml:space="preserve"> interaction we removed from the 2020 model. </w:t>
      </w:r>
      <w:r w:rsidRPr="005E7A12">
        <w:rPr>
          <w:color w:val="000000" w:themeColor="text1"/>
        </w:rPr>
        <w:t>The apoptotic effect of fulvestrant could be accounted for if we introduced</w:t>
      </w:r>
      <w:r>
        <w:rPr>
          <w:color w:val="000000" w:themeColor="text1"/>
          <w:u w:val="single"/>
        </w:rPr>
        <w:t xml:space="preserve"> </w:t>
      </w:r>
      <w:r>
        <w:rPr>
          <w:color w:val="000000" w:themeColor="text1"/>
        </w:rPr>
        <w:t xml:space="preserve">a new discrete level to </w:t>
      </w:r>
      <m:oMath>
        <m:r>
          <w:rPr>
            <w:rFonts w:ascii="Cambria Math" w:hAnsi="Cambria Math"/>
            <w:color w:val="000000" w:themeColor="text1"/>
          </w:rPr>
          <m:t>BCL2</m:t>
        </m:r>
      </m:oMath>
      <w:r>
        <w:rPr>
          <w:color w:val="000000" w:themeColor="text1"/>
        </w:rPr>
        <w:t xml:space="preserve"> and re-introduced the </w:t>
      </w:r>
      <m:oMath>
        <m:r>
          <w:rPr>
            <w:rFonts w:ascii="Cambria Math" w:hAnsi="Cambria Math"/>
            <w:color w:val="000000" w:themeColor="text1"/>
          </w:rPr>
          <m:t>ER_transcription→BCL2</m:t>
        </m:r>
      </m:oMath>
      <w:r w:rsidR="006606F1">
        <w:rPr>
          <w:color w:val="000000" w:themeColor="text1"/>
        </w:rPr>
        <w:t xml:space="preserve"> interaction we removed from the 2020 model. In the end, we decided not to include this extra complexity to the model given that the apoptosis induced experimentally was small and we were not certain about the </w:t>
      </w:r>
      <w:r w:rsidR="00CE5EE8">
        <w:rPr>
          <w:color w:val="000000" w:themeColor="text1"/>
        </w:rPr>
        <w:t>underlying</w:t>
      </w:r>
      <w:r w:rsidR="006606F1">
        <w:rPr>
          <w:color w:val="000000" w:themeColor="text1"/>
        </w:rPr>
        <w:t xml:space="preserve"> molecular mechanism.</w:t>
      </w:r>
    </w:p>
    <w:p w14:paraId="19C7FDEC" w14:textId="4B71FF1E" w:rsidR="00DF3A43" w:rsidRPr="00DF3A43" w:rsidRDefault="00DF3A43" w:rsidP="00DF3A43">
      <w:pPr>
        <w:pStyle w:val="Heading2"/>
        <w:jc w:val="both"/>
        <w:rPr>
          <w:b/>
          <w:color w:val="000000" w:themeColor="text1"/>
        </w:rPr>
      </w:pPr>
      <w:r>
        <w:rPr>
          <w:b/>
          <w:color w:val="000000" w:themeColor="text1"/>
        </w:rPr>
        <w:t>Supplemental Materials and Methods</w:t>
      </w:r>
    </w:p>
    <w:p w14:paraId="1CDD905D" w14:textId="77777777" w:rsidR="00DF3A43" w:rsidRDefault="00DF3A43" w:rsidP="00DF3A43">
      <w:pPr>
        <w:pStyle w:val="Heading2"/>
        <w:jc w:val="both"/>
        <w:rPr>
          <w:b/>
          <w:color w:val="000000"/>
          <w:sz w:val="24"/>
          <w:szCs w:val="24"/>
        </w:rPr>
      </w:pPr>
      <w:r>
        <w:rPr>
          <w:b/>
          <w:color w:val="000000"/>
          <w:sz w:val="24"/>
          <w:szCs w:val="24"/>
        </w:rPr>
        <w:t>Drug treatment</w:t>
      </w:r>
    </w:p>
    <w:p w14:paraId="7AF7F189" w14:textId="77777777" w:rsidR="00DF3A43" w:rsidRDefault="00DF3A43" w:rsidP="00DF3A43">
      <w:pPr>
        <w:pBdr>
          <w:top w:val="nil"/>
          <w:left w:val="nil"/>
          <w:bottom w:val="nil"/>
          <w:right w:val="nil"/>
          <w:between w:val="nil"/>
        </w:pBdr>
        <w:jc w:val="both"/>
        <w:rPr>
          <w:color w:val="000000"/>
          <w:sz w:val="24"/>
          <w:szCs w:val="24"/>
        </w:rPr>
      </w:pPr>
      <w:r>
        <w:rPr>
          <w:color w:val="000000"/>
        </w:rPr>
        <w:t>Drugs that were used to treat cells include taselisib (Selleck Chemicals # S7103), alpelisib (Selleck Chemicals # S2814), s63845, everolimus (Selleck Chemicals # S1120), navitoclax (Selleck Chemicals # S1001), fulvestrant (Sigma Aldrich # I4409), ipatasertib (Thermo Fisher Scientific # NC0742252), palbociclib (Selleck Chemicals #S1116).</w:t>
      </w:r>
    </w:p>
    <w:p w14:paraId="14FA05FD" w14:textId="77777777" w:rsidR="00DF3A43" w:rsidRDefault="00DF3A43" w:rsidP="00DF3A43">
      <w:pPr>
        <w:pStyle w:val="Heading2"/>
        <w:jc w:val="both"/>
        <w:rPr>
          <w:b/>
          <w:color w:val="000000"/>
          <w:sz w:val="24"/>
          <w:szCs w:val="24"/>
        </w:rPr>
      </w:pPr>
      <w:bookmarkStart w:id="16" w:name="_heading=h.lnxbz9" w:colFirst="0" w:colLast="0"/>
      <w:bookmarkEnd w:id="16"/>
      <w:r>
        <w:rPr>
          <w:b/>
          <w:color w:val="000000"/>
          <w:sz w:val="24"/>
          <w:szCs w:val="24"/>
        </w:rPr>
        <w:t>Generation of plasmids and engineered cells</w:t>
      </w:r>
    </w:p>
    <w:p w14:paraId="0FC690FA" w14:textId="4E9B9C94" w:rsidR="00DF3A43" w:rsidRPr="00DF3A43" w:rsidRDefault="00DF3A43" w:rsidP="00DF3A43">
      <w:pPr>
        <w:pBdr>
          <w:top w:val="nil"/>
          <w:left w:val="nil"/>
          <w:bottom w:val="nil"/>
          <w:right w:val="nil"/>
          <w:between w:val="nil"/>
        </w:pBdr>
        <w:jc w:val="both"/>
        <w:rPr>
          <w:color w:val="000000"/>
        </w:rPr>
      </w:pPr>
      <w:r>
        <w:rPr>
          <w:color w:val="000000"/>
        </w:rPr>
        <w:t xml:space="preserve">We cloned sgRNA into lentiCRISPRv2 vector (gift from Dr. Adam Bass’s laboratory) and lentivirus was produced in 293T cells using psPAX2 and pCMV-VSV-G plasmids. T47D or MCF7 cells were infected with lentivirus to derive stable cell lines expressing sgRNA to target FOXO3 (FOXO3_1: CGCCGACTCCATGATCCCCG, FOXO3_2: GGAAGAGCGGAAAAGCCCCC) or CDKN1B (CDKN1B_1: GGAGAAGCACTGCAGAGACA, CDKN1B_2: GGACCACGAAGAGTTAACCC) or non-targeting (NT) sgRNA controls (NT_0: GTATTACTGATATTGGTGGG, NT: ACGGAGGCTAAGCGTCGCAA). The sequences for the guides for FOXO3 and CDKN1B were obtained from the DepMap 18Q3 release. Cells were selected by puromycin (Life Technologies #A1113803). RB1 and CRISPR non-targeting guide cells used as control for RB1-related experiments were obtained as a gift from Flora Luo and the Garraway laboratory, and have been previously characterized </w:t>
      </w:r>
      <w:r w:rsidR="0018321F">
        <w:rPr>
          <w:noProof/>
          <w:color w:val="000000"/>
        </w:rPr>
        <w:t>(27)</w:t>
      </w:r>
      <w:r>
        <w:rPr>
          <w:color w:val="000000"/>
        </w:rPr>
        <w:t>.</w:t>
      </w:r>
    </w:p>
    <w:p w14:paraId="2641E789" w14:textId="77777777" w:rsidR="00DF3A43" w:rsidRDefault="00DF3A43" w:rsidP="00DF3A43">
      <w:pPr>
        <w:pStyle w:val="Heading2"/>
        <w:jc w:val="both"/>
        <w:rPr>
          <w:b/>
          <w:color w:val="000000"/>
          <w:sz w:val="24"/>
          <w:szCs w:val="24"/>
        </w:rPr>
      </w:pPr>
      <w:r>
        <w:rPr>
          <w:b/>
          <w:color w:val="000000"/>
          <w:sz w:val="24"/>
          <w:szCs w:val="24"/>
        </w:rPr>
        <w:t>Western blotting</w:t>
      </w:r>
    </w:p>
    <w:p w14:paraId="495C4737" w14:textId="77777777" w:rsidR="00DF3A43" w:rsidRDefault="00DF3A43" w:rsidP="00DF3A43">
      <w:pPr>
        <w:pBdr>
          <w:top w:val="nil"/>
          <w:left w:val="nil"/>
          <w:bottom w:val="nil"/>
          <w:right w:val="nil"/>
          <w:between w:val="nil"/>
        </w:pBdr>
        <w:jc w:val="both"/>
        <w:rPr>
          <w:color w:val="000000"/>
        </w:rPr>
      </w:pPr>
      <w:r>
        <w:rPr>
          <w:color w:val="000000"/>
        </w:rPr>
        <w:t xml:space="preserve">Cell lysates were prepared in RIPA buffer (Sigma Aldrich # R0278) supplemented with dithiothreitol (Life Technologies # 15508013), phenylmethane sulfonyl fluoride (Sigma Aldrich # P7626), protease inhibitor cocktail (Sigma Aldrich # P8340) and phosphatase inhibitor tablets (Roche # 4906845001). NuPAGE 4-12% Bis-Tris Midi protein gels (Invitrogen # WG1402A) were used for western blot. After electrophoresis, gel was transferred using Trans-Blot Turbo PVDF or nitrocellulose transfer pack (Bio-Rad # 1704158 and # 1704156). Membranes were probed with specific primary antibodies at 4 °C overnight and then incubated with corresponding HRP-conjugated secondary antibodies. We use Pierce ECL Plus Western Blotting Substrate (Thermo Fisher Scientific # 32132X3) as developing reagent. </w:t>
      </w:r>
    </w:p>
    <w:p w14:paraId="7424D7A7" w14:textId="77777777" w:rsidR="00DF3A43" w:rsidRDefault="00DF3A43" w:rsidP="00DF3A43">
      <w:pPr>
        <w:pBdr>
          <w:top w:val="nil"/>
          <w:left w:val="nil"/>
          <w:bottom w:val="nil"/>
          <w:right w:val="nil"/>
          <w:between w:val="nil"/>
        </w:pBdr>
        <w:jc w:val="both"/>
        <w:rPr>
          <w:color w:val="000000"/>
        </w:rPr>
      </w:pPr>
      <w:r>
        <w:rPr>
          <w:color w:val="000000"/>
        </w:rPr>
        <w:t xml:space="preserve"> </w:t>
      </w:r>
    </w:p>
    <w:p w14:paraId="42F47E68" w14:textId="54D4C15C" w:rsidR="008B0566" w:rsidRDefault="00DF3A43" w:rsidP="00DF3A43">
      <w:pPr>
        <w:pBdr>
          <w:top w:val="nil"/>
          <w:left w:val="nil"/>
          <w:bottom w:val="nil"/>
          <w:right w:val="nil"/>
          <w:between w:val="nil"/>
        </w:pBdr>
        <w:jc w:val="both"/>
        <w:rPr>
          <w:color w:val="000000"/>
        </w:rPr>
      </w:pPr>
      <w:r>
        <w:rPr>
          <w:color w:val="000000"/>
        </w:rPr>
        <w:lastRenderedPageBreak/>
        <w:t>Primary antibodies used in this study are: FOXO3 (CST #2497S), CDKN1B (CST #3698S), p-AKT (CST #12694S), pS6 (CST #4857S), MCL (CST #5453S), PARP (CST #9532S), cleaved PARP (CST #5625S), Actin (C4) (SC-47778). Secondary antibodies are from Invitrogen (anti-mouse A16090, anti-rabbit 32260, anti-goat 81-1620).</w:t>
      </w:r>
    </w:p>
    <w:p w14:paraId="429DCE92" w14:textId="77777777" w:rsidR="008B0566" w:rsidRPr="00C10D10" w:rsidRDefault="008B0566" w:rsidP="008B0566">
      <w:pPr>
        <w:pStyle w:val="Heading2"/>
        <w:jc w:val="both"/>
        <w:rPr>
          <w:b/>
          <w:color w:val="000000" w:themeColor="text1"/>
          <w:sz w:val="24"/>
          <w:szCs w:val="24"/>
        </w:rPr>
      </w:pPr>
      <w:r w:rsidRPr="00C10D10">
        <w:rPr>
          <w:b/>
          <w:color w:val="000000" w:themeColor="text1"/>
          <w:sz w:val="24"/>
          <w:szCs w:val="24"/>
        </w:rPr>
        <w:t>Cell death assays</w:t>
      </w:r>
    </w:p>
    <w:p w14:paraId="3B0AA02A" w14:textId="10914800" w:rsidR="008B0566" w:rsidRPr="00C10D10" w:rsidRDefault="008B0566" w:rsidP="008B0566">
      <w:pPr>
        <w:pBdr>
          <w:top w:val="nil"/>
          <w:left w:val="nil"/>
          <w:bottom w:val="nil"/>
          <w:right w:val="nil"/>
          <w:between w:val="nil"/>
        </w:pBdr>
        <w:jc w:val="both"/>
        <w:rPr>
          <w:color w:val="000000" w:themeColor="text1"/>
          <w:sz w:val="24"/>
          <w:szCs w:val="24"/>
        </w:rPr>
      </w:pPr>
      <w:r w:rsidRPr="00C10D10">
        <w:rPr>
          <w:color w:val="000000" w:themeColor="text1"/>
        </w:rPr>
        <w:t xml:space="preserve">Cells were treated as indicated and stained with fluorescent conjugates of annexin-V and PI (1 µg/ml final concentration) and analyzed on a FACSCanto machine (BD, Franklin Lakes, NJ, USA). Annexin V was prepared as previously described </w:t>
      </w:r>
      <w:r>
        <w:rPr>
          <w:noProof/>
          <w:color w:val="000000" w:themeColor="text1"/>
        </w:rPr>
        <w:t>(28,29)</w:t>
      </w:r>
      <w:r w:rsidRPr="00C10D10">
        <w:rPr>
          <w:color w:val="000000" w:themeColor="text1"/>
        </w:rPr>
        <w:t>. Viable cells are Annexin-V negative and PI negative, and cell death is expressed as 100% – viable cells.</w:t>
      </w:r>
    </w:p>
    <w:p w14:paraId="21AF3F08" w14:textId="77777777" w:rsidR="008B0566" w:rsidRPr="00C10D10" w:rsidRDefault="008B0566" w:rsidP="008B0566">
      <w:pPr>
        <w:pStyle w:val="Heading2"/>
        <w:jc w:val="both"/>
        <w:rPr>
          <w:b/>
          <w:color w:val="000000" w:themeColor="text1"/>
          <w:sz w:val="24"/>
          <w:szCs w:val="24"/>
        </w:rPr>
      </w:pPr>
      <w:bookmarkStart w:id="17" w:name="_heading=h.z337ya" w:colFirst="0" w:colLast="0"/>
      <w:bookmarkEnd w:id="17"/>
      <w:r w:rsidRPr="00C10D10">
        <w:rPr>
          <w:b/>
          <w:color w:val="000000" w:themeColor="text1"/>
          <w:sz w:val="24"/>
          <w:szCs w:val="24"/>
        </w:rPr>
        <w:t>Dynamic BH3 profiling</w:t>
      </w:r>
    </w:p>
    <w:p w14:paraId="38A23A27" w14:textId="12AF9DA8" w:rsidR="008B0566" w:rsidRPr="008B0566" w:rsidRDefault="008B0566" w:rsidP="00DF3A43">
      <w:pPr>
        <w:pBdr>
          <w:top w:val="nil"/>
          <w:left w:val="nil"/>
          <w:bottom w:val="nil"/>
          <w:right w:val="nil"/>
          <w:between w:val="nil"/>
        </w:pBdr>
        <w:jc w:val="both"/>
        <w:rPr>
          <w:color w:val="000000" w:themeColor="text1"/>
        </w:rPr>
      </w:pPr>
      <w:r w:rsidRPr="00C10D10">
        <w:rPr>
          <w:color w:val="000000" w:themeColor="text1"/>
        </w:rPr>
        <w:t xml:space="preserve">Dynamic BH3 profiling was performed as previously described in detail </w:t>
      </w:r>
      <w:r>
        <w:rPr>
          <w:noProof/>
          <w:color w:val="000000" w:themeColor="text1"/>
        </w:rPr>
        <w:t>(28,29)</w:t>
      </w:r>
      <w:r w:rsidRPr="00C10D10">
        <w:rPr>
          <w:color w:val="000000" w:themeColor="text1"/>
        </w:rPr>
        <w:t>. ER+ breast cancer cell lines were incubated in RPMI with 10% FBS for T47D and DMEM with 10% FBS for MCF7, at different times and drug concentration as indicated. To perform DBP in cell lines, 2 × 10</w:t>
      </w:r>
      <w:r w:rsidRPr="00C10D10">
        <w:rPr>
          <w:color w:val="000000" w:themeColor="text1"/>
          <w:vertAlign w:val="superscript"/>
        </w:rPr>
        <w:t>4</w:t>
      </w:r>
      <w:r w:rsidRPr="00C10D10">
        <w:rPr>
          <w:color w:val="000000" w:themeColor="text1"/>
        </w:rPr>
        <w:t xml:space="preserve"> cells/well were used. We used BIM BH3 peptide concentrations of 0.01, 0.03, 0.1, 0.3, 1, 3, and 10 μM. We used a FACS-based BH3 profiling to perform the analysis, cytochrome c release was measured after a 60 minutes incubation of digitonin-permeabilized cells with BH3 peptides. % priming stands for the % cytochrome c released for each BH3 concentration tested. Δ% priming stands for the maximum difference in % priming between treated (drug) and non-treated (no drug) cells among the BH3 concentrations tested.</w:t>
      </w:r>
    </w:p>
    <w:p w14:paraId="45BA1389" w14:textId="77777777" w:rsidR="00DF3A43" w:rsidRDefault="00DF3A43" w:rsidP="00DF3A43">
      <w:pPr>
        <w:pStyle w:val="Heading2"/>
        <w:rPr>
          <w:color w:val="000000"/>
        </w:rPr>
      </w:pPr>
      <w:r>
        <w:rPr>
          <w:b/>
          <w:color w:val="000000"/>
          <w:sz w:val="24"/>
          <w:szCs w:val="24"/>
        </w:rPr>
        <w:t>Statistical analysis</w:t>
      </w:r>
    </w:p>
    <w:p w14:paraId="0BABE0A7" w14:textId="0040F4F1" w:rsidR="005A4D96" w:rsidRDefault="00DF3A43" w:rsidP="00DF3A43">
      <w:pPr>
        <w:jc w:val="both"/>
        <w:rPr>
          <w:color w:val="000000"/>
        </w:rPr>
      </w:pPr>
      <w:r>
        <w:rPr>
          <w:color w:val="000000"/>
        </w:rPr>
        <w:t xml:space="preserve">All statistical analysis was performed using R (version 3.6.0). Pearson and Spearman correlations and p values were calculated using the </w:t>
      </w:r>
      <w:r>
        <w:rPr>
          <w:i/>
          <w:color w:val="000000"/>
        </w:rPr>
        <w:t>cor.test</w:t>
      </w:r>
      <w:r>
        <w:rPr>
          <w:color w:val="000000"/>
        </w:rPr>
        <w:t xml:space="preserve"> function from the </w:t>
      </w:r>
      <w:r>
        <w:rPr>
          <w:i/>
          <w:color w:val="000000"/>
        </w:rPr>
        <w:t>stats</w:t>
      </w:r>
      <w:r>
        <w:rPr>
          <w:color w:val="000000"/>
        </w:rPr>
        <w:t xml:space="preserve"> package using a two-sided test. Statistical comparisons in cell viability were performed using a two-sample, two-sided unpaired t-test using the </w:t>
      </w:r>
      <w:r>
        <w:rPr>
          <w:i/>
          <w:color w:val="000000"/>
        </w:rPr>
        <w:t>t.test</w:t>
      </w:r>
      <w:r>
        <w:rPr>
          <w:color w:val="000000"/>
        </w:rPr>
        <w:t xml:space="preserve"> function from the </w:t>
      </w:r>
      <w:r>
        <w:rPr>
          <w:i/>
          <w:color w:val="000000"/>
        </w:rPr>
        <w:t>stats</w:t>
      </w:r>
      <w:r>
        <w:rPr>
          <w:color w:val="000000"/>
        </w:rPr>
        <w:t xml:space="preserve"> package. A p value of less than 0.05 was considered to be statistically significant. Robust z-scores </w:t>
      </w:r>
      <m:oMath>
        <m:r>
          <w:rPr>
            <w:rFonts w:ascii="Cambria Math" w:eastAsia="Cambria Math" w:hAnsi="Cambria Math" w:cs="Cambria Math"/>
            <w:color w:val="000000"/>
          </w:rPr>
          <m:t>z</m:t>
        </m:r>
      </m:oMath>
      <w:r>
        <w:rPr>
          <w:color w:val="000000"/>
        </w:rPr>
        <w:t xml:space="preserve"> for a value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oMath>
      <w:r>
        <w:rPr>
          <w:color w:val="000000"/>
        </w:rPr>
        <w:t xml:space="preserve"> in a distribution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D=[x</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n</m:t>
            </m:r>
          </m:sub>
        </m:sSub>
        <m:r>
          <w:rPr>
            <w:rFonts w:ascii="Cambria Math" w:eastAsia="Cambria Math" w:hAnsi="Cambria Math" w:cs="Cambria Math"/>
            <w:color w:val="000000"/>
          </w:rPr>
          <m:t>]</m:t>
        </m:r>
      </m:oMath>
      <w:r>
        <w:rPr>
          <w:color w:val="000000"/>
        </w:rPr>
        <w:t xml:space="preserve"> were obtained by subtracting the median (</w:t>
      </w:r>
      <m:oMath>
        <m:r>
          <w:rPr>
            <w:rFonts w:ascii="Cambria Math" w:eastAsia="Cambria Math" w:hAnsi="Cambria Math" w:cs="Cambria Math"/>
            <w:color w:val="000000"/>
          </w:rPr>
          <m:t>median</m:t>
        </m:r>
      </m:oMath>
      <w:r>
        <w:rPr>
          <w:color w:val="000000"/>
        </w:rPr>
        <w:t>) and dividing by the median absolute deviation (</w:t>
      </w:r>
      <m:oMath>
        <m:r>
          <w:rPr>
            <w:rFonts w:ascii="Cambria Math" w:eastAsia="Cambria Math" w:hAnsi="Cambria Math" w:cs="Cambria Math"/>
            <w:color w:val="000000"/>
          </w:rPr>
          <m:t>mad</m:t>
        </m:r>
      </m:oMath>
      <w:r>
        <w:rPr>
          <w:color w:val="000000"/>
        </w:rPr>
        <w:t xml:space="preserve">), that is, </w:t>
      </w:r>
      <m:oMath>
        <m:r>
          <w:rPr>
            <w:rFonts w:ascii="Cambria Math" w:eastAsia="Cambria Math" w:hAnsi="Cambria Math" w:cs="Cambria Math"/>
            <w:color w:val="000000"/>
          </w:rPr>
          <m:t>z(</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j</m:t>
            </m:r>
          </m:sub>
        </m:sSub>
        <m:r>
          <w:rPr>
            <w:rFonts w:ascii="Cambria Math" w:eastAsia="Cambria Math" w:hAnsi="Cambria Math" w:cs="Cambria Math"/>
            <w:color w:val="000000"/>
          </w:rPr>
          <m:t>-median(D)]/mad(D)</m:t>
        </m:r>
      </m:oMath>
      <w:r>
        <w:rPr>
          <w:color w:val="000000"/>
        </w:rPr>
        <w:t>.</w:t>
      </w:r>
    </w:p>
    <w:p w14:paraId="5C1F71B2" w14:textId="77777777" w:rsidR="005A4D96" w:rsidRDefault="005A4D96" w:rsidP="005A4D96">
      <w:pPr>
        <w:pStyle w:val="Heading2"/>
        <w:jc w:val="both"/>
        <w:rPr>
          <w:b/>
          <w:color w:val="000000"/>
          <w:sz w:val="24"/>
          <w:szCs w:val="24"/>
        </w:rPr>
      </w:pPr>
      <w:r>
        <w:rPr>
          <w:b/>
          <w:color w:val="000000"/>
          <w:sz w:val="24"/>
          <w:szCs w:val="24"/>
        </w:rPr>
        <w:t>Genomic data from breast cancer tumor datasets</w:t>
      </w:r>
    </w:p>
    <w:p w14:paraId="41119F77" w14:textId="3E7E124A" w:rsidR="005A4D96" w:rsidRDefault="005A4D96" w:rsidP="00DF3A43">
      <w:pPr>
        <w:jc w:val="both"/>
        <w:rPr>
          <w:color w:val="000000"/>
        </w:rPr>
      </w:pPr>
      <w:r>
        <w:rPr>
          <w:color w:val="000000"/>
        </w:rPr>
        <w:t>We used cbioportal (</w:t>
      </w:r>
      <w:r>
        <w:rPr>
          <w:color w:val="0000FF"/>
        </w:rPr>
        <w:t>https://www.cbioportal.org/</w:t>
      </w:r>
      <w:r>
        <w:rPr>
          <w:color w:val="000000"/>
        </w:rPr>
        <w:t>, May 2021) to download the genomic data and annotations from multiple breast cancer tumor datasets, namely, TCGA PanCancer, METABRIC, MSK IMPACT 2018</w:t>
      </w:r>
      <w:r w:rsidR="00047E06">
        <w:rPr>
          <w:color w:val="000000"/>
        </w:rPr>
        <w:t>,</w:t>
      </w:r>
      <w:r>
        <w:rPr>
          <w:color w:val="000000"/>
        </w:rPr>
        <w:t xml:space="preserve"> </w:t>
      </w:r>
      <w:r w:rsidR="008B0566">
        <w:rPr>
          <w:noProof/>
          <w:color w:val="000000"/>
        </w:rPr>
        <w:t>(30)</w:t>
      </w:r>
      <w:r>
        <w:rPr>
          <w:color w:val="000000"/>
        </w:rPr>
        <w:t xml:space="preserve">, and The Metastatic Breast Cancer Project (see Supplemental Table S1). We consider inactivating genomic alterations to be loss-of-function (LOF) mutations (frameshift, nonsense, and nonstop mutations, excluding those in tumors with high mutation burden) and copy number deep deletions (based on the annotations in cbioportal). The cbioportal data on which this analysis is based on can be found in Supplemental File 2. </w:t>
      </w:r>
    </w:p>
    <w:p w14:paraId="1A0E9704" w14:textId="77777777" w:rsidR="00DF3A43" w:rsidRDefault="00DF3A43" w:rsidP="00DF3A43">
      <w:pPr>
        <w:pStyle w:val="Heading2"/>
        <w:jc w:val="both"/>
        <w:rPr>
          <w:b/>
          <w:color w:val="000000"/>
          <w:sz w:val="24"/>
          <w:szCs w:val="24"/>
        </w:rPr>
      </w:pPr>
      <w:r>
        <w:rPr>
          <w:b/>
          <w:color w:val="000000"/>
          <w:sz w:val="24"/>
          <w:szCs w:val="24"/>
        </w:rPr>
        <w:t>Model simulations</w:t>
      </w:r>
    </w:p>
    <w:p w14:paraId="6938956F" w14:textId="0BB9C4DE" w:rsidR="00DF3A43" w:rsidRDefault="00DF3A43" w:rsidP="00DF3A43">
      <w:pPr>
        <w:jc w:val="both"/>
        <w:rPr>
          <w:color w:val="000000"/>
        </w:rPr>
      </w:pPr>
      <w:r>
        <w:rPr>
          <w:color w:val="000000"/>
        </w:rPr>
        <w:t xml:space="preserve">Model simulations were performed using similar methodology as in </w:t>
      </w:r>
      <w:r w:rsidR="005C21D8">
        <w:rPr>
          <w:noProof/>
          <w:color w:val="000000"/>
        </w:rPr>
        <w:t>(1)</w:t>
      </w:r>
      <w:r>
        <w:rPr>
          <w:color w:val="000000"/>
        </w:rPr>
        <w:t>. The simulations of the discrete network models were done by mapping the discrete network model into a Boolean model, which was then simulated using the BooleanDynamicModeling Java library, which is available on GitHub (</w:t>
      </w:r>
      <w:r>
        <w:rPr>
          <w:color w:val="0000FF"/>
          <w:u w:val="single"/>
        </w:rPr>
        <w:t>https://github.com/jgtz/BooleanDynamicModeling</w:t>
      </w:r>
      <w:r>
        <w:rPr>
          <w:color w:val="000000"/>
          <w:u w:val="single"/>
        </w:rPr>
        <w:t>)</w:t>
      </w:r>
      <w:r>
        <w:rPr>
          <w:color w:val="000000"/>
        </w:rPr>
        <w:t xml:space="preserve">. To simulate multi-level nodes, we use a Boolean variable to </w:t>
      </w:r>
      <w:r>
        <w:rPr>
          <w:color w:val="000000"/>
        </w:rPr>
        <w:lastRenderedPageBreak/>
        <w:t>denote each level greater than 1. For example, for a 3-level node with states 0, 1, and 2, we have 2 variables (Node and Node_2), and for a 4-level node we have 3 variables (Node, Node_2, and Node_3).</w:t>
      </w:r>
    </w:p>
    <w:p w14:paraId="65A1AEC7" w14:textId="77777777" w:rsidR="00DF3A43" w:rsidRDefault="00DF3A43" w:rsidP="00DF3A43">
      <w:pPr>
        <w:jc w:val="both"/>
        <w:rPr>
          <w:color w:val="000000"/>
        </w:rPr>
      </w:pPr>
    </w:p>
    <w:p w14:paraId="2750BBC1" w14:textId="3D7F063C" w:rsidR="00FA069A" w:rsidRDefault="00FA069A" w:rsidP="001E36DA">
      <w:pPr>
        <w:pStyle w:val="Heading2"/>
        <w:jc w:val="both"/>
        <w:rPr>
          <w:b/>
          <w:color w:val="000000" w:themeColor="text1"/>
        </w:rPr>
      </w:pPr>
      <w:r>
        <w:rPr>
          <w:b/>
          <w:color w:val="000000" w:themeColor="text1"/>
        </w:rPr>
        <w:t>Supplemental References</w:t>
      </w:r>
    </w:p>
    <w:p w14:paraId="7E87CD3B" w14:textId="77777777" w:rsidR="00E55956" w:rsidRPr="00E55956" w:rsidRDefault="00E55956" w:rsidP="00E55956"/>
    <w:p w14:paraId="5FD77D31" w14:textId="4EB7DBA8"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 </w:t>
      </w:r>
      <w:r>
        <w:rPr>
          <w:noProof/>
          <w:color w:val="000000" w:themeColor="text1"/>
        </w:rPr>
        <w:tab/>
        <w:t>Gómez Tejeda Zañudo J, Scaltriti M, Albert R. A network modeling approach to elucidate drug resistance mechanisms and predict combinatorial drug treatments in breast cancer. Cancer Converg. 2017;1:5.</w:t>
      </w:r>
    </w:p>
    <w:p w14:paraId="5528F904"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 </w:t>
      </w:r>
      <w:r>
        <w:rPr>
          <w:noProof/>
          <w:color w:val="000000" w:themeColor="text1"/>
        </w:rPr>
        <w:tab/>
        <w:t>Milo R, Jorgensen P, Moran U, Weber G, Springer M. BioNumbers—the database of key numbers in molecular and cell biology. Nucleic Acids Research. 2010;38:D750–3.</w:t>
      </w:r>
    </w:p>
    <w:p w14:paraId="51A8BB72"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 </w:t>
      </w:r>
      <w:r>
        <w:rPr>
          <w:noProof/>
          <w:color w:val="000000" w:themeColor="text1"/>
        </w:rPr>
        <w:tab/>
        <w:t>Milo R, Phillips R. Cell Biology by the Numbers. Garland Science; 2015.</w:t>
      </w:r>
    </w:p>
    <w:p w14:paraId="7A5FAF03"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4. </w:t>
      </w:r>
      <w:r>
        <w:rPr>
          <w:noProof/>
          <w:color w:val="000000" w:themeColor="text1"/>
        </w:rPr>
        <w:tab/>
        <w:t>Bosch A, Li Z, Bergamaschi A, Ellis H, Toska E, Prat A, et al. PI3K inhibition results in enhanced estrogen receptor function and dependence in hormone receptor–positive breast cancer. Sci Transl Med. 2015;7:283ra51-283ra51.</w:t>
      </w:r>
    </w:p>
    <w:p w14:paraId="4FD99C1F"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5. </w:t>
      </w:r>
      <w:r>
        <w:rPr>
          <w:noProof/>
          <w:color w:val="000000" w:themeColor="text1"/>
        </w:rPr>
        <w:tab/>
        <w:t>Garg A, Di Cara A, Xenarios I, Mendoza L, De Micheli G. Synchronous versus asynchronous modeling of gene regulatory networks. Bioinformatics. 2008;24:1917–25.</w:t>
      </w:r>
    </w:p>
    <w:p w14:paraId="4605A4DC"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6. </w:t>
      </w:r>
      <w:r>
        <w:rPr>
          <w:noProof/>
          <w:color w:val="000000" w:themeColor="text1"/>
        </w:rPr>
        <w:tab/>
        <w:t>Saadatpour A, Albert I, Albert R. Attractor analysis of asynchronous Boolean models of signal transduction networks. J Theor Biol. 2010;266:641–56.</w:t>
      </w:r>
    </w:p>
    <w:p w14:paraId="73660CDB"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7. </w:t>
      </w:r>
      <w:r>
        <w:rPr>
          <w:noProof/>
          <w:color w:val="000000" w:themeColor="text1"/>
        </w:rPr>
        <w:tab/>
        <w:t>Chandarlapaty S, Sawai A, Scaltriti M, Rodrik-Outmezguine V, Grbovic-Huezo O, Serra V, et al. AKT inhibition relieves feedback suppression of receptor tyrosine kinase expression and activity. Cancer Cell. 2011;19:58–71.</w:t>
      </w:r>
    </w:p>
    <w:p w14:paraId="5218BB4E"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8. </w:t>
      </w:r>
      <w:r>
        <w:rPr>
          <w:noProof/>
          <w:color w:val="000000" w:themeColor="text1"/>
        </w:rPr>
        <w:tab/>
        <w:t>Muranen T, Selfors LM, Worster DT, Iwanicki MP, Song L, Morales FC, et al. Inhibition of PI3K/mTOR leads to adaptive resistance in matrix-attached cancer cells. Cancer Cell. 2012;21:227–39.</w:t>
      </w:r>
    </w:p>
    <w:p w14:paraId="3A5003CD"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9. </w:t>
      </w:r>
      <w:r>
        <w:rPr>
          <w:noProof/>
          <w:color w:val="000000" w:themeColor="text1"/>
        </w:rPr>
        <w:tab/>
        <w:t>Kodack DP, Askoxylakis V, Ferraro GB, Sheng Q, Badeaux M, Goel S, et al. The brain microenvironment mediates resistance in luminal breast cancer to PI3K inhibition through HER3 activation. Sci Transl Med. 2017;9:eaal4682.</w:t>
      </w:r>
    </w:p>
    <w:p w14:paraId="4C46EF9B"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10. </w:t>
      </w:r>
      <w:r>
        <w:rPr>
          <w:noProof/>
          <w:color w:val="000000" w:themeColor="text1"/>
        </w:rPr>
        <w:tab/>
        <w:t>Toska E, Osmanbeyoglu HU, Castel P, Chan C, Hendrickson RC, Elkabets M, et al. PI3K pathway regulates ER-dependent transcription in breast cancer through the epigenetic regulator KMT2D. Science. 2017;355:1324–30.</w:t>
      </w:r>
    </w:p>
    <w:p w14:paraId="66C5DD67"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11. </w:t>
      </w:r>
      <w:r>
        <w:rPr>
          <w:noProof/>
          <w:color w:val="000000" w:themeColor="text1"/>
        </w:rPr>
        <w:tab/>
        <w:t>Ma XM, Blenis J. Molecular mechanisms of mTOR-mediated translational control. Nat Rev Mol Cell Biol. 2009;10:307–18.</w:t>
      </w:r>
    </w:p>
    <w:p w14:paraId="06C25B6F"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12. </w:t>
      </w:r>
      <w:r>
        <w:rPr>
          <w:noProof/>
          <w:color w:val="000000" w:themeColor="text1"/>
        </w:rPr>
        <w:tab/>
        <w:t>Liberzon A, Birger C, Thorvaldsdóttir H, Ghandi M, Mesirov JP, Tamayo P. The Molecular Signatures Database (MSigDB) hallmark gene set collection. Cell Syst. 2015;1:417–25.</w:t>
      </w:r>
    </w:p>
    <w:p w14:paraId="7C77075F"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13. </w:t>
      </w:r>
      <w:r>
        <w:rPr>
          <w:noProof/>
          <w:color w:val="000000" w:themeColor="text1"/>
        </w:rPr>
        <w:tab/>
        <w:t>Donnella HJ, Webber JT, Levin RS, Camarda R, Momcilovic O, Bayani N, et al. Kinome rewiring reveals AURKA limits PI3K-pathway inhibitor efficacy in breast cancer. Nat Chem Biol. 2018;14:768–77.</w:t>
      </w:r>
    </w:p>
    <w:p w14:paraId="1DA9F02E" w14:textId="77777777" w:rsidR="008B0566" w:rsidRPr="002A694F"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lang w:val="es-ES"/>
        </w:rPr>
      </w:pPr>
      <w:r>
        <w:rPr>
          <w:noProof/>
          <w:color w:val="000000" w:themeColor="text1"/>
        </w:rPr>
        <w:t xml:space="preserve">14. </w:t>
      </w:r>
      <w:r>
        <w:rPr>
          <w:noProof/>
          <w:color w:val="000000" w:themeColor="text1"/>
        </w:rPr>
        <w:tab/>
        <w:t xml:space="preserve">Ilic N, Utermark T, Widlund HR, Roberts TM. PI3K-targeted therapy can be evaded by gene amplification along the MYC-eukaryotic translation initiation factor 4E (eIF4E) axis. </w:t>
      </w:r>
      <w:r w:rsidRPr="002A694F">
        <w:rPr>
          <w:noProof/>
          <w:color w:val="000000" w:themeColor="text1"/>
          <w:lang w:val="es-ES"/>
        </w:rPr>
        <w:t>Proc Natl Acad Sci U S A. 2011;108:E699-708.</w:t>
      </w:r>
    </w:p>
    <w:p w14:paraId="2EC3988B"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sidRPr="002A694F">
        <w:rPr>
          <w:noProof/>
          <w:color w:val="000000" w:themeColor="text1"/>
          <w:lang w:val="es-ES"/>
        </w:rPr>
        <w:t xml:space="preserve">15. </w:t>
      </w:r>
      <w:r w:rsidRPr="002A694F">
        <w:rPr>
          <w:noProof/>
          <w:color w:val="000000" w:themeColor="text1"/>
          <w:lang w:val="es-ES"/>
        </w:rPr>
        <w:tab/>
        <w:t xml:space="preserve">Muellner MK, Uras IZ, Gapp BV, Kerzendorfer C, Smida M, Lechtermann H, et al. </w:t>
      </w:r>
      <w:r>
        <w:rPr>
          <w:noProof/>
          <w:color w:val="000000" w:themeColor="text1"/>
        </w:rPr>
        <w:t>A chemical-genetic screen reveals a mechanism of resistance to PI3K inhibitors in cancer. Nat Chem Biol. 2011;7:787–93.</w:t>
      </w:r>
    </w:p>
    <w:p w14:paraId="3DCAFF2A"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lastRenderedPageBreak/>
        <w:t xml:space="preserve">16. </w:t>
      </w:r>
      <w:r>
        <w:rPr>
          <w:noProof/>
          <w:color w:val="000000" w:themeColor="text1"/>
        </w:rPr>
        <w:tab/>
        <w:t>Schaub FX, Dhankani V, Berger AC, Trivedi M, Richardson AB, Shaw R, et al. Pan-cancer Alterations of the MYC Oncogene and Its Proximal Network across the Cancer Genome Atlas. Cell Syst. 2018;6:282-300.e2.</w:t>
      </w:r>
    </w:p>
    <w:p w14:paraId="62605A0E"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17. </w:t>
      </w:r>
      <w:r>
        <w:rPr>
          <w:noProof/>
          <w:color w:val="000000" w:themeColor="text1"/>
        </w:rPr>
        <w:tab/>
        <w:t>Zhang Y, Kwok-Shing Ng P, Kucherlapati M, Chen F, Liu Y, Tsang YH, et al. A Pan-Cancer Proteogenomic Atlas of PI3K/AKT/mTOR Pathway Alterations. Cancer Cell. 2017;31:820-832.e3.</w:t>
      </w:r>
    </w:p>
    <w:p w14:paraId="553B6DBD"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18. </w:t>
      </w:r>
      <w:r>
        <w:rPr>
          <w:noProof/>
          <w:color w:val="000000" w:themeColor="text1"/>
        </w:rPr>
        <w:tab/>
        <w:t>Le X, Antony R, Razavi P, Treacy DJ, Luo F, Ghandi M, et al. Systematic Functional Characterization of Resistance to PI3K Inhibition in Breast Cancer. Cancer Discov. 2016;6:1134–47.</w:t>
      </w:r>
    </w:p>
    <w:p w14:paraId="33C450EA"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19. </w:t>
      </w:r>
      <w:r>
        <w:rPr>
          <w:noProof/>
          <w:color w:val="000000" w:themeColor="text1"/>
        </w:rPr>
        <w:tab/>
      </w:r>
      <w:r w:rsidRPr="002A694F">
        <w:rPr>
          <w:noProof/>
          <w:color w:val="000000" w:themeColor="text1"/>
          <w:lang w:val="es-ES"/>
        </w:rPr>
        <w:t xml:space="preserve">Bertoli C, de Bruin RAM. </w:t>
      </w:r>
      <w:r>
        <w:rPr>
          <w:noProof/>
          <w:color w:val="000000" w:themeColor="text1"/>
        </w:rPr>
        <w:t>Cell Division: Turning cell cycle entry on its head. Elife. eLife Sciences Publications Limited; 2014;3:e03475.</w:t>
      </w:r>
    </w:p>
    <w:p w14:paraId="5D2ABAEF"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20. </w:t>
      </w:r>
      <w:r>
        <w:rPr>
          <w:noProof/>
          <w:color w:val="000000" w:themeColor="text1"/>
        </w:rPr>
        <w:tab/>
        <w:t>Lundberg AS, Weinberg RA. Functional inactivation of the retinoblastoma protein requires sequential modification by at least two distinct cyclin-cdk complexes. Mol Cell Biol. 1998;18:753–61.</w:t>
      </w:r>
    </w:p>
    <w:p w14:paraId="42833AC1"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21. </w:t>
      </w:r>
      <w:r>
        <w:rPr>
          <w:noProof/>
          <w:color w:val="000000" w:themeColor="text1"/>
        </w:rPr>
        <w:tab/>
        <w:t>Ezhevsky SA, Nagahara H, Vocero-Akbani AM, Gius DR, Wei MC, Dowdy SF. Hypo-phosphorylation of the retinoblastoma protein (pRb) by cyclin D:Cdk4/6 complexes results in active pRb. Proc Natl Acad Sci U S A. 1997;94:10699–704.</w:t>
      </w:r>
    </w:p>
    <w:p w14:paraId="1E087E5A"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22. </w:t>
      </w:r>
      <w:r>
        <w:rPr>
          <w:noProof/>
          <w:color w:val="000000" w:themeColor="text1"/>
        </w:rPr>
        <w:tab/>
        <w:t>Herschkowitz JI, He X, Fan C, Perou CM. The functional loss of the retinoblastoma tumour suppressor is a common event in basal-like and luminal B breast carcinomas. Breast Cancer Res. 2008;10:R75.</w:t>
      </w:r>
    </w:p>
    <w:p w14:paraId="5DEBC6E9"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23. </w:t>
      </w:r>
      <w:r>
        <w:rPr>
          <w:noProof/>
          <w:color w:val="000000" w:themeColor="text1"/>
        </w:rPr>
        <w:tab/>
        <w:t>Malorni L, Piazza S, Ciani Y, Guarducci C, Bonechi M, Biagioni C, et al. A gene expression signature of retinoblastoma loss-of-function is a predictive biomarker of resistance to palbociclib in breast cancer cell lines and is prognostic in patients with ER positive early breast cancer. Oncotarget. 2016;7:68012–22.</w:t>
      </w:r>
    </w:p>
    <w:p w14:paraId="1968A29D"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sidRPr="008B0566">
        <w:rPr>
          <w:noProof/>
          <w:color w:val="000000" w:themeColor="text1"/>
          <w:lang w:val="es-ES"/>
        </w:rPr>
        <w:t xml:space="preserve">24. </w:t>
      </w:r>
      <w:r w:rsidRPr="008B0566">
        <w:rPr>
          <w:noProof/>
          <w:color w:val="000000" w:themeColor="text1"/>
          <w:lang w:val="es-ES"/>
        </w:rPr>
        <w:tab/>
        <w:t xml:space="preserve">Guarducci C, Bonechi M, Benelli M, Biagioni C, Boccalini G, Romagnoli D, et al. </w:t>
      </w:r>
      <w:r>
        <w:rPr>
          <w:noProof/>
          <w:color w:val="000000" w:themeColor="text1"/>
        </w:rPr>
        <w:t>Cyclin E1 and Rb modulation as common events at time of resistance to palbociclib in hormone receptor-positive breast cancer. NPJ Breast Cancer. 2018;4:38.</w:t>
      </w:r>
    </w:p>
    <w:p w14:paraId="23354192"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25. </w:t>
      </w:r>
      <w:r>
        <w:rPr>
          <w:noProof/>
          <w:color w:val="000000" w:themeColor="text1"/>
        </w:rPr>
        <w:tab/>
        <w:t>Vora SR, Juric D, Kim N, Mino-Kenudson M, Huynh T, Costa C, et al. CDK 4/6 inhibitors sensitize PIK3CA mutant breast cancer to PI3K inhibitors. Cancer Cell. 2014;26:136–49.</w:t>
      </w:r>
    </w:p>
    <w:p w14:paraId="103E468E"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26. </w:t>
      </w:r>
      <w:r>
        <w:rPr>
          <w:noProof/>
          <w:color w:val="000000" w:themeColor="text1"/>
        </w:rPr>
        <w:tab/>
        <w:t>Elkabets M, Vora S, Juric D, Morse N, Mino-Kenudson M, Muranen T, et al. mTORC1 inhibition is required for sensitivity to PI3K p110α inhibitors in PIK3CA-mutant breast cancer. Sci Transl Med. 2013;5:196ra99.</w:t>
      </w:r>
    </w:p>
    <w:p w14:paraId="743C8D14" w14:textId="77777777" w:rsidR="008B0566" w:rsidRP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lang w:val="es-ES"/>
        </w:rPr>
      </w:pPr>
      <w:r w:rsidRPr="008B0566">
        <w:rPr>
          <w:noProof/>
          <w:color w:val="000000" w:themeColor="text1"/>
          <w:lang w:val="es-ES"/>
        </w:rPr>
        <w:t xml:space="preserve">27. </w:t>
      </w:r>
      <w:r w:rsidRPr="008B0566">
        <w:rPr>
          <w:noProof/>
          <w:color w:val="000000" w:themeColor="text1"/>
          <w:lang w:val="es-ES"/>
        </w:rPr>
        <w:tab/>
        <w:t xml:space="preserve">Wander SA, Cohen O, Gong X, Johnson GN, Buendia-Buendia JE, Lloyd MR, et al. </w:t>
      </w:r>
      <w:r>
        <w:rPr>
          <w:noProof/>
          <w:color w:val="000000" w:themeColor="text1"/>
        </w:rPr>
        <w:t xml:space="preserve">The Genomic Landscape of Intrinsic and Acquired Resistance to Cyclin-Dependent Kinase 4/6 Inhibitors in Patients with Hormone Receptor-Positive Metastatic Breast Cancer. </w:t>
      </w:r>
      <w:r w:rsidRPr="008B0566">
        <w:rPr>
          <w:noProof/>
          <w:color w:val="000000" w:themeColor="text1"/>
          <w:lang w:val="es-ES"/>
        </w:rPr>
        <w:t>Cancer Discov. 2020;10:1174–93.</w:t>
      </w:r>
    </w:p>
    <w:p w14:paraId="7766E833"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sidRPr="008B0566">
        <w:rPr>
          <w:noProof/>
          <w:color w:val="000000" w:themeColor="text1"/>
          <w:lang w:val="es-ES"/>
        </w:rPr>
        <w:t xml:space="preserve">28. </w:t>
      </w:r>
      <w:r w:rsidRPr="008B0566">
        <w:rPr>
          <w:noProof/>
          <w:color w:val="000000" w:themeColor="text1"/>
          <w:lang w:val="es-ES"/>
        </w:rPr>
        <w:tab/>
        <w:t xml:space="preserve">Montero J, Sarosiek KA, DeAngelo JD, Maertens O, Ryan J, Ercan D, et al. </w:t>
      </w:r>
      <w:r>
        <w:rPr>
          <w:noProof/>
          <w:color w:val="000000" w:themeColor="text1"/>
        </w:rPr>
        <w:t>Drug-induced death signaling strategy rapidly predicts cancer response to chemotherapy. Cell. 2015;160:977–89.</w:t>
      </w:r>
    </w:p>
    <w:p w14:paraId="0C63C28F"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29. </w:t>
      </w:r>
      <w:r>
        <w:rPr>
          <w:noProof/>
          <w:color w:val="000000" w:themeColor="text1"/>
        </w:rPr>
        <w:tab/>
        <w:t>Montero J, Gstalder C, Kim DJ, Sadowicz D, Miles W, Manos M, et al. Destabilization of NOXA mRNA as a common resistance mechanism to targeted therapies. Nat Commun. 2019;10:5157.</w:t>
      </w:r>
    </w:p>
    <w:p w14:paraId="501551FB"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30. </w:t>
      </w:r>
      <w:r>
        <w:rPr>
          <w:noProof/>
          <w:color w:val="000000" w:themeColor="text1"/>
        </w:rPr>
        <w:tab/>
        <w:t>Razavi P, Dickler MN, Shah PD, Toy W, Brown DN, Won HH, et al. Alterations in PTEN and ESR1 promote clinical resistance to alpelisib plus aromatase inhibitors. Nature Cancer. Nature Publishing Group; 2020;1:382–93.</w:t>
      </w:r>
    </w:p>
    <w:p w14:paraId="563BC833"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31. </w:t>
      </w:r>
      <w:r>
        <w:rPr>
          <w:noProof/>
          <w:color w:val="000000" w:themeColor="text1"/>
        </w:rPr>
        <w:tab/>
        <w:t>Meyer CT, Wooten DJ, Paudel BB, Bauer J, Hardeman KN, Westover D, et al. Quantifying Drug Combination Synergy along Potency and Efficacy Axes. Cell Syst. 2019;8:97-108.e16.</w:t>
      </w:r>
    </w:p>
    <w:p w14:paraId="0D48A545"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32. </w:t>
      </w:r>
      <w:r>
        <w:rPr>
          <w:noProof/>
          <w:color w:val="000000" w:themeColor="text1"/>
        </w:rPr>
        <w:tab/>
        <w:t>Hopkins BD, Pauli C, Du X, Wang DG, Li X, Wu D, et al. Suppression of insulin feedback enhances the efficacy of PI3K inhibitors. Nature. 2018;560:499–503.</w:t>
      </w:r>
    </w:p>
    <w:p w14:paraId="424B22AC"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lastRenderedPageBreak/>
        <w:t xml:space="preserve">33. </w:t>
      </w:r>
      <w:r>
        <w:rPr>
          <w:noProof/>
          <w:color w:val="000000" w:themeColor="text1"/>
        </w:rPr>
        <w:tab/>
        <w:t>Gao J, Aksoy BA, Dogrusoz U, Dresdner G, Gross B, Sumer SO, et al. Integrative analysis of complex cancer genomics and clinical profiles using the cBioPortal. Sci Signal. 2013;6:l1.</w:t>
      </w:r>
    </w:p>
    <w:p w14:paraId="5ECCCB46"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34. </w:t>
      </w:r>
      <w:r>
        <w:rPr>
          <w:noProof/>
          <w:color w:val="000000" w:themeColor="text1"/>
        </w:rPr>
        <w:tab/>
        <w:t>Hoadley KA, Yau C, Hinoue T, Wolf DM, Lazar AJ, Drill E, et al. Cell-of-Origin Patterns Dominate the Molecular Classification of 10,000 Tumors from 33 Types of Cancer. Cell. 2018;173:291-304.e6.</w:t>
      </w:r>
    </w:p>
    <w:p w14:paraId="7976C253"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35. </w:t>
      </w:r>
      <w:r>
        <w:rPr>
          <w:noProof/>
          <w:color w:val="000000" w:themeColor="text1"/>
        </w:rPr>
        <w:tab/>
      </w:r>
      <w:r w:rsidRPr="008B0566">
        <w:rPr>
          <w:noProof/>
          <w:color w:val="000000" w:themeColor="text1"/>
          <w:lang w:val="es-ES"/>
        </w:rPr>
        <w:t xml:space="preserve">Pereira B, Chin S-F, Rueda OM, Vollan H-KM, Provenzano E, Bardwell HA, et al. </w:t>
      </w:r>
      <w:r>
        <w:rPr>
          <w:noProof/>
          <w:color w:val="000000" w:themeColor="text1"/>
        </w:rPr>
        <w:t>The somatic mutation profiles of 2,433 breast cancers refines their genomic and transcriptomic landscapes. Nat Commun. 2016;7:11479.</w:t>
      </w:r>
    </w:p>
    <w:p w14:paraId="02178654"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36. </w:t>
      </w:r>
      <w:r>
        <w:rPr>
          <w:noProof/>
          <w:color w:val="000000" w:themeColor="text1"/>
        </w:rPr>
        <w:tab/>
        <w:t>Razavi P, Chang MT, Xu G, Bandlamudi C, Ross DS, Vasan N, et al. The Genomic Landscape of Endocrine-Resistant Advanced Breast Cancers. Cancer Cell. 2018;34:427-438.e6.</w:t>
      </w:r>
    </w:p>
    <w:p w14:paraId="2A7EB2EB"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37. </w:t>
      </w:r>
      <w:r>
        <w:rPr>
          <w:noProof/>
          <w:color w:val="000000" w:themeColor="text1"/>
        </w:rPr>
        <w:tab/>
        <w:t>Wagle N, Painter C, Krevalin M, Oh C, Anderka K, Larkin K, et al. The Metastatic Breast Cancer Project: A national direct-to-patient initiative to accelerate genomics research. Journal of Clinical Oncology. 2016;34:LBA1519–LBA1519.</w:t>
      </w:r>
    </w:p>
    <w:p w14:paraId="76D25B80" w14:textId="77777777" w:rsidR="008B0566" w:rsidRPr="002A694F"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lang w:val="es-ES"/>
        </w:rPr>
      </w:pPr>
      <w:r>
        <w:rPr>
          <w:noProof/>
          <w:color w:val="000000" w:themeColor="text1"/>
        </w:rPr>
        <w:t xml:space="preserve">38. </w:t>
      </w:r>
      <w:r>
        <w:rPr>
          <w:noProof/>
          <w:color w:val="000000" w:themeColor="text1"/>
        </w:rPr>
        <w:tab/>
        <w:t xml:space="preserve">Juric D, Castel P, Griffith M, Griffith OL, Won HH, Ellis H, et al. Convergent loss of PTEN leads to clinical resistance to a PI(3)Kα inhibitor. </w:t>
      </w:r>
      <w:r w:rsidRPr="002A694F">
        <w:rPr>
          <w:noProof/>
          <w:color w:val="000000" w:themeColor="text1"/>
          <w:lang w:val="es-ES"/>
        </w:rPr>
        <w:t>Nature. 2015;518:240–4.</w:t>
      </w:r>
    </w:p>
    <w:p w14:paraId="16E02E44"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sidRPr="002A694F">
        <w:rPr>
          <w:noProof/>
          <w:color w:val="000000" w:themeColor="text1"/>
          <w:lang w:val="es-ES"/>
        </w:rPr>
        <w:t xml:space="preserve">39. </w:t>
      </w:r>
      <w:r w:rsidRPr="002A694F">
        <w:rPr>
          <w:noProof/>
          <w:color w:val="000000" w:themeColor="text1"/>
          <w:lang w:val="es-ES"/>
        </w:rPr>
        <w:tab/>
        <w:t xml:space="preserve">Costa C, Wang Y, Ly A, Hosono Y, Murchie E, Walmsley CS, et al. </w:t>
      </w:r>
      <w:r>
        <w:rPr>
          <w:noProof/>
          <w:color w:val="000000" w:themeColor="text1"/>
        </w:rPr>
        <w:t>PTEN Loss Mediates Clinical Cross-Resistance to CDK4/6 and PI3Kα Inhibitors in Breast Cancer. Cancer Discov. 2020;10:72–85.</w:t>
      </w:r>
    </w:p>
    <w:p w14:paraId="2439313C"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40. </w:t>
      </w:r>
      <w:r>
        <w:rPr>
          <w:noProof/>
          <w:color w:val="000000" w:themeColor="text1"/>
        </w:rPr>
        <w:tab/>
        <w:t>Zwang Y, Jonas O, Chen C, Rinne ML, Doench JG, Piccioni F, et al. Synergistic interactions with PI3K inhibition that induce apoptosis. Elife. 2017;6:e24523.</w:t>
      </w:r>
    </w:p>
    <w:p w14:paraId="165C474E" w14:textId="77777777" w:rsidR="008B0566"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rPr>
      </w:pPr>
      <w:r>
        <w:rPr>
          <w:noProof/>
          <w:color w:val="000000" w:themeColor="text1"/>
        </w:rPr>
        <w:t xml:space="preserve">41. </w:t>
      </w:r>
      <w:r>
        <w:rPr>
          <w:noProof/>
          <w:color w:val="000000" w:themeColor="text1"/>
        </w:rPr>
        <w:tab/>
      </w:r>
      <w:r w:rsidRPr="002A694F">
        <w:rPr>
          <w:noProof/>
          <w:color w:val="000000" w:themeColor="text1"/>
          <w:lang w:val="es-ES"/>
        </w:rPr>
        <w:t xml:space="preserve">Castel P, Ellis H, Bago R, Toska E, Razavi P, Carmona FJ, et al. </w:t>
      </w:r>
      <w:r>
        <w:rPr>
          <w:noProof/>
          <w:color w:val="000000" w:themeColor="text1"/>
        </w:rPr>
        <w:t>PDK1-SGK1 Signaling Sustains AKT-Independent mTORC1 Activation and Confers Resistance to PI3Kα Inhibition. Cancer Cell. 2016;30:229–42.</w:t>
      </w:r>
    </w:p>
    <w:p w14:paraId="1BFDEE6B" w14:textId="77777777" w:rsidR="008B0566" w:rsidRPr="002A694F" w:rsidRDefault="008B0566" w:rsidP="00B617DA">
      <w:pPr>
        <w:widowControl w:val="0"/>
        <w:pBdr>
          <w:top w:val="nil"/>
          <w:left w:val="nil"/>
          <w:bottom w:val="nil"/>
          <w:right w:val="nil"/>
          <w:between w:val="nil"/>
        </w:pBdr>
        <w:tabs>
          <w:tab w:val="left" w:pos="440"/>
        </w:tabs>
        <w:spacing w:after="220" w:line="240" w:lineRule="auto"/>
        <w:ind w:left="440" w:hanging="440"/>
        <w:rPr>
          <w:noProof/>
          <w:color w:val="000000" w:themeColor="text1"/>
          <w:lang w:val="es-ES"/>
        </w:rPr>
      </w:pPr>
      <w:r>
        <w:rPr>
          <w:noProof/>
          <w:color w:val="000000" w:themeColor="text1"/>
        </w:rPr>
        <w:t xml:space="preserve">42. </w:t>
      </w:r>
      <w:r>
        <w:rPr>
          <w:noProof/>
          <w:color w:val="000000" w:themeColor="text1"/>
        </w:rPr>
        <w:tab/>
      </w:r>
      <w:r w:rsidRPr="002A694F">
        <w:rPr>
          <w:noProof/>
          <w:color w:val="000000" w:themeColor="text1"/>
          <w:lang w:val="es-ES"/>
        </w:rPr>
        <w:t xml:space="preserve">Herrera-Abreu MT, Palafox M, Asghar U, Rivas MA, Cutts RJ, Garcia-Murillas I, et al. </w:t>
      </w:r>
      <w:r>
        <w:rPr>
          <w:noProof/>
          <w:color w:val="000000" w:themeColor="text1"/>
        </w:rPr>
        <w:t xml:space="preserve">Early Adaptation and Acquired Resistance to CDK4/6 Inhibition in Estrogen Receptor-Positive Breast Cancer. </w:t>
      </w:r>
      <w:r w:rsidRPr="002A694F">
        <w:rPr>
          <w:noProof/>
          <w:color w:val="000000" w:themeColor="text1"/>
          <w:lang w:val="es-ES"/>
        </w:rPr>
        <w:t>Cancer Res. 2016;76:2301–13.</w:t>
      </w:r>
    </w:p>
    <w:p w14:paraId="1A954370" w14:textId="4D1C38B2" w:rsidR="00FD6B14" w:rsidRDefault="008B0566" w:rsidP="00B617DA">
      <w:pPr>
        <w:widowControl w:val="0"/>
        <w:pBdr>
          <w:top w:val="nil"/>
          <w:left w:val="nil"/>
          <w:bottom w:val="nil"/>
          <w:right w:val="nil"/>
          <w:between w:val="nil"/>
        </w:pBdr>
        <w:tabs>
          <w:tab w:val="left" w:pos="440"/>
        </w:tabs>
        <w:spacing w:after="220" w:line="240" w:lineRule="auto"/>
        <w:ind w:left="440" w:hanging="440"/>
        <w:rPr>
          <w:b/>
          <w:color w:val="000000" w:themeColor="text1"/>
        </w:rPr>
      </w:pPr>
      <w:r w:rsidRPr="002A694F">
        <w:rPr>
          <w:noProof/>
          <w:color w:val="000000" w:themeColor="text1"/>
          <w:lang w:val="es-ES"/>
        </w:rPr>
        <w:t xml:space="preserve">43. </w:t>
      </w:r>
      <w:r w:rsidRPr="002A694F">
        <w:rPr>
          <w:noProof/>
          <w:color w:val="000000" w:themeColor="text1"/>
          <w:lang w:val="es-ES"/>
        </w:rPr>
        <w:tab/>
        <w:t xml:space="preserve">André F, Ciruelos E, Rubovszky G, Campone M, Loibl S, Rugo HS, et al. </w:t>
      </w:r>
      <w:r>
        <w:rPr>
          <w:noProof/>
          <w:color w:val="000000" w:themeColor="text1"/>
        </w:rPr>
        <w:t>Alpelisib for PIK3CA-Mutated, Hormone Receptor–Positive Advanced Breast Cancer. N Engl J Med. Massachusetts Medical Society; 2019;380:1929–40.</w:t>
      </w:r>
    </w:p>
    <w:p w14:paraId="09B7D169" w14:textId="77777777" w:rsidR="00FD6B14" w:rsidRDefault="00FD6B14">
      <w:pPr>
        <w:rPr>
          <w:b/>
          <w:color w:val="000000" w:themeColor="text1"/>
        </w:rPr>
      </w:pPr>
      <w:r>
        <w:rPr>
          <w:b/>
          <w:color w:val="000000" w:themeColor="text1"/>
        </w:rPr>
        <w:br w:type="page"/>
      </w:r>
    </w:p>
    <w:p w14:paraId="396804AC" w14:textId="77777777" w:rsidR="00E20B20" w:rsidRDefault="00E20B20" w:rsidP="00B617DA">
      <w:pPr>
        <w:widowControl w:val="0"/>
        <w:pBdr>
          <w:top w:val="nil"/>
          <w:left w:val="nil"/>
          <w:bottom w:val="nil"/>
          <w:right w:val="nil"/>
          <w:between w:val="nil"/>
        </w:pBdr>
        <w:tabs>
          <w:tab w:val="left" w:pos="440"/>
        </w:tabs>
        <w:spacing w:after="220" w:line="240" w:lineRule="auto"/>
        <w:ind w:left="440" w:hanging="440"/>
        <w:rPr>
          <w:b/>
          <w:color w:val="000000" w:themeColor="text1"/>
        </w:rPr>
      </w:pPr>
    </w:p>
    <w:p w14:paraId="6B48E1C6" w14:textId="77777777" w:rsidR="00E20B20" w:rsidRDefault="00E20B20" w:rsidP="00E20B20">
      <w:pPr>
        <w:jc w:val="both"/>
        <w:rPr>
          <w:b/>
          <w:color w:val="000000" w:themeColor="text1"/>
          <w:sz w:val="20"/>
          <w:szCs w:val="20"/>
        </w:rPr>
      </w:pPr>
      <w:r>
        <w:rPr>
          <w:b/>
          <w:noProof/>
          <w:color w:val="000000" w:themeColor="text1"/>
          <w:sz w:val="20"/>
          <w:szCs w:val="20"/>
        </w:rPr>
        <w:drawing>
          <wp:inline distT="0" distB="0" distL="0" distR="0" wp14:anchorId="7C0ED57A" wp14:editId="6020AC25">
            <wp:extent cx="5943600" cy="60553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script_09012020_SIFigures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055360"/>
                    </a:xfrm>
                    <a:prstGeom prst="rect">
                      <a:avLst/>
                    </a:prstGeom>
                  </pic:spPr>
                </pic:pic>
              </a:graphicData>
            </a:graphic>
          </wp:inline>
        </w:drawing>
      </w:r>
    </w:p>
    <w:p w14:paraId="660A4AB6" w14:textId="4DB5A8DE" w:rsidR="00E20B20" w:rsidRDefault="00E80075" w:rsidP="00E20B20">
      <w:pPr>
        <w:jc w:val="both"/>
        <w:rPr>
          <w:color w:val="000000" w:themeColor="text1"/>
          <w:sz w:val="20"/>
          <w:szCs w:val="20"/>
        </w:rPr>
      </w:pPr>
      <w:r>
        <w:rPr>
          <w:b/>
          <w:color w:val="000000" w:themeColor="text1"/>
          <w:sz w:val="20"/>
          <w:szCs w:val="20"/>
        </w:rPr>
        <w:t>Supplemental</w:t>
      </w:r>
      <w:r w:rsidR="00E20B20" w:rsidRPr="00C33A85">
        <w:rPr>
          <w:b/>
          <w:color w:val="000000" w:themeColor="text1"/>
          <w:sz w:val="20"/>
          <w:szCs w:val="20"/>
        </w:rPr>
        <w:t xml:space="preserve"> Fig</w:t>
      </w:r>
      <w:r w:rsidR="00E20B20">
        <w:rPr>
          <w:b/>
          <w:color w:val="000000" w:themeColor="text1"/>
          <w:sz w:val="20"/>
          <w:szCs w:val="20"/>
        </w:rPr>
        <w:t>.</w:t>
      </w:r>
      <w:r w:rsidR="00E20B20" w:rsidRPr="00C33A85">
        <w:rPr>
          <w:b/>
          <w:color w:val="000000" w:themeColor="text1"/>
          <w:sz w:val="20"/>
          <w:szCs w:val="20"/>
        </w:rPr>
        <w:t xml:space="preserve"> S1. Combination and synergistic efficacy of </w:t>
      </w:r>
      <w:r w:rsidR="00E20B20">
        <w:rPr>
          <w:b/>
          <w:color w:val="000000" w:themeColor="text1"/>
          <w:sz w:val="20"/>
          <w:szCs w:val="20"/>
        </w:rPr>
        <w:t>alpelisib</w:t>
      </w:r>
      <w:r w:rsidR="00E20B20" w:rsidRPr="00C33A85">
        <w:rPr>
          <w:b/>
          <w:color w:val="000000" w:themeColor="text1"/>
          <w:sz w:val="20"/>
          <w:szCs w:val="20"/>
        </w:rPr>
        <w:t xml:space="preserve"> with selected clinically relevant drugs and BH3 mimetics in MCF7. </w:t>
      </w:r>
      <w:r w:rsidR="00E20B20" w:rsidRPr="00C33A85">
        <w:rPr>
          <w:color w:val="000000" w:themeColor="text1"/>
          <w:sz w:val="20"/>
          <w:szCs w:val="20"/>
        </w:rPr>
        <w:t xml:space="preserve">The selected clinically relevant drugs are </w:t>
      </w:r>
      <w:r w:rsidR="00E20B20">
        <w:rPr>
          <w:color w:val="000000" w:themeColor="text1"/>
          <w:sz w:val="20"/>
          <w:szCs w:val="20"/>
        </w:rPr>
        <w:t>fulvestrant</w:t>
      </w:r>
      <w:r w:rsidR="00E20B20" w:rsidRPr="00C33A85">
        <w:rPr>
          <w:color w:val="000000" w:themeColor="text1"/>
          <w:sz w:val="20"/>
          <w:szCs w:val="20"/>
        </w:rPr>
        <w:t xml:space="preserve"> (a selective estrogen receptor degrader), </w:t>
      </w:r>
      <w:r w:rsidR="00E20B20">
        <w:rPr>
          <w:color w:val="000000" w:themeColor="text1"/>
          <w:sz w:val="20"/>
          <w:szCs w:val="20"/>
        </w:rPr>
        <w:t>everolimus</w:t>
      </w:r>
      <w:r w:rsidR="00E20B20" w:rsidRPr="00C33A85">
        <w:rPr>
          <w:color w:val="000000" w:themeColor="text1"/>
          <w:sz w:val="20"/>
          <w:szCs w:val="20"/>
        </w:rPr>
        <w:t xml:space="preserve"> (an inhibitor of mTOR), </w:t>
      </w:r>
      <w:r w:rsidR="00E20B20">
        <w:rPr>
          <w:color w:val="000000" w:themeColor="text1"/>
          <w:sz w:val="20"/>
          <w:szCs w:val="20"/>
        </w:rPr>
        <w:t>palbociclib</w:t>
      </w:r>
      <w:r w:rsidR="00E20B20" w:rsidRPr="00C33A85">
        <w:rPr>
          <w:color w:val="000000" w:themeColor="text1"/>
          <w:sz w:val="20"/>
          <w:szCs w:val="20"/>
        </w:rPr>
        <w:t xml:space="preserve"> (a CDK4/6 inhibitor), and </w:t>
      </w:r>
      <w:r w:rsidR="00E20B20">
        <w:rPr>
          <w:color w:val="000000" w:themeColor="text1"/>
          <w:sz w:val="20"/>
          <w:szCs w:val="20"/>
        </w:rPr>
        <w:t>ipatasertib</w:t>
      </w:r>
      <w:r w:rsidR="00E20B20" w:rsidRPr="00C33A85">
        <w:rPr>
          <w:color w:val="000000" w:themeColor="text1"/>
          <w:sz w:val="20"/>
          <w:szCs w:val="20"/>
        </w:rPr>
        <w:t xml:space="preserve"> (a pan-AKT inhibitor). The BH3 mimetics are </w:t>
      </w:r>
      <w:r w:rsidR="00E20B20">
        <w:rPr>
          <w:color w:val="000000" w:themeColor="text1"/>
          <w:sz w:val="20"/>
          <w:szCs w:val="20"/>
        </w:rPr>
        <w:t>navitoclax</w:t>
      </w:r>
      <w:r w:rsidR="00E20B20" w:rsidRPr="00C33A85">
        <w:rPr>
          <w:color w:val="000000" w:themeColor="text1"/>
          <w:sz w:val="20"/>
          <w:szCs w:val="20"/>
        </w:rPr>
        <w:t xml:space="preserve"> (a BCL-XL/BLC-2 inhibitor) and </w:t>
      </w:r>
      <w:r w:rsidR="00E20B20">
        <w:rPr>
          <w:color w:val="000000" w:themeColor="text1"/>
          <w:sz w:val="20"/>
          <w:szCs w:val="20"/>
        </w:rPr>
        <w:t>s63845</w:t>
      </w:r>
      <w:r w:rsidR="00E20B20" w:rsidRPr="00C33A85">
        <w:rPr>
          <w:color w:val="000000" w:themeColor="text1"/>
          <w:sz w:val="20"/>
          <w:szCs w:val="20"/>
        </w:rPr>
        <w:t xml:space="preserve"> (a MCL1 inhibitor). Efficacy scores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obs</m:t>
            </m:r>
          </m:sub>
        </m:sSub>
      </m:oMath>
      <w:r w:rsidR="00E20B20" w:rsidRPr="00C33A85">
        <w:rPr>
          <w:color w:val="000000" w:themeColor="text1"/>
          <w:sz w:val="20"/>
          <w:szCs w:val="20"/>
        </w:rPr>
        <w:t xml:space="preserve"> are calculated using MuSyC </w:t>
      </w:r>
      <w:r w:rsidR="008B0566">
        <w:rPr>
          <w:noProof/>
          <w:color w:val="000000" w:themeColor="text1"/>
          <w:sz w:val="20"/>
          <w:szCs w:val="20"/>
        </w:rPr>
        <w:t>(31)</w:t>
      </w:r>
      <w:r w:rsidR="00E20B20" w:rsidRPr="00C33A85">
        <w:rPr>
          <w:color w:val="000000" w:themeColor="text1"/>
          <w:sz w:val="20"/>
          <w:szCs w:val="20"/>
        </w:rPr>
        <w:t xml:space="preserve">, and are such that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obs</m:t>
            </m:r>
          </m:sub>
        </m:sSub>
        <m:r>
          <w:rPr>
            <w:rFonts w:ascii="Cambria Math" w:hAnsi="Cambria Math"/>
            <w:color w:val="000000" w:themeColor="text1"/>
            <w:sz w:val="20"/>
            <w:szCs w:val="20"/>
          </w:rPr>
          <m:t>&gt;0</m:t>
        </m:r>
      </m:oMath>
      <w:r w:rsidR="00E20B20" w:rsidRPr="00C33A85">
        <w:rPr>
          <w:color w:val="000000" w:themeColor="text1"/>
          <w:sz w:val="20"/>
          <w:szCs w:val="20"/>
        </w:rPr>
        <w:t xml:space="preserve"> means synergistic behavior and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obs</m:t>
            </m:r>
          </m:sub>
        </m:sSub>
        <m:r>
          <w:rPr>
            <w:rFonts w:ascii="Cambria Math" w:hAnsi="Cambria Math"/>
            <w:color w:val="000000" w:themeColor="text1"/>
            <w:sz w:val="20"/>
            <w:szCs w:val="20"/>
          </w:rPr>
          <m:t>&lt;0</m:t>
        </m:r>
      </m:oMath>
      <w:r w:rsidR="00E20B20" w:rsidRPr="00C33A85">
        <w:rPr>
          <w:color w:val="000000" w:themeColor="text1"/>
          <w:sz w:val="20"/>
          <w:szCs w:val="20"/>
        </w:rPr>
        <w:t xml:space="preserve"> means antagonistic behavior.</w:t>
      </w:r>
    </w:p>
    <w:p w14:paraId="33E1039B" w14:textId="77777777" w:rsidR="00E20B20" w:rsidRDefault="00E20B20" w:rsidP="00E20B20">
      <w:pPr>
        <w:rPr>
          <w:color w:val="000000" w:themeColor="text1"/>
          <w:sz w:val="20"/>
          <w:szCs w:val="20"/>
        </w:rPr>
      </w:pPr>
      <w:r>
        <w:rPr>
          <w:color w:val="000000" w:themeColor="text1"/>
          <w:sz w:val="20"/>
          <w:szCs w:val="20"/>
        </w:rPr>
        <w:br w:type="page"/>
      </w:r>
    </w:p>
    <w:p w14:paraId="5A5422D4" w14:textId="77777777" w:rsidR="00E20B20" w:rsidRPr="00C33A85" w:rsidRDefault="00E20B20" w:rsidP="00E20B20">
      <w:pPr>
        <w:jc w:val="both"/>
        <w:rPr>
          <w:color w:val="000000" w:themeColor="text1"/>
          <w:sz w:val="20"/>
          <w:szCs w:val="20"/>
        </w:rPr>
      </w:pPr>
    </w:p>
    <w:p w14:paraId="68C910D4" w14:textId="77777777" w:rsidR="00E20B20" w:rsidRDefault="00E20B20" w:rsidP="00E20B20">
      <w:pPr>
        <w:jc w:val="both"/>
        <w:rPr>
          <w:b/>
          <w:color w:val="000000" w:themeColor="text1"/>
          <w:sz w:val="20"/>
          <w:szCs w:val="20"/>
        </w:rPr>
      </w:pPr>
      <w:r>
        <w:rPr>
          <w:b/>
          <w:noProof/>
          <w:color w:val="000000" w:themeColor="text1"/>
          <w:sz w:val="20"/>
          <w:szCs w:val="20"/>
        </w:rPr>
        <w:drawing>
          <wp:inline distT="0" distB="0" distL="0" distR="0" wp14:anchorId="6078E6F9" wp14:editId="5942A911">
            <wp:extent cx="6385033" cy="78867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uscript_08212020_SIfigures_Page_2.jpg"/>
                    <pic:cNvPicPr/>
                  </pic:nvPicPr>
                  <pic:blipFill>
                    <a:blip r:embed="rId9"/>
                    <a:stretch>
                      <a:fillRect/>
                    </a:stretch>
                  </pic:blipFill>
                  <pic:spPr>
                    <a:xfrm>
                      <a:off x="0" y="0"/>
                      <a:ext cx="6385470" cy="7887240"/>
                    </a:xfrm>
                    <a:prstGeom prst="rect">
                      <a:avLst/>
                    </a:prstGeom>
                  </pic:spPr>
                </pic:pic>
              </a:graphicData>
            </a:graphic>
          </wp:inline>
        </w:drawing>
      </w:r>
    </w:p>
    <w:p w14:paraId="049791DA" w14:textId="63C650DF" w:rsidR="00E20B20" w:rsidRDefault="00E80075" w:rsidP="00E20B20">
      <w:pPr>
        <w:jc w:val="both"/>
        <w:rPr>
          <w:color w:val="000000" w:themeColor="text1"/>
          <w:sz w:val="20"/>
          <w:szCs w:val="20"/>
        </w:rPr>
      </w:pPr>
      <w:r>
        <w:rPr>
          <w:b/>
          <w:color w:val="000000" w:themeColor="text1"/>
          <w:sz w:val="20"/>
          <w:szCs w:val="20"/>
        </w:rPr>
        <w:t>Supplemental</w:t>
      </w:r>
      <w:r w:rsidR="00E20B20" w:rsidRPr="00C33A85">
        <w:rPr>
          <w:b/>
          <w:color w:val="000000" w:themeColor="text1"/>
          <w:sz w:val="20"/>
          <w:szCs w:val="20"/>
        </w:rPr>
        <w:t xml:space="preserve"> Fig</w:t>
      </w:r>
      <w:r w:rsidR="00E20B20">
        <w:rPr>
          <w:b/>
          <w:color w:val="000000" w:themeColor="text1"/>
          <w:sz w:val="20"/>
          <w:szCs w:val="20"/>
        </w:rPr>
        <w:t>.</w:t>
      </w:r>
      <w:r w:rsidR="00E20B20" w:rsidRPr="00C33A85">
        <w:rPr>
          <w:b/>
          <w:color w:val="000000" w:themeColor="text1"/>
          <w:sz w:val="20"/>
          <w:szCs w:val="20"/>
        </w:rPr>
        <w:t xml:space="preserve"> S2. Combination of </w:t>
      </w:r>
      <w:r w:rsidR="00E20B20">
        <w:rPr>
          <w:b/>
          <w:color w:val="000000" w:themeColor="text1"/>
          <w:sz w:val="20"/>
          <w:szCs w:val="20"/>
        </w:rPr>
        <w:t>alpelisib</w:t>
      </w:r>
      <w:r w:rsidR="00E20B20" w:rsidRPr="00C33A85">
        <w:rPr>
          <w:b/>
          <w:color w:val="000000" w:themeColor="text1"/>
          <w:sz w:val="20"/>
          <w:szCs w:val="20"/>
        </w:rPr>
        <w:t xml:space="preserve"> with selected clinically relevant drugs and BH3 mimetics in T47D and gene/protein expression correlates for sensitivity to MCL1 knockout. </w:t>
      </w:r>
      <w:r w:rsidR="00E20B20" w:rsidRPr="00C33A85">
        <w:rPr>
          <w:color w:val="000000" w:themeColor="text1"/>
          <w:sz w:val="20"/>
          <w:szCs w:val="20"/>
        </w:rPr>
        <w:t xml:space="preserve">(A) Drug response curves of </w:t>
      </w:r>
      <w:r w:rsidR="00E20B20">
        <w:rPr>
          <w:color w:val="000000" w:themeColor="text1"/>
          <w:sz w:val="20"/>
          <w:szCs w:val="20"/>
        </w:rPr>
        <w:t>alpelisib</w:t>
      </w:r>
      <w:r w:rsidR="00E20B20" w:rsidRPr="00C33A85">
        <w:rPr>
          <w:color w:val="000000" w:themeColor="text1"/>
          <w:sz w:val="20"/>
          <w:szCs w:val="20"/>
        </w:rPr>
        <w:t xml:space="preserve"> combined with clinically relevant drugs and BH3 mimetics in T47D. The selected clinically relevant drugs are </w:t>
      </w:r>
      <w:r w:rsidR="00E20B20">
        <w:rPr>
          <w:color w:val="000000" w:themeColor="text1"/>
          <w:sz w:val="20"/>
          <w:szCs w:val="20"/>
        </w:rPr>
        <w:t>fulvestrant</w:t>
      </w:r>
      <w:r w:rsidR="00E20B20" w:rsidRPr="00C33A85">
        <w:rPr>
          <w:color w:val="000000" w:themeColor="text1"/>
          <w:sz w:val="20"/>
          <w:szCs w:val="20"/>
        </w:rPr>
        <w:t xml:space="preserve"> (a selective estrogen receptor degrader), </w:t>
      </w:r>
      <w:r w:rsidR="00E20B20">
        <w:rPr>
          <w:color w:val="000000" w:themeColor="text1"/>
          <w:sz w:val="20"/>
          <w:szCs w:val="20"/>
        </w:rPr>
        <w:t>everolimus</w:t>
      </w:r>
      <w:r w:rsidR="00E20B20" w:rsidRPr="00C33A85">
        <w:rPr>
          <w:color w:val="000000" w:themeColor="text1"/>
          <w:sz w:val="20"/>
          <w:szCs w:val="20"/>
        </w:rPr>
        <w:t xml:space="preserve"> (an inhibitor of mTOR), </w:t>
      </w:r>
      <w:r w:rsidR="00E20B20">
        <w:rPr>
          <w:color w:val="000000" w:themeColor="text1"/>
          <w:sz w:val="20"/>
          <w:szCs w:val="20"/>
        </w:rPr>
        <w:t>palbociclib</w:t>
      </w:r>
      <w:r w:rsidR="00E20B20" w:rsidRPr="00C33A85">
        <w:rPr>
          <w:color w:val="000000" w:themeColor="text1"/>
          <w:sz w:val="20"/>
          <w:szCs w:val="20"/>
        </w:rPr>
        <w:t xml:space="preserve"> (a CDK4/6 inhibitor), and </w:t>
      </w:r>
      <w:r w:rsidR="00E20B20">
        <w:rPr>
          <w:color w:val="000000" w:themeColor="text1"/>
          <w:sz w:val="20"/>
          <w:szCs w:val="20"/>
        </w:rPr>
        <w:t>ipatasertib</w:t>
      </w:r>
      <w:r w:rsidR="00E20B20" w:rsidRPr="00C33A85">
        <w:rPr>
          <w:color w:val="000000" w:themeColor="text1"/>
          <w:sz w:val="20"/>
          <w:szCs w:val="20"/>
        </w:rPr>
        <w:t xml:space="preserve"> </w:t>
      </w:r>
      <w:r w:rsidR="00E20B20" w:rsidRPr="00C33A85">
        <w:rPr>
          <w:color w:val="000000" w:themeColor="text1"/>
          <w:sz w:val="20"/>
          <w:szCs w:val="20"/>
        </w:rPr>
        <w:lastRenderedPageBreak/>
        <w:t xml:space="preserve">(a pan-AKT inhibitor). The BH3 mimetics are </w:t>
      </w:r>
      <w:r w:rsidR="00E20B20">
        <w:rPr>
          <w:color w:val="000000" w:themeColor="text1"/>
          <w:sz w:val="20"/>
          <w:szCs w:val="20"/>
        </w:rPr>
        <w:t>navitoclax</w:t>
      </w:r>
      <w:r w:rsidR="00E20B20" w:rsidRPr="00C33A85">
        <w:rPr>
          <w:color w:val="000000" w:themeColor="text1"/>
          <w:sz w:val="20"/>
          <w:szCs w:val="20"/>
        </w:rPr>
        <w:t xml:space="preserve"> (a BCL-XL/BLC-2 inhibitor) and </w:t>
      </w:r>
      <w:r w:rsidR="00E20B20">
        <w:rPr>
          <w:color w:val="000000" w:themeColor="text1"/>
          <w:sz w:val="20"/>
          <w:szCs w:val="20"/>
        </w:rPr>
        <w:t>s63845</w:t>
      </w:r>
      <w:r w:rsidR="00E20B20" w:rsidRPr="00C33A85">
        <w:rPr>
          <w:color w:val="000000" w:themeColor="text1"/>
          <w:sz w:val="20"/>
          <w:szCs w:val="20"/>
        </w:rPr>
        <w:t xml:space="preserve"> (a MCL1 inhibitor). Efficacy scores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obs</m:t>
            </m:r>
          </m:sub>
        </m:sSub>
      </m:oMath>
      <w:r w:rsidR="00E20B20" w:rsidRPr="00C33A85">
        <w:rPr>
          <w:color w:val="000000" w:themeColor="text1"/>
          <w:sz w:val="20"/>
          <w:szCs w:val="20"/>
        </w:rPr>
        <w:t xml:space="preserve"> are calculated using MuSyC </w:t>
      </w:r>
      <w:r w:rsidR="008B0566">
        <w:rPr>
          <w:noProof/>
          <w:color w:val="000000" w:themeColor="text1"/>
          <w:sz w:val="20"/>
          <w:szCs w:val="20"/>
        </w:rPr>
        <w:t>(31)</w:t>
      </w:r>
      <w:r w:rsidR="00E20B20" w:rsidRPr="00C33A85">
        <w:rPr>
          <w:color w:val="000000" w:themeColor="text1"/>
          <w:sz w:val="20"/>
          <w:szCs w:val="20"/>
        </w:rPr>
        <w:t xml:space="preserve">, and are such that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obs</m:t>
            </m:r>
          </m:sub>
        </m:sSub>
        <m:r>
          <w:rPr>
            <w:rFonts w:ascii="Cambria Math" w:hAnsi="Cambria Math"/>
            <w:color w:val="000000" w:themeColor="text1"/>
            <w:sz w:val="20"/>
            <w:szCs w:val="20"/>
          </w:rPr>
          <m:t>&gt;0</m:t>
        </m:r>
      </m:oMath>
      <w:r w:rsidR="00E20B20" w:rsidRPr="00C33A85">
        <w:rPr>
          <w:color w:val="000000" w:themeColor="text1"/>
          <w:sz w:val="20"/>
          <w:szCs w:val="20"/>
        </w:rPr>
        <w:t xml:space="preserve"> means synergistic behavior and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obs</m:t>
            </m:r>
          </m:sub>
        </m:sSub>
        <m:r>
          <w:rPr>
            <w:rFonts w:ascii="Cambria Math" w:hAnsi="Cambria Math"/>
            <w:color w:val="000000" w:themeColor="text1"/>
            <w:sz w:val="20"/>
            <w:szCs w:val="20"/>
          </w:rPr>
          <m:t>&lt;0</m:t>
        </m:r>
      </m:oMath>
      <w:r w:rsidR="00E20B20" w:rsidRPr="00C33A85">
        <w:rPr>
          <w:color w:val="000000" w:themeColor="text1"/>
          <w:sz w:val="20"/>
          <w:szCs w:val="20"/>
        </w:rPr>
        <w:t xml:space="preserve"> means antagonistic behavior. (B) Gene and protein expression of BCL-XL (</w:t>
      </w:r>
      <w:r w:rsidR="00E20B20" w:rsidRPr="00C33A85">
        <w:rPr>
          <w:i/>
          <w:color w:val="000000" w:themeColor="text1"/>
          <w:sz w:val="20"/>
          <w:szCs w:val="20"/>
        </w:rPr>
        <w:t>BCL2L1</w:t>
      </w:r>
      <w:r w:rsidR="00E20B20" w:rsidRPr="00C33A85">
        <w:rPr>
          <w:color w:val="000000" w:themeColor="text1"/>
          <w:sz w:val="20"/>
          <w:szCs w:val="20"/>
        </w:rPr>
        <w:t>) (top) and BCL-2 (</w:t>
      </w:r>
      <w:r w:rsidR="00E20B20" w:rsidRPr="00C33A85">
        <w:rPr>
          <w:i/>
          <w:color w:val="000000" w:themeColor="text1"/>
          <w:sz w:val="20"/>
          <w:szCs w:val="20"/>
        </w:rPr>
        <w:t>BCL2</w:t>
      </w:r>
      <w:r w:rsidR="00E20B20" w:rsidRPr="00C33A85">
        <w:rPr>
          <w:color w:val="000000" w:themeColor="text1"/>
          <w:sz w:val="20"/>
          <w:szCs w:val="20"/>
        </w:rPr>
        <w:t xml:space="preserve">) (bottom). The higher gene and protein expression of BCL-XL in T47D compared to MCF7 is consistent with T47D requiring </w:t>
      </w:r>
      <w:r w:rsidR="00E20B20">
        <w:rPr>
          <w:color w:val="000000" w:themeColor="text1"/>
          <w:sz w:val="20"/>
          <w:szCs w:val="20"/>
        </w:rPr>
        <w:t>navitoclax</w:t>
      </w:r>
      <w:r w:rsidR="00E20B20" w:rsidRPr="00C33A85">
        <w:rPr>
          <w:color w:val="000000" w:themeColor="text1"/>
          <w:sz w:val="20"/>
          <w:szCs w:val="20"/>
        </w:rPr>
        <w:t xml:space="preserve"> to be sensitive to combined </w:t>
      </w:r>
      <w:r w:rsidR="00E20B20">
        <w:rPr>
          <w:color w:val="000000" w:themeColor="text1"/>
          <w:sz w:val="20"/>
          <w:szCs w:val="20"/>
        </w:rPr>
        <w:t>alpelisib</w:t>
      </w:r>
      <w:r w:rsidR="00E20B20" w:rsidRPr="00C33A85">
        <w:rPr>
          <w:color w:val="000000" w:themeColor="text1"/>
          <w:sz w:val="20"/>
          <w:szCs w:val="20"/>
        </w:rPr>
        <w:t xml:space="preserve"> and </w:t>
      </w:r>
      <w:r w:rsidR="00E20B20">
        <w:rPr>
          <w:color w:val="000000" w:themeColor="text1"/>
          <w:sz w:val="20"/>
          <w:szCs w:val="20"/>
        </w:rPr>
        <w:t>s63845</w:t>
      </w:r>
      <w:r w:rsidR="00E20B20" w:rsidRPr="00C33A85">
        <w:rPr>
          <w:color w:val="000000" w:themeColor="text1"/>
          <w:sz w:val="20"/>
          <w:szCs w:val="20"/>
        </w:rPr>
        <w:t xml:space="preserve">. (C) Sensitivity to MCL1 knockout in </w:t>
      </w:r>
      <w:r w:rsidR="005B1967">
        <w:rPr>
          <w:color w:val="000000" w:themeColor="text1"/>
          <w:sz w:val="20"/>
          <w:szCs w:val="20"/>
        </w:rPr>
        <w:t xml:space="preserve">a dataset that combines multiple </w:t>
      </w:r>
      <w:r w:rsidR="00E20B20" w:rsidRPr="00C33A85">
        <w:rPr>
          <w:color w:val="000000" w:themeColor="text1"/>
          <w:sz w:val="20"/>
          <w:szCs w:val="20"/>
        </w:rPr>
        <w:t xml:space="preserve">RNAi loss-of-functions screen datasets is strongly correlated with BCL-XL gene expression. MCF7 is more sensitive to MCL1 RNAi knockout than T47D (MCF7’s MCL1 gene effect is less than that of T47D), consistent with their differential sensitivity to </w:t>
      </w:r>
      <w:r w:rsidR="00E20B20">
        <w:rPr>
          <w:color w:val="000000" w:themeColor="text1"/>
          <w:sz w:val="20"/>
          <w:szCs w:val="20"/>
        </w:rPr>
        <w:t>s63845</w:t>
      </w:r>
      <w:r w:rsidR="00E20B20" w:rsidRPr="00C33A85">
        <w:rPr>
          <w:color w:val="000000" w:themeColor="text1"/>
          <w:sz w:val="20"/>
          <w:szCs w:val="20"/>
        </w:rPr>
        <w:t xml:space="preserve">. </w:t>
      </w:r>
      <w:r w:rsidR="005B1967">
        <w:rPr>
          <w:color w:val="000000" w:themeColor="text1"/>
          <w:sz w:val="20"/>
          <w:szCs w:val="20"/>
        </w:rPr>
        <w:t>The combined dataset uses the Achilles (</w:t>
      </w:r>
      <w:r w:rsidR="005B1967" w:rsidRPr="00C33A85">
        <w:rPr>
          <w:color w:val="000000" w:themeColor="text1"/>
          <w:sz w:val="20"/>
          <w:szCs w:val="20"/>
        </w:rPr>
        <w:t>Broad</w:t>
      </w:r>
      <w:r w:rsidR="005B1967">
        <w:rPr>
          <w:color w:val="000000" w:themeColor="text1"/>
          <w:sz w:val="20"/>
          <w:szCs w:val="20"/>
        </w:rPr>
        <w:t>)</w:t>
      </w:r>
      <w:r w:rsidR="005B1967" w:rsidRPr="00C33A85">
        <w:rPr>
          <w:color w:val="000000" w:themeColor="text1"/>
          <w:sz w:val="20"/>
          <w:szCs w:val="20"/>
        </w:rPr>
        <w:t>, DRIVE</w:t>
      </w:r>
      <w:r w:rsidR="005B1967">
        <w:rPr>
          <w:color w:val="000000" w:themeColor="text1"/>
          <w:sz w:val="20"/>
          <w:szCs w:val="20"/>
        </w:rPr>
        <w:t xml:space="preserve"> (Novartis), and Marcotte RNAi </w:t>
      </w:r>
      <w:r w:rsidR="005B1967" w:rsidRPr="00C33A85">
        <w:rPr>
          <w:color w:val="000000" w:themeColor="text1"/>
          <w:sz w:val="20"/>
          <w:szCs w:val="20"/>
        </w:rPr>
        <w:t>loss-of-functions screen datasets</w:t>
      </w:r>
      <w:r w:rsidR="005B1967">
        <w:rPr>
          <w:color w:val="000000" w:themeColor="text1"/>
          <w:sz w:val="20"/>
          <w:szCs w:val="20"/>
        </w:rPr>
        <w:t>.</w:t>
      </w:r>
    </w:p>
    <w:p w14:paraId="45C2FCD6" w14:textId="77777777" w:rsidR="00E20B20" w:rsidRDefault="00E20B20" w:rsidP="00E20B20">
      <w:pPr>
        <w:rPr>
          <w:color w:val="000000" w:themeColor="text1"/>
          <w:sz w:val="20"/>
          <w:szCs w:val="20"/>
        </w:rPr>
      </w:pPr>
      <w:r>
        <w:rPr>
          <w:color w:val="000000" w:themeColor="text1"/>
          <w:sz w:val="20"/>
          <w:szCs w:val="20"/>
        </w:rPr>
        <w:br w:type="page"/>
      </w:r>
    </w:p>
    <w:p w14:paraId="646A70C3" w14:textId="77777777" w:rsidR="00E20B20" w:rsidRDefault="00E20B20" w:rsidP="00E20B20">
      <w:pPr>
        <w:jc w:val="both"/>
        <w:rPr>
          <w:rFonts w:eastAsia="Arial Unicode MS"/>
          <w:b/>
          <w:color w:val="000000" w:themeColor="text1"/>
          <w:sz w:val="20"/>
          <w:szCs w:val="20"/>
        </w:rPr>
      </w:pPr>
      <w:r>
        <w:rPr>
          <w:rFonts w:eastAsia="Arial Unicode MS"/>
          <w:b/>
          <w:noProof/>
          <w:color w:val="000000" w:themeColor="text1"/>
          <w:sz w:val="20"/>
          <w:szCs w:val="20"/>
        </w:rPr>
        <w:lastRenderedPageBreak/>
        <w:drawing>
          <wp:inline distT="0" distB="0" distL="0" distR="0" wp14:anchorId="0CAF0619" wp14:editId="03AAFA4B">
            <wp:extent cx="6832600" cy="725014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nuscript_08212020_SIfigures_Page_3.jpg"/>
                    <pic:cNvPicPr/>
                  </pic:nvPicPr>
                  <pic:blipFill>
                    <a:blip r:embed="rId10"/>
                    <a:stretch>
                      <a:fillRect/>
                    </a:stretch>
                  </pic:blipFill>
                  <pic:spPr>
                    <a:xfrm>
                      <a:off x="0" y="0"/>
                      <a:ext cx="6834267" cy="7251918"/>
                    </a:xfrm>
                    <a:prstGeom prst="rect">
                      <a:avLst/>
                    </a:prstGeom>
                  </pic:spPr>
                </pic:pic>
              </a:graphicData>
            </a:graphic>
          </wp:inline>
        </w:drawing>
      </w:r>
    </w:p>
    <w:p w14:paraId="35D8CDD0" w14:textId="2D984F57" w:rsidR="00E20B20" w:rsidRDefault="00E80075" w:rsidP="00452402">
      <w:pPr>
        <w:jc w:val="both"/>
        <w:rPr>
          <w:color w:val="000000" w:themeColor="text1"/>
          <w:sz w:val="20"/>
          <w:szCs w:val="20"/>
        </w:rPr>
      </w:pPr>
      <w:r>
        <w:rPr>
          <w:rFonts w:eastAsia="Arial Unicode MS"/>
          <w:b/>
          <w:color w:val="000000" w:themeColor="text1"/>
          <w:sz w:val="20"/>
          <w:szCs w:val="20"/>
        </w:rPr>
        <w:t>Supplemental</w:t>
      </w:r>
      <w:r w:rsidR="00E20B20" w:rsidRPr="00C33A85">
        <w:rPr>
          <w:rFonts w:eastAsia="Arial Unicode MS"/>
          <w:b/>
          <w:color w:val="000000" w:themeColor="text1"/>
          <w:sz w:val="20"/>
          <w:szCs w:val="20"/>
        </w:rPr>
        <w:t xml:space="preserve"> Fig</w:t>
      </w:r>
      <w:r w:rsidR="00E20B20">
        <w:rPr>
          <w:rFonts w:eastAsia="Arial Unicode MS"/>
          <w:b/>
          <w:color w:val="000000" w:themeColor="text1"/>
          <w:sz w:val="20"/>
          <w:szCs w:val="20"/>
        </w:rPr>
        <w:t>.</w:t>
      </w:r>
      <w:r w:rsidR="00E20B20" w:rsidRPr="00C33A85">
        <w:rPr>
          <w:rFonts w:eastAsia="Arial Unicode MS"/>
          <w:b/>
          <w:color w:val="000000" w:themeColor="text1"/>
          <w:sz w:val="20"/>
          <w:szCs w:val="20"/>
        </w:rPr>
        <w:t xml:space="preserve"> S3. Reproducibility of FOXO3 knockdown’s reduced sensitivity to PI3K</w:t>
      </w:r>
      <w:r w:rsidR="00E20B20">
        <w:rPr>
          <w:rFonts w:eastAsia="Arial Unicode MS"/>
          <w:b/>
          <w:color w:val="000000" w:themeColor="text1"/>
          <w:sz w:val="20"/>
          <w:szCs w:val="20"/>
        </w:rPr>
        <w:sym w:font="Symbol" w:char="F061"/>
      </w:r>
      <w:r w:rsidR="00E20B20" w:rsidRPr="00C33A85">
        <w:rPr>
          <w:rFonts w:eastAsia="Arial Unicode MS"/>
          <w:b/>
          <w:color w:val="000000" w:themeColor="text1"/>
          <w:sz w:val="20"/>
          <w:szCs w:val="20"/>
        </w:rPr>
        <w:t xml:space="preserve"> inhibitors </w:t>
      </w:r>
      <w:r w:rsidR="00452402">
        <w:rPr>
          <w:rFonts w:eastAsia="Arial Unicode MS"/>
          <w:b/>
          <w:color w:val="000000" w:themeColor="text1"/>
          <w:sz w:val="20"/>
          <w:szCs w:val="20"/>
        </w:rPr>
        <w:t xml:space="preserve">and gene effect of p21 (CDKN1A) </w:t>
      </w:r>
      <w:r w:rsidR="00452402" w:rsidRPr="00C33A85">
        <w:rPr>
          <w:b/>
          <w:color w:val="000000" w:themeColor="text1"/>
          <w:sz w:val="20"/>
          <w:szCs w:val="20"/>
        </w:rPr>
        <w:t>knockout</w:t>
      </w:r>
      <w:r w:rsidR="00452402">
        <w:rPr>
          <w:b/>
          <w:color w:val="000000" w:themeColor="text1"/>
          <w:sz w:val="20"/>
          <w:szCs w:val="20"/>
        </w:rPr>
        <w:t xml:space="preserve"> from</w:t>
      </w:r>
      <w:r w:rsidR="00452402" w:rsidRPr="00452402">
        <w:rPr>
          <w:b/>
          <w:color w:val="000000" w:themeColor="text1"/>
          <w:sz w:val="20"/>
          <w:szCs w:val="20"/>
        </w:rPr>
        <w:t xml:space="preserve"> RNAi loss-of-functions screen datasets</w:t>
      </w:r>
      <w:r w:rsidR="00E20B20" w:rsidRPr="00C33A85">
        <w:rPr>
          <w:rFonts w:eastAsia="Arial Unicode MS"/>
          <w:b/>
          <w:color w:val="000000" w:themeColor="text1"/>
          <w:sz w:val="20"/>
          <w:szCs w:val="20"/>
        </w:rPr>
        <w:t xml:space="preserve">. </w:t>
      </w:r>
      <w:r w:rsidR="00452402" w:rsidRPr="00452402">
        <w:rPr>
          <w:rFonts w:eastAsia="Arial Unicode MS"/>
          <w:color w:val="000000" w:themeColor="text1"/>
          <w:sz w:val="20"/>
          <w:szCs w:val="20"/>
        </w:rPr>
        <w:t>(</w:t>
      </w:r>
      <w:r w:rsidR="00452402">
        <w:rPr>
          <w:rFonts w:eastAsia="Arial Unicode MS"/>
          <w:color w:val="000000" w:themeColor="text1"/>
          <w:sz w:val="20"/>
          <w:szCs w:val="20"/>
        </w:rPr>
        <w:t>A-B</w:t>
      </w:r>
      <w:r w:rsidR="00452402" w:rsidRPr="00452402">
        <w:rPr>
          <w:rFonts w:eastAsia="Arial Unicode MS"/>
          <w:color w:val="000000" w:themeColor="text1"/>
          <w:sz w:val="20"/>
          <w:szCs w:val="20"/>
        </w:rPr>
        <w:t>) Reproducibility of FOXO3 knockdown’s reduced sensitivity to PI3K</w:t>
      </w:r>
      <w:r w:rsidR="00452402" w:rsidRPr="00452402">
        <w:rPr>
          <w:rFonts w:eastAsia="Arial Unicode MS"/>
          <w:color w:val="000000" w:themeColor="text1"/>
          <w:sz w:val="20"/>
          <w:szCs w:val="20"/>
        </w:rPr>
        <w:sym w:font="Symbol" w:char="F061"/>
      </w:r>
      <w:r w:rsidR="00452402" w:rsidRPr="00452402">
        <w:rPr>
          <w:rFonts w:eastAsia="Arial Unicode MS"/>
          <w:color w:val="000000" w:themeColor="text1"/>
          <w:sz w:val="20"/>
          <w:szCs w:val="20"/>
        </w:rPr>
        <w:t xml:space="preserve"> inhibitors</w:t>
      </w:r>
      <w:r w:rsidR="00452402">
        <w:rPr>
          <w:rFonts w:eastAsia="Arial Unicode MS"/>
          <w:color w:val="000000" w:themeColor="text1"/>
          <w:sz w:val="20"/>
          <w:szCs w:val="20"/>
        </w:rPr>
        <w:t xml:space="preserve"> seen in </w:t>
      </w:r>
      <w:r w:rsidR="00452402" w:rsidRPr="00452402">
        <w:rPr>
          <w:rFonts w:eastAsia="Arial Unicode MS"/>
          <w:color w:val="000000" w:themeColor="text1"/>
          <w:sz w:val="20"/>
          <w:szCs w:val="20"/>
        </w:rPr>
        <w:t>Fig. 4</w:t>
      </w:r>
      <w:r w:rsidR="00452402">
        <w:rPr>
          <w:rFonts w:eastAsia="Arial Unicode MS"/>
          <w:color w:val="000000" w:themeColor="text1"/>
          <w:sz w:val="20"/>
          <w:szCs w:val="20"/>
        </w:rPr>
        <w:t>.</w:t>
      </w:r>
      <w:r w:rsidR="00452402" w:rsidRPr="00452402">
        <w:rPr>
          <w:rFonts w:eastAsia="Arial Unicode MS"/>
          <w:color w:val="000000" w:themeColor="text1"/>
          <w:sz w:val="20"/>
          <w:szCs w:val="20"/>
        </w:rPr>
        <w:t xml:space="preserve"> </w:t>
      </w:r>
      <w:r w:rsidR="00E20B20" w:rsidRPr="00C33A85">
        <w:rPr>
          <w:color w:val="000000" w:themeColor="text1"/>
          <w:sz w:val="20"/>
          <w:szCs w:val="20"/>
        </w:rPr>
        <w:t>Each experiment was done in a separate 96-well plate. Experiment</w:t>
      </w:r>
      <w:r w:rsidR="00452402">
        <w:rPr>
          <w:color w:val="000000" w:themeColor="text1"/>
          <w:sz w:val="20"/>
          <w:szCs w:val="20"/>
        </w:rPr>
        <w:t>s</w:t>
      </w:r>
      <w:r w:rsidR="00E20B20" w:rsidRPr="00C33A85">
        <w:rPr>
          <w:color w:val="000000" w:themeColor="text1"/>
          <w:sz w:val="20"/>
          <w:szCs w:val="20"/>
        </w:rPr>
        <w:t xml:space="preserve"> #1 and #2 were done in the same week and are normalized according to the same day 0 untreated 96-well plate.</w:t>
      </w:r>
      <w:r w:rsidR="00452402">
        <w:rPr>
          <w:color w:val="000000" w:themeColor="text1"/>
          <w:sz w:val="20"/>
          <w:szCs w:val="20"/>
        </w:rPr>
        <w:t xml:space="preserve"> </w:t>
      </w:r>
      <w:r w:rsidR="00452402">
        <w:rPr>
          <w:rFonts w:eastAsia="Arial Unicode MS"/>
          <w:color w:val="000000" w:themeColor="text1"/>
          <w:sz w:val="20"/>
          <w:szCs w:val="20"/>
        </w:rPr>
        <w:t>T</w:t>
      </w:r>
      <w:r w:rsidR="00452402" w:rsidRPr="00C33A85">
        <w:rPr>
          <w:rFonts w:eastAsia="Arial Unicode MS"/>
          <w:color w:val="000000" w:themeColor="text1"/>
          <w:sz w:val="20"/>
          <w:szCs w:val="20"/>
        </w:rPr>
        <w:t xml:space="preserve">he relative growth rate </w:t>
      </w:r>
      <w:r w:rsidR="00452402">
        <w:rPr>
          <w:rFonts w:eastAsia="Arial Unicode MS"/>
          <w:color w:val="000000" w:themeColor="text1"/>
          <w:sz w:val="20"/>
          <w:szCs w:val="20"/>
        </w:rPr>
        <w:t xml:space="preserve">is calculated </w:t>
      </w:r>
      <w:r w:rsidR="00452402" w:rsidRPr="00C33A85">
        <w:rPr>
          <w:rFonts w:eastAsia="Arial Unicode MS"/>
          <w:color w:val="000000" w:themeColor="text1"/>
          <w:sz w:val="20"/>
          <w:szCs w:val="20"/>
        </w:rPr>
        <w:t xml:space="preserve">with respect to </w:t>
      </w:r>
      <w:r w:rsidR="00452402">
        <w:rPr>
          <w:rFonts w:eastAsia="Arial Unicode MS"/>
          <w:color w:val="000000" w:themeColor="text1"/>
          <w:sz w:val="20"/>
          <w:szCs w:val="20"/>
        </w:rPr>
        <w:t xml:space="preserve">the growth rate of the </w:t>
      </w:r>
      <w:r w:rsidR="00452402" w:rsidRPr="00C33A85">
        <w:rPr>
          <w:rFonts w:eastAsia="Arial Unicode MS"/>
          <w:color w:val="000000" w:themeColor="text1"/>
          <w:sz w:val="20"/>
          <w:szCs w:val="20"/>
        </w:rPr>
        <w:t>DMSO control</w:t>
      </w:r>
      <w:r w:rsidR="00452402">
        <w:rPr>
          <w:rFonts w:eastAsia="Arial Unicode MS"/>
          <w:color w:val="000000" w:themeColor="text1"/>
          <w:sz w:val="20"/>
          <w:szCs w:val="20"/>
        </w:rPr>
        <w:t xml:space="preserve"> of each cell line condition in the growth curves in </w:t>
      </w:r>
      <w:r w:rsidR="00452402" w:rsidRPr="00452402">
        <w:rPr>
          <w:rFonts w:eastAsia="Arial Unicode MS"/>
          <w:color w:val="000000" w:themeColor="text1"/>
          <w:sz w:val="20"/>
          <w:szCs w:val="20"/>
        </w:rPr>
        <w:t>Fig. 4</w:t>
      </w:r>
      <w:r w:rsidR="00452402" w:rsidRPr="00C33A85">
        <w:rPr>
          <w:rFonts w:eastAsia="Arial Unicode MS"/>
          <w:color w:val="000000" w:themeColor="text1"/>
          <w:sz w:val="20"/>
          <w:szCs w:val="20"/>
        </w:rPr>
        <w:t>.</w:t>
      </w:r>
      <w:r w:rsidR="00452402">
        <w:rPr>
          <w:rFonts w:eastAsia="Arial Unicode MS"/>
          <w:color w:val="000000" w:themeColor="text1"/>
          <w:sz w:val="20"/>
          <w:szCs w:val="20"/>
        </w:rPr>
        <w:t xml:space="preserve"> (C) Gene e</w:t>
      </w:r>
      <w:r w:rsidR="00452402">
        <w:rPr>
          <w:color w:val="000000" w:themeColor="text1"/>
          <w:sz w:val="20"/>
          <w:szCs w:val="20"/>
        </w:rPr>
        <w:t>ffect of</w:t>
      </w:r>
      <w:r w:rsidR="00452402" w:rsidRPr="00C33A85">
        <w:rPr>
          <w:color w:val="000000" w:themeColor="text1"/>
          <w:sz w:val="20"/>
          <w:szCs w:val="20"/>
        </w:rPr>
        <w:t xml:space="preserve"> </w:t>
      </w:r>
      <w:r w:rsidR="00452402">
        <w:rPr>
          <w:color w:val="000000" w:themeColor="text1"/>
          <w:sz w:val="20"/>
          <w:szCs w:val="20"/>
        </w:rPr>
        <w:t>p21 (CDKN1A)</w:t>
      </w:r>
      <w:r w:rsidR="00452402" w:rsidRPr="00C33A85">
        <w:rPr>
          <w:color w:val="000000" w:themeColor="text1"/>
          <w:sz w:val="20"/>
          <w:szCs w:val="20"/>
        </w:rPr>
        <w:t xml:space="preserve"> knockout </w:t>
      </w:r>
      <w:r w:rsidR="00452402">
        <w:rPr>
          <w:color w:val="000000" w:themeColor="text1"/>
          <w:sz w:val="20"/>
          <w:szCs w:val="20"/>
        </w:rPr>
        <w:t>from</w:t>
      </w:r>
      <w:r w:rsidR="00452402" w:rsidRPr="00C33A85">
        <w:rPr>
          <w:color w:val="000000" w:themeColor="text1"/>
          <w:sz w:val="20"/>
          <w:szCs w:val="20"/>
        </w:rPr>
        <w:t xml:space="preserve"> </w:t>
      </w:r>
      <w:r w:rsidR="00452402">
        <w:rPr>
          <w:color w:val="000000" w:themeColor="text1"/>
          <w:sz w:val="20"/>
          <w:szCs w:val="20"/>
        </w:rPr>
        <w:t xml:space="preserve">a dataset that combines multiple </w:t>
      </w:r>
      <w:r w:rsidR="00452402" w:rsidRPr="00C33A85">
        <w:rPr>
          <w:color w:val="000000" w:themeColor="text1"/>
          <w:sz w:val="20"/>
          <w:szCs w:val="20"/>
        </w:rPr>
        <w:t xml:space="preserve">RNAi loss-of-functions screen datasets is strongly correlated with </w:t>
      </w:r>
      <w:r w:rsidR="00452402">
        <w:rPr>
          <w:color w:val="000000" w:themeColor="text1"/>
          <w:sz w:val="20"/>
          <w:szCs w:val="20"/>
        </w:rPr>
        <w:t xml:space="preserve">p21 </w:t>
      </w:r>
      <w:r w:rsidR="00452402" w:rsidRPr="00C33A85">
        <w:rPr>
          <w:color w:val="000000" w:themeColor="text1"/>
          <w:sz w:val="20"/>
          <w:szCs w:val="20"/>
        </w:rPr>
        <w:t xml:space="preserve">gene expression. </w:t>
      </w:r>
      <w:r w:rsidR="00452402">
        <w:rPr>
          <w:rFonts w:eastAsia="Arial Unicode MS"/>
          <w:color w:val="000000" w:themeColor="text1"/>
          <w:sz w:val="20"/>
          <w:szCs w:val="20"/>
        </w:rPr>
        <w:t>Consistent with</w:t>
      </w:r>
      <w:r w:rsidR="00452402" w:rsidRPr="00C33A85">
        <w:rPr>
          <w:rFonts w:eastAsia="Arial Unicode MS"/>
          <w:color w:val="000000" w:themeColor="text1"/>
          <w:sz w:val="20"/>
          <w:szCs w:val="20"/>
        </w:rPr>
        <w:t xml:space="preserve"> T47D’s p21 gene expression, the </w:t>
      </w:r>
      <w:r w:rsidR="00452402">
        <w:rPr>
          <w:rFonts w:eastAsia="Arial Unicode MS"/>
          <w:color w:val="000000" w:themeColor="text1"/>
          <w:sz w:val="20"/>
          <w:szCs w:val="20"/>
        </w:rPr>
        <w:t xml:space="preserve">gene </w:t>
      </w:r>
      <w:r w:rsidR="00452402" w:rsidRPr="00C33A85">
        <w:rPr>
          <w:rFonts w:eastAsia="Arial Unicode MS"/>
          <w:color w:val="000000" w:themeColor="text1"/>
          <w:sz w:val="20"/>
          <w:szCs w:val="20"/>
        </w:rPr>
        <w:t xml:space="preserve">effect of p21 </w:t>
      </w:r>
      <w:r w:rsidR="00452402">
        <w:rPr>
          <w:rFonts w:eastAsia="Arial Unicode MS"/>
          <w:color w:val="000000" w:themeColor="text1"/>
          <w:sz w:val="20"/>
          <w:szCs w:val="20"/>
        </w:rPr>
        <w:t xml:space="preserve">RNAi </w:t>
      </w:r>
      <w:r w:rsidR="00452402" w:rsidRPr="00C33A85">
        <w:rPr>
          <w:rFonts w:eastAsia="Arial Unicode MS"/>
          <w:color w:val="000000" w:themeColor="text1"/>
          <w:sz w:val="20"/>
          <w:szCs w:val="20"/>
        </w:rPr>
        <w:t xml:space="preserve">knockout on T47D is smaller than that on MCF7. </w:t>
      </w:r>
      <w:r w:rsidR="00452402">
        <w:rPr>
          <w:color w:val="000000" w:themeColor="text1"/>
          <w:sz w:val="20"/>
          <w:szCs w:val="20"/>
        </w:rPr>
        <w:t>The combined dataset uses the Achilles (</w:t>
      </w:r>
      <w:r w:rsidR="00452402" w:rsidRPr="00C33A85">
        <w:rPr>
          <w:color w:val="000000" w:themeColor="text1"/>
          <w:sz w:val="20"/>
          <w:szCs w:val="20"/>
        </w:rPr>
        <w:t>Broad</w:t>
      </w:r>
      <w:r w:rsidR="00452402">
        <w:rPr>
          <w:color w:val="000000" w:themeColor="text1"/>
          <w:sz w:val="20"/>
          <w:szCs w:val="20"/>
        </w:rPr>
        <w:t>)</w:t>
      </w:r>
      <w:r w:rsidR="00452402" w:rsidRPr="00C33A85">
        <w:rPr>
          <w:color w:val="000000" w:themeColor="text1"/>
          <w:sz w:val="20"/>
          <w:szCs w:val="20"/>
        </w:rPr>
        <w:t>, DRIVE</w:t>
      </w:r>
      <w:r w:rsidR="00452402">
        <w:rPr>
          <w:color w:val="000000" w:themeColor="text1"/>
          <w:sz w:val="20"/>
          <w:szCs w:val="20"/>
        </w:rPr>
        <w:t xml:space="preserve"> (Novartis), and Marcotte RNAi </w:t>
      </w:r>
      <w:r w:rsidR="00452402" w:rsidRPr="00C33A85">
        <w:rPr>
          <w:color w:val="000000" w:themeColor="text1"/>
          <w:sz w:val="20"/>
          <w:szCs w:val="20"/>
        </w:rPr>
        <w:t>loss-of-functions screen datasets</w:t>
      </w:r>
      <w:r w:rsidR="00452402">
        <w:rPr>
          <w:color w:val="000000" w:themeColor="text1"/>
          <w:sz w:val="20"/>
          <w:szCs w:val="20"/>
        </w:rPr>
        <w:t>.</w:t>
      </w:r>
    </w:p>
    <w:p w14:paraId="595C770F" w14:textId="77777777" w:rsidR="00E20B20" w:rsidRDefault="00E20B20" w:rsidP="00E20B20">
      <w:pPr>
        <w:jc w:val="both"/>
        <w:rPr>
          <w:b/>
          <w:color w:val="000000" w:themeColor="text1"/>
          <w:sz w:val="20"/>
          <w:szCs w:val="20"/>
        </w:rPr>
      </w:pPr>
      <w:r>
        <w:rPr>
          <w:b/>
          <w:noProof/>
          <w:color w:val="000000" w:themeColor="text1"/>
          <w:sz w:val="20"/>
          <w:szCs w:val="20"/>
        </w:rPr>
        <w:lastRenderedPageBreak/>
        <w:drawing>
          <wp:inline distT="0" distB="0" distL="0" distR="0" wp14:anchorId="0A682287" wp14:editId="5801418D">
            <wp:extent cx="5943600" cy="7748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nuscript_08212020_SIfigures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48905"/>
                    </a:xfrm>
                    <a:prstGeom prst="rect">
                      <a:avLst/>
                    </a:prstGeom>
                  </pic:spPr>
                </pic:pic>
              </a:graphicData>
            </a:graphic>
          </wp:inline>
        </w:drawing>
      </w:r>
    </w:p>
    <w:p w14:paraId="4B5053C3" w14:textId="1D83A31A" w:rsidR="00E20B20" w:rsidRDefault="00E80075" w:rsidP="00E20B20">
      <w:pPr>
        <w:jc w:val="both"/>
        <w:rPr>
          <w:color w:val="000000" w:themeColor="text1"/>
          <w:sz w:val="20"/>
          <w:szCs w:val="20"/>
        </w:rPr>
      </w:pPr>
      <w:r>
        <w:rPr>
          <w:b/>
          <w:color w:val="000000" w:themeColor="text1"/>
          <w:sz w:val="20"/>
          <w:szCs w:val="20"/>
        </w:rPr>
        <w:t>Supplemental</w:t>
      </w:r>
      <w:r w:rsidR="00E20B20" w:rsidRPr="00C33A85">
        <w:rPr>
          <w:b/>
          <w:color w:val="000000" w:themeColor="text1"/>
          <w:sz w:val="20"/>
          <w:szCs w:val="20"/>
        </w:rPr>
        <w:t xml:space="preserve"> Fig</w:t>
      </w:r>
      <w:r w:rsidR="00E20B20">
        <w:rPr>
          <w:b/>
          <w:color w:val="000000" w:themeColor="text1"/>
          <w:sz w:val="20"/>
          <w:szCs w:val="20"/>
        </w:rPr>
        <w:t>.</w:t>
      </w:r>
      <w:r w:rsidR="00E20B20" w:rsidRPr="00C33A85">
        <w:rPr>
          <w:b/>
          <w:color w:val="000000" w:themeColor="text1"/>
          <w:sz w:val="20"/>
          <w:szCs w:val="20"/>
        </w:rPr>
        <w:t xml:space="preserve"> S4. Updated network model </w:t>
      </w:r>
      <w:r w:rsidR="00B5145E">
        <w:rPr>
          <w:b/>
          <w:color w:val="000000" w:themeColor="text1"/>
          <w:sz w:val="20"/>
          <w:szCs w:val="20"/>
        </w:rPr>
        <w:t xml:space="preserve">(2020 version) </w:t>
      </w:r>
      <w:r w:rsidR="00E20B20" w:rsidRPr="00C33A85">
        <w:rPr>
          <w:b/>
          <w:color w:val="000000" w:themeColor="text1"/>
          <w:sz w:val="20"/>
          <w:szCs w:val="20"/>
        </w:rPr>
        <w:t xml:space="preserve">of oncogenic signal transduction in ER+, </w:t>
      </w:r>
      <w:r w:rsidR="00E20B20" w:rsidRPr="00C33A85">
        <w:rPr>
          <w:b/>
          <w:i/>
          <w:color w:val="000000" w:themeColor="text1"/>
          <w:sz w:val="20"/>
          <w:szCs w:val="20"/>
        </w:rPr>
        <w:t>PIK3CA</w:t>
      </w:r>
      <w:r w:rsidR="00E20B20" w:rsidRPr="00C33A85">
        <w:rPr>
          <w:b/>
          <w:color w:val="000000" w:themeColor="text1"/>
          <w:sz w:val="20"/>
          <w:szCs w:val="20"/>
        </w:rPr>
        <w:t xml:space="preserve"> mutant breast cancer. </w:t>
      </w:r>
      <w:r w:rsidR="00E20B20" w:rsidRPr="00C33A85">
        <w:rPr>
          <w:color w:val="000000" w:themeColor="text1"/>
          <w:sz w:val="20"/>
          <w:szCs w:val="20"/>
        </w:rPr>
        <w:t>(A) Cell</w:t>
      </w:r>
      <w:r w:rsidR="00E20B20">
        <w:rPr>
          <w:color w:val="000000" w:themeColor="text1"/>
          <w:sz w:val="20"/>
          <w:szCs w:val="20"/>
        </w:rPr>
        <w:t xml:space="preserve"> </w:t>
      </w:r>
      <w:r w:rsidR="00E20B20" w:rsidRPr="00C33A85">
        <w:rPr>
          <w:color w:val="000000" w:themeColor="text1"/>
          <w:sz w:val="20"/>
          <w:szCs w:val="20"/>
        </w:rPr>
        <w:t>line</w:t>
      </w:r>
      <w:r w:rsidR="00E20B20">
        <w:rPr>
          <w:color w:val="000000" w:themeColor="text1"/>
          <w:sz w:val="20"/>
          <w:szCs w:val="20"/>
        </w:rPr>
        <w:t>-</w:t>
      </w:r>
      <w:r w:rsidR="00E20B20" w:rsidRPr="00C33A85">
        <w:rPr>
          <w:color w:val="000000" w:themeColor="text1"/>
          <w:sz w:val="20"/>
          <w:szCs w:val="20"/>
        </w:rPr>
        <w:t>specific models are based on the network model shown, which is an updated version</w:t>
      </w:r>
      <w:r w:rsidR="00B5145E">
        <w:rPr>
          <w:color w:val="000000" w:themeColor="text1"/>
          <w:sz w:val="20"/>
          <w:szCs w:val="20"/>
        </w:rPr>
        <w:t xml:space="preserve"> (2020 version)</w:t>
      </w:r>
      <w:r w:rsidR="00E20B20" w:rsidRPr="00C33A85">
        <w:rPr>
          <w:color w:val="000000" w:themeColor="text1"/>
          <w:sz w:val="20"/>
          <w:szCs w:val="20"/>
        </w:rPr>
        <w:t xml:space="preserve"> of the network model of</w:t>
      </w:r>
      <w:r w:rsidR="00203A0C">
        <w:rPr>
          <w:color w:val="000000" w:themeColor="text1"/>
          <w:sz w:val="20"/>
          <w:szCs w:val="20"/>
        </w:rPr>
        <w:t xml:space="preserve"> </w:t>
      </w:r>
      <w:r w:rsidR="00203A0C" w:rsidRPr="00C33A85">
        <w:rPr>
          <w:color w:val="000000" w:themeColor="text1"/>
          <w:sz w:val="20"/>
          <w:szCs w:val="20"/>
        </w:rPr>
        <w:t>Zanudo et al. 2017</w:t>
      </w:r>
      <w:r w:rsidR="00203A0C">
        <w:rPr>
          <w:color w:val="000000" w:themeColor="text1"/>
          <w:sz w:val="20"/>
          <w:szCs w:val="20"/>
        </w:rPr>
        <w:t xml:space="preserve"> </w:t>
      </w:r>
      <w:r w:rsidR="005C21D8">
        <w:rPr>
          <w:noProof/>
          <w:color w:val="000000" w:themeColor="text1"/>
          <w:sz w:val="20"/>
          <w:szCs w:val="20"/>
        </w:rPr>
        <w:t>(1)</w:t>
      </w:r>
      <w:r w:rsidR="00E20B20" w:rsidRPr="00C33A85">
        <w:rPr>
          <w:color w:val="000000" w:themeColor="text1"/>
          <w:sz w:val="20"/>
          <w:szCs w:val="20"/>
        </w:rPr>
        <w:t xml:space="preserve">. The </w:t>
      </w:r>
      <w:r w:rsidR="00B5145E">
        <w:rPr>
          <w:color w:val="000000" w:themeColor="text1"/>
          <w:sz w:val="20"/>
          <w:szCs w:val="20"/>
        </w:rPr>
        <w:t>2020</w:t>
      </w:r>
      <w:r w:rsidR="00B5145E" w:rsidRPr="00C33A85">
        <w:rPr>
          <w:color w:val="000000" w:themeColor="text1"/>
          <w:sz w:val="20"/>
          <w:szCs w:val="20"/>
        </w:rPr>
        <w:t xml:space="preserve"> </w:t>
      </w:r>
      <w:r w:rsidR="00E20B20" w:rsidRPr="00C33A85">
        <w:rPr>
          <w:color w:val="000000" w:themeColor="text1"/>
          <w:sz w:val="20"/>
          <w:szCs w:val="20"/>
        </w:rPr>
        <w:t>network model incorporates new knowledge on ER+ breast cancer drug resistance</w:t>
      </w:r>
      <w:r w:rsidR="00AA2A51">
        <w:rPr>
          <w:color w:val="000000" w:themeColor="text1"/>
          <w:sz w:val="20"/>
          <w:szCs w:val="20"/>
        </w:rPr>
        <w:t>, i.e.</w:t>
      </w:r>
      <w:r w:rsidR="00AA2A51" w:rsidRPr="00C33A85">
        <w:rPr>
          <w:color w:val="000000" w:themeColor="text1"/>
          <w:sz w:val="20"/>
          <w:szCs w:val="20"/>
        </w:rPr>
        <w:t xml:space="preserve"> </w:t>
      </w:r>
      <w:r w:rsidR="00E20B20" w:rsidRPr="00C33A85">
        <w:rPr>
          <w:color w:val="000000" w:themeColor="text1"/>
          <w:sz w:val="20"/>
          <w:szCs w:val="20"/>
        </w:rPr>
        <w:t xml:space="preserve">references </w:t>
      </w:r>
      <w:r w:rsidR="008B0566">
        <w:rPr>
          <w:noProof/>
          <w:color w:val="000000" w:themeColor="text1"/>
          <w:sz w:val="20"/>
          <w:szCs w:val="20"/>
        </w:rPr>
        <w:t>(13,27,32)</w:t>
      </w:r>
      <w:r w:rsidR="00E20B20" w:rsidRPr="00C33A85">
        <w:rPr>
          <w:color w:val="000000" w:themeColor="text1"/>
          <w:sz w:val="20"/>
          <w:szCs w:val="20"/>
        </w:rPr>
        <w:t xml:space="preserve"> and the discrepancies between our experimental results and the Zanudo et al. 2017 model. The </w:t>
      </w:r>
      <w:r w:rsidR="00B5145E">
        <w:rPr>
          <w:color w:val="000000" w:themeColor="text1"/>
          <w:sz w:val="20"/>
          <w:szCs w:val="20"/>
        </w:rPr>
        <w:t>2020</w:t>
      </w:r>
      <w:r w:rsidR="00B5145E" w:rsidRPr="00C33A85">
        <w:rPr>
          <w:color w:val="000000" w:themeColor="text1"/>
          <w:sz w:val="20"/>
          <w:szCs w:val="20"/>
        </w:rPr>
        <w:t xml:space="preserve"> </w:t>
      </w:r>
      <w:r w:rsidR="00E20B20" w:rsidRPr="00C33A85">
        <w:rPr>
          <w:color w:val="000000" w:themeColor="text1"/>
          <w:sz w:val="20"/>
          <w:szCs w:val="20"/>
        </w:rPr>
        <w:t xml:space="preserve">model has only slight modifications to the network structure compared to the </w:t>
      </w:r>
      <w:r w:rsidR="00B5145E">
        <w:rPr>
          <w:color w:val="000000" w:themeColor="text1"/>
          <w:sz w:val="20"/>
          <w:szCs w:val="20"/>
        </w:rPr>
        <w:t>2017</w:t>
      </w:r>
      <w:r w:rsidR="00B5145E" w:rsidRPr="00C33A85">
        <w:rPr>
          <w:color w:val="000000" w:themeColor="text1"/>
          <w:sz w:val="20"/>
          <w:szCs w:val="20"/>
        </w:rPr>
        <w:t xml:space="preserve"> </w:t>
      </w:r>
      <w:r w:rsidR="00E20B20" w:rsidRPr="00C33A85">
        <w:rPr>
          <w:color w:val="000000" w:themeColor="text1"/>
          <w:sz w:val="20"/>
          <w:szCs w:val="20"/>
        </w:rPr>
        <w:t xml:space="preserve">model, and these are shown in panel A with a green node outline (for node additions), green arrow (for edge additions), or </w:t>
      </w:r>
      <w:r w:rsidR="00E20B20" w:rsidRPr="00C33A85">
        <w:rPr>
          <w:color w:val="000000" w:themeColor="text1"/>
          <w:sz w:val="20"/>
          <w:szCs w:val="20"/>
        </w:rPr>
        <w:lastRenderedPageBreak/>
        <w:t>a dashed line (for edge deletions).</w:t>
      </w:r>
      <w:r w:rsidR="009A1AE6">
        <w:rPr>
          <w:color w:val="000000" w:themeColor="text1"/>
          <w:sz w:val="20"/>
          <w:szCs w:val="20"/>
        </w:rPr>
        <w:t xml:space="preserve"> </w:t>
      </w:r>
      <w:r w:rsidR="009A1AE6" w:rsidRPr="009A1AE6">
        <w:rPr>
          <w:color w:val="000000" w:themeColor="text1"/>
          <w:sz w:val="20"/>
          <w:szCs w:val="20"/>
        </w:rPr>
        <w:t xml:space="preserve">Positive </w:t>
      </w:r>
      <w:r w:rsidR="00AA2A51">
        <w:rPr>
          <w:color w:val="000000" w:themeColor="text1"/>
          <w:sz w:val="20"/>
          <w:szCs w:val="20"/>
        </w:rPr>
        <w:t>interactions</w:t>
      </w:r>
      <w:r w:rsidR="009A1AE6" w:rsidRPr="009A1AE6">
        <w:rPr>
          <w:color w:val="000000" w:themeColor="text1"/>
          <w:sz w:val="20"/>
          <w:szCs w:val="20"/>
        </w:rPr>
        <w:t xml:space="preserve"> are drawn with black arrowheads and negative </w:t>
      </w:r>
      <w:r w:rsidR="00AA2A51">
        <w:rPr>
          <w:color w:val="000000" w:themeColor="text1"/>
          <w:sz w:val="20"/>
          <w:szCs w:val="20"/>
        </w:rPr>
        <w:t>interactions</w:t>
      </w:r>
      <w:r w:rsidR="009A1AE6" w:rsidRPr="009A1AE6">
        <w:rPr>
          <w:color w:val="000000" w:themeColor="text1"/>
          <w:sz w:val="20"/>
          <w:szCs w:val="20"/>
        </w:rPr>
        <w:t xml:space="preserve"> are drawn with white diamonds</w:t>
      </w:r>
      <w:r w:rsidR="009A1AE6">
        <w:rPr>
          <w:color w:val="000000" w:themeColor="text1"/>
          <w:sz w:val="20"/>
          <w:szCs w:val="20"/>
        </w:rPr>
        <w:t>.</w:t>
      </w:r>
      <w:r w:rsidR="00E20B20" w:rsidRPr="00C33A85">
        <w:rPr>
          <w:color w:val="000000" w:themeColor="text1"/>
          <w:sz w:val="20"/>
          <w:szCs w:val="20"/>
        </w:rPr>
        <w:t xml:space="preserve"> More details on the modifications done to the</w:t>
      </w:r>
      <w:r w:rsidR="00B5145E">
        <w:rPr>
          <w:color w:val="000000" w:themeColor="text1"/>
          <w:sz w:val="20"/>
          <w:szCs w:val="20"/>
        </w:rPr>
        <w:t xml:space="preserve"> 2017</w:t>
      </w:r>
      <w:r w:rsidR="00E20B20" w:rsidRPr="00C33A85">
        <w:rPr>
          <w:color w:val="000000" w:themeColor="text1"/>
          <w:sz w:val="20"/>
          <w:szCs w:val="20"/>
        </w:rPr>
        <w:t xml:space="preserve"> model and the reasoning behind them can be found in the Supplemental Text and Supplemental File 1. (B) Timecourse of the node activity (average node state) in response to </w:t>
      </w:r>
      <w:r w:rsidR="00E20B20">
        <w:rPr>
          <w:color w:val="000000" w:themeColor="text1"/>
          <w:sz w:val="20"/>
          <w:szCs w:val="20"/>
        </w:rPr>
        <w:t>alpelisib</w:t>
      </w:r>
      <w:r w:rsidR="00E20B20" w:rsidRPr="00C33A85">
        <w:rPr>
          <w:color w:val="000000" w:themeColor="text1"/>
          <w:sz w:val="20"/>
          <w:szCs w:val="20"/>
        </w:rPr>
        <w:t xml:space="preserve"> in the </w:t>
      </w:r>
      <w:r w:rsidR="00B5145E">
        <w:rPr>
          <w:color w:val="000000" w:themeColor="text1"/>
          <w:sz w:val="20"/>
          <w:szCs w:val="20"/>
        </w:rPr>
        <w:t>2020</w:t>
      </w:r>
      <w:r w:rsidR="00B5145E" w:rsidRPr="00C33A85">
        <w:rPr>
          <w:color w:val="000000" w:themeColor="text1"/>
          <w:sz w:val="20"/>
          <w:szCs w:val="20"/>
        </w:rPr>
        <w:t xml:space="preserve"> </w:t>
      </w:r>
      <w:r w:rsidR="00E20B20" w:rsidRPr="00C33A85">
        <w:rPr>
          <w:color w:val="000000" w:themeColor="text1"/>
          <w:sz w:val="20"/>
          <w:szCs w:val="20"/>
        </w:rPr>
        <w:t xml:space="preserve">network model. In particular, we show the timecourse for the MCF7-specific network model. In response to </w:t>
      </w:r>
      <w:r w:rsidR="00E20B20">
        <w:rPr>
          <w:color w:val="000000" w:themeColor="text1"/>
          <w:sz w:val="20"/>
          <w:szCs w:val="20"/>
        </w:rPr>
        <w:t>alpelisib</w:t>
      </w:r>
      <w:r w:rsidR="00E20B20" w:rsidRPr="00C33A85">
        <w:rPr>
          <w:color w:val="000000" w:themeColor="text1"/>
          <w:sz w:val="20"/>
          <w:szCs w:val="20"/>
        </w:rPr>
        <w:t>, the</w:t>
      </w:r>
      <w:r w:rsidR="00B5145E">
        <w:rPr>
          <w:color w:val="000000" w:themeColor="text1"/>
          <w:sz w:val="20"/>
          <w:szCs w:val="20"/>
        </w:rPr>
        <w:t xml:space="preserve"> 2020</w:t>
      </w:r>
      <w:r w:rsidR="00E20B20" w:rsidRPr="00C33A85">
        <w:rPr>
          <w:color w:val="000000" w:themeColor="text1"/>
          <w:sz w:val="20"/>
          <w:szCs w:val="20"/>
        </w:rPr>
        <w:t xml:space="preserve"> model shows a quick inactivation of multiple pathways (AKT, MAPK, mTORC1), followed by the activation of </w:t>
      </w:r>
      <m:oMath>
        <m:r>
          <w:rPr>
            <w:rFonts w:ascii="Cambria Math" w:hAnsi="Cambria Math"/>
            <w:color w:val="000000" w:themeColor="text1"/>
            <w:sz w:val="20"/>
            <w:szCs w:val="20"/>
          </w:rPr>
          <m:t>FOXO3</m:t>
        </m:r>
      </m:oMath>
      <w:r w:rsidR="00E20B20" w:rsidRPr="00C33A85">
        <w:rPr>
          <w:color w:val="000000" w:themeColor="text1"/>
          <w:sz w:val="20"/>
          <w:szCs w:val="20"/>
        </w:rPr>
        <w:t xml:space="preserve">. Activation of </w:t>
      </w:r>
      <m:oMath>
        <m:r>
          <w:rPr>
            <w:rFonts w:ascii="Cambria Math" w:hAnsi="Cambria Math"/>
            <w:color w:val="000000" w:themeColor="text1"/>
            <w:sz w:val="20"/>
            <w:szCs w:val="20"/>
          </w:rPr>
          <m:t>FOXO3</m:t>
        </m:r>
      </m:oMath>
      <w:r w:rsidR="00E20B20" w:rsidRPr="00C33A85">
        <w:rPr>
          <w:color w:val="000000" w:themeColor="text1"/>
          <w:sz w:val="20"/>
          <w:szCs w:val="20"/>
        </w:rPr>
        <w:t xml:space="preserve"> results in the activation of </w:t>
      </w:r>
      <m:oMath>
        <m:r>
          <w:rPr>
            <w:rFonts w:ascii="Cambria Math" w:hAnsi="Cambria Math"/>
            <w:color w:val="000000" w:themeColor="text1"/>
            <w:sz w:val="20"/>
            <w:szCs w:val="20"/>
          </w:rPr>
          <m:t>BIM</m:t>
        </m:r>
      </m:oMath>
      <w:r w:rsidR="00E20B20" w:rsidRPr="00C33A85">
        <w:rPr>
          <w:color w:val="000000" w:themeColor="text1"/>
          <w:sz w:val="20"/>
          <w:szCs w:val="20"/>
        </w:rPr>
        <w:t xml:space="preserve"> (through transcriptional upregulation), which together with the inactivation of </w:t>
      </w:r>
      <m:oMath>
        <m:r>
          <w:rPr>
            <w:rFonts w:ascii="Cambria Math" w:hAnsi="Cambria Math"/>
            <w:color w:val="000000" w:themeColor="text1"/>
            <w:sz w:val="20"/>
            <w:szCs w:val="20"/>
          </w:rPr>
          <m:t>BAD</m:t>
        </m:r>
      </m:oMath>
      <w:r w:rsidR="00E20B20" w:rsidRPr="00C33A85">
        <w:rPr>
          <w:color w:val="000000" w:themeColor="text1"/>
          <w:sz w:val="20"/>
          <w:szCs w:val="20"/>
        </w:rPr>
        <w:t xml:space="preserve"> by </w:t>
      </w:r>
      <m:oMath>
        <m:r>
          <w:rPr>
            <w:rFonts w:ascii="Cambria Math" w:hAnsi="Cambria Math"/>
            <w:color w:val="000000" w:themeColor="text1"/>
            <w:sz w:val="20"/>
            <w:szCs w:val="20"/>
          </w:rPr>
          <m:t>AKT</m:t>
        </m:r>
      </m:oMath>
      <w:r w:rsidR="00E20B20" w:rsidRPr="00C33A85">
        <w:rPr>
          <w:color w:val="000000" w:themeColor="text1"/>
          <w:sz w:val="20"/>
          <w:szCs w:val="20"/>
        </w:rPr>
        <w:t xml:space="preserve"> results in an increase in </w:t>
      </w:r>
      <m:oMath>
        <m:r>
          <w:rPr>
            <w:rFonts w:ascii="Cambria Math" w:hAnsi="Cambria Math"/>
            <w:color w:val="000000" w:themeColor="text1"/>
            <w:sz w:val="20"/>
            <w:szCs w:val="20"/>
          </w:rPr>
          <m:t>Apoptosis</m:t>
        </m:r>
      </m:oMath>
      <w:r w:rsidR="00E20B20" w:rsidRPr="00C33A85">
        <w:rPr>
          <w:color w:val="000000" w:themeColor="text1"/>
          <w:sz w:val="20"/>
          <w:szCs w:val="20"/>
        </w:rPr>
        <w:t xml:space="preserve">. Activation of </w:t>
      </w:r>
      <m:oMath>
        <m:r>
          <w:rPr>
            <w:rFonts w:ascii="Cambria Math" w:hAnsi="Cambria Math"/>
            <w:color w:val="000000" w:themeColor="text1"/>
            <w:sz w:val="20"/>
            <w:szCs w:val="20"/>
          </w:rPr>
          <m:t>FOXO3</m:t>
        </m:r>
      </m:oMath>
      <w:r w:rsidR="00E20B20" w:rsidRPr="00C33A85">
        <w:rPr>
          <w:color w:val="000000" w:themeColor="text1"/>
          <w:sz w:val="20"/>
          <w:szCs w:val="20"/>
        </w:rPr>
        <w:t xml:space="preserve"> also activates </w:t>
      </w:r>
      <m:oMath>
        <m:r>
          <w:rPr>
            <w:rFonts w:ascii="Cambria Math" w:hAnsi="Cambria Math"/>
            <w:color w:val="000000" w:themeColor="text1"/>
            <w:sz w:val="20"/>
            <w:szCs w:val="20"/>
          </w:rPr>
          <m:t>HER3</m:t>
        </m:r>
      </m:oMath>
      <w:r w:rsidR="00E20B20" w:rsidRPr="00C33A85">
        <w:rPr>
          <w:color w:val="000000" w:themeColor="text1"/>
          <w:sz w:val="20"/>
          <w:szCs w:val="20"/>
        </w:rPr>
        <w:t xml:space="preserve"> and </w:t>
      </w:r>
      <m:oMath>
        <m:r>
          <w:rPr>
            <w:rFonts w:ascii="Cambria Math" w:hAnsi="Cambria Math"/>
            <w:color w:val="000000" w:themeColor="text1"/>
            <w:sz w:val="20"/>
            <w:szCs w:val="20"/>
          </w:rPr>
          <m:t>ER transcription=2</m:t>
        </m:r>
      </m:oMath>
      <w:r w:rsidR="00E20B20" w:rsidRPr="00C33A85">
        <w:rPr>
          <w:color w:val="000000" w:themeColor="text1"/>
          <w:sz w:val="20"/>
          <w:szCs w:val="20"/>
        </w:rPr>
        <w:t xml:space="preserve"> (through transcriptional upregulation of HER3 and ESR1), the latter of which is transient due to a negative feedback loop. The transient activation of results in the non-monotonic behavior of </w:t>
      </w:r>
      <m:oMath>
        <m:r>
          <w:rPr>
            <w:rFonts w:ascii="Cambria Math" w:hAnsi="Cambria Math"/>
            <w:color w:val="000000" w:themeColor="text1"/>
            <w:sz w:val="20"/>
            <w:szCs w:val="20"/>
          </w:rPr>
          <m:t>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which decreases because of the inactivation of MYC targets by the mTORC1 pathway and the activation of </w:t>
      </w:r>
      <m:oMath>
        <m:r>
          <w:rPr>
            <w:rFonts w:ascii="Cambria Math" w:hAnsi="Cambria Math"/>
            <w:color w:val="000000" w:themeColor="text1"/>
            <w:sz w:val="20"/>
            <w:szCs w:val="20"/>
          </w:rPr>
          <m:t>p21/p27</m:t>
        </m:r>
      </m:oMath>
      <w:r w:rsidR="00E20B20" w:rsidRPr="00C33A85">
        <w:rPr>
          <w:color w:val="000000" w:themeColor="text1"/>
          <w:sz w:val="20"/>
          <w:szCs w:val="20"/>
        </w:rPr>
        <w:t xml:space="preserve"> and </w:t>
      </w:r>
      <m:oMath>
        <m:r>
          <w:rPr>
            <w:rFonts w:ascii="Cambria Math" w:hAnsi="Cambria Math"/>
            <w:color w:val="000000" w:themeColor="text1"/>
            <w:sz w:val="20"/>
            <w:szCs w:val="20"/>
          </w:rPr>
          <m:t>pRb=2</m:t>
        </m:r>
      </m:oMath>
      <w:r w:rsidR="00E20B20" w:rsidRPr="00C33A85">
        <w:rPr>
          <w:color w:val="000000" w:themeColor="text1"/>
          <w:sz w:val="20"/>
          <w:szCs w:val="20"/>
        </w:rPr>
        <w:t xml:space="preserve">, but is transiently counteracted by </w:t>
      </w:r>
      <m:oMath>
        <m:r>
          <w:rPr>
            <w:rFonts w:ascii="Cambria Math" w:hAnsi="Cambria Math"/>
            <w:color w:val="000000" w:themeColor="text1"/>
            <w:sz w:val="20"/>
            <w:szCs w:val="20"/>
          </w:rPr>
          <m:t>ER transcription=2</m:t>
        </m:r>
      </m:oMath>
      <w:r w:rsidR="00E20B20" w:rsidRPr="00C33A85">
        <w:rPr>
          <w:color w:val="000000" w:themeColor="text1"/>
          <w:sz w:val="20"/>
          <w:szCs w:val="20"/>
        </w:rPr>
        <w:t xml:space="preserve"> . The timecourse for the response to </w:t>
      </w:r>
      <w:r w:rsidR="00E20B20">
        <w:rPr>
          <w:color w:val="000000" w:themeColor="text1"/>
          <w:sz w:val="20"/>
          <w:szCs w:val="20"/>
        </w:rPr>
        <w:t>alpelisib</w:t>
      </w:r>
      <w:r w:rsidR="00E20B20" w:rsidRPr="00C33A85">
        <w:rPr>
          <w:color w:val="000000" w:themeColor="text1"/>
          <w:sz w:val="20"/>
          <w:szCs w:val="20"/>
        </w:rPr>
        <w:t xml:space="preserve"> + FOXO3 knockdown shows how the response of multiple elements in the</w:t>
      </w:r>
      <w:r w:rsidR="00B5145E">
        <w:rPr>
          <w:color w:val="000000" w:themeColor="text1"/>
          <w:sz w:val="20"/>
          <w:szCs w:val="20"/>
        </w:rPr>
        <w:t xml:space="preserve"> 2020</w:t>
      </w:r>
      <w:r w:rsidR="00E20B20" w:rsidRPr="00C33A85">
        <w:rPr>
          <w:color w:val="000000" w:themeColor="text1"/>
          <w:sz w:val="20"/>
          <w:szCs w:val="20"/>
        </w:rPr>
        <w:t xml:space="preserve"> model depends on </w:t>
      </w:r>
      <m:oMath>
        <m:r>
          <w:rPr>
            <w:rFonts w:ascii="Cambria Math" w:hAnsi="Cambria Math"/>
            <w:color w:val="000000" w:themeColor="text1"/>
            <w:sz w:val="20"/>
            <w:szCs w:val="20"/>
          </w:rPr>
          <m:t>FOXO3</m:t>
        </m:r>
      </m:oMath>
      <w:r w:rsidR="00E20B20" w:rsidRPr="00C33A85">
        <w:rPr>
          <w:color w:val="000000" w:themeColor="text1"/>
          <w:sz w:val="20"/>
          <w:szCs w:val="20"/>
        </w:rPr>
        <w:t xml:space="preserve"> activation, including </w:t>
      </w:r>
      <m:oMath>
        <m:r>
          <w:rPr>
            <w:rFonts w:ascii="Cambria Math" w:hAnsi="Cambria Math"/>
            <w:color w:val="000000" w:themeColor="text1"/>
            <w:sz w:val="20"/>
            <w:szCs w:val="20"/>
          </w:rPr>
          <m:t>BIM</m:t>
        </m:r>
      </m:oMath>
      <w:r w:rsidR="00E20B20" w:rsidRPr="00C33A85">
        <w:rPr>
          <w:color w:val="000000" w:themeColor="text1"/>
          <w:sz w:val="20"/>
          <w:szCs w:val="20"/>
        </w:rPr>
        <w:t xml:space="preserve">,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w:t>
      </w:r>
      <m:oMath>
        <m:r>
          <w:rPr>
            <w:rFonts w:ascii="Cambria Math" w:hAnsi="Cambria Math"/>
            <w:color w:val="000000" w:themeColor="text1"/>
            <w:sz w:val="20"/>
            <w:szCs w:val="20"/>
          </w:rPr>
          <m:t>p21/p27</m:t>
        </m:r>
      </m:oMath>
      <w:r w:rsidR="00E20B20" w:rsidRPr="00C33A85">
        <w:rPr>
          <w:color w:val="000000" w:themeColor="text1"/>
          <w:sz w:val="20"/>
          <w:szCs w:val="20"/>
        </w:rPr>
        <w:t xml:space="preserve">, </w:t>
      </w:r>
      <m:oMath>
        <m:r>
          <w:rPr>
            <w:rFonts w:ascii="Cambria Math" w:hAnsi="Cambria Math"/>
            <w:color w:val="000000" w:themeColor="text1"/>
            <w:sz w:val="20"/>
            <w:szCs w:val="20"/>
          </w:rPr>
          <m:t>HER3</m:t>
        </m:r>
      </m:oMath>
      <w:r w:rsidR="00E20B20" w:rsidRPr="00C33A85">
        <w:rPr>
          <w:color w:val="000000" w:themeColor="text1"/>
          <w:sz w:val="20"/>
          <w:szCs w:val="20"/>
        </w:rPr>
        <w:t xml:space="preserve">, and the non-monotonic response of </w:t>
      </w:r>
      <m:oMath>
        <m:r>
          <w:rPr>
            <w:rFonts w:ascii="Cambria Math" w:hAnsi="Cambria Math"/>
            <w:color w:val="000000" w:themeColor="text1"/>
            <w:sz w:val="20"/>
            <w:szCs w:val="20"/>
          </w:rPr>
          <m:t>pRb=2</m:t>
        </m:r>
      </m:oMath>
      <w:r w:rsidR="00E20B20" w:rsidRPr="00C33A85">
        <w:rPr>
          <w:color w:val="000000" w:themeColor="text1"/>
          <w:sz w:val="20"/>
          <w:szCs w:val="20"/>
        </w:rPr>
        <w:t xml:space="preserve">, </w:t>
      </w:r>
      <m:oMath>
        <m:r>
          <w:rPr>
            <w:rFonts w:ascii="Cambria Math" w:hAnsi="Cambria Math"/>
            <w:color w:val="000000" w:themeColor="text1"/>
            <w:sz w:val="20"/>
            <w:szCs w:val="20"/>
          </w:rPr>
          <m:t>ER transcription=2</m:t>
        </m:r>
      </m:oMath>
      <w:r w:rsidR="00E20B20" w:rsidRPr="00C33A85">
        <w:rPr>
          <w:color w:val="000000" w:themeColor="text1"/>
          <w:sz w:val="20"/>
          <w:szCs w:val="20"/>
        </w:rPr>
        <w:t xml:space="preserve">, and </w:t>
      </w:r>
      <m:oMath>
        <m:r>
          <w:rPr>
            <w:rFonts w:ascii="Cambria Math" w:hAnsi="Cambria Math"/>
            <w:color w:val="000000" w:themeColor="text1"/>
            <w:sz w:val="20"/>
            <w:szCs w:val="20"/>
          </w:rPr>
          <m:t>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The timecourse for the response to </w:t>
      </w:r>
      <w:r w:rsidR="00E20B20">
        <w:rPr>
          <w:color w:val="000000" w:themeColor="text1"/>
          <w:sz w:val="20"/>
          <w:szCs w:val="20"/>
        </w:rPr>
        <w:t>alpelisib</w:t>
      </w:r>
      <w:r w:rsidR="00E20B20" w:rsidRPr="00C33A85">
        <w:rPr>
          <w:color w:val="000000" w:themeColor="text1"/>
          <w:sz w:val="20"/>
          <w:szCs w:val="20"/>
        </w:rPr>
        <w:t xml:space="preserve"> + </w:t>
      </w:r>
      <w:r w:rsidR="00E20B20">
        <w:rPr>
          <w:color w:val="000000" w:themeColor="text1"/>
          <w:sz w:val="20"/>
          <w:szCs w:val="20"/>
        </w:rPr>
        <w:t>s63845</w:t>
      </w:r>
      <w:r w:rsidR="00E20B20" w:rsidRPr="00C33A85">
        <w:rPr>
          <w:color w:val="000000" w:themeColor="text1"/>
          <w:sz w:val="20"/>
          <w:szCs w:val="20"/>
        </w:rPr>
        <w:t xml:space="preserve"> differ to that of </w:t>
      </w:r>
      <w:r w:rsidR="00E20B20">
        <w:rPr>
          <w:color w:val="000000" w:themeColor="text1"/>
          <w:sz w:val="20"/>
          <w:szCs w:val="20"/>
        </w:rPr>
        <w:t>alpelisib</w:t>
      </w:r>
      <w:r w:rsidR="00E20B20" w:rsidRPr="00C33A85">
        <w:rPr>
          <w:color w:val="000000" w:themeColor="text1"/>
          <w:sz w:val="20"/>
          <w:szCs w:val="20"/>
        </w:rPr>
        <w:t xml:space="preserve"> alone in the state of the nodes </w:t>
      </w:r>
      <m:oMath>
        <m:r>
          <w:rPr>
            <w:rFonts w:ascii="Cambria Math" w:hAnsi="Cambria Math"/>
            <w:color w:val="000000" w:themeColor="text1"/>
            <w:sz w:val="20"/>
            <w:szCs w:val="20"/>
          </w:rPr>
          <m:t>MCL1</m:t>
        </m:r>
      </m:oMath>
      <w:r w:rsidR="00E20B20" w:rsidRPr="00C33A85">
        <w:rPr>
          <w:color w:val="000000" w:themeColor="text1"/>
          <w:sz w:val="20"/>
          <w:szCs w:val="20"/>
        </w:rPr>
        <w:t xml:space="preserve"> and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The timecourse for the response to </w:t>
      </w:r>
      <w:r w:rsidR="00E20B20">
        <w:rPr>
          <w:color w:val="000000" w:themeColor="text1"/>
          <w:sz w:val="20"/>
          <w:szCs w:val="20"/>
        </w:rPr>
        <w:t>alpelisib</w:t>
      </w:r>
      <w:r w:rsidR="00E20B20" w:rsidRPr="00C33A85">
        <w:rPr>
          <w:color w:val="000000" w:themeColor="text1"/>
          <w:sz w:val="20"/>
          <w:szCs w:val="20"/>
        </w:rPr>
        <w:t xml:space="preserve"> + Rb knockdown differs to that of </w:t>
      </w:r>
      <w:r w:rsidR="00E20B20">
        <w:rPr>
          <w:color w:val="000000" w:themeColor="text1"/>
          <w:sz w:val="20"/>
          <w:szCs w:val="20"/>
        </w:rPr>
        <w:t>alpelisib</w:t>
      </w:r>
      <w:r w:rsidR="00E20B20" w:rsidRPr="00C33A85">
        <w:rPr>
          <w:color w:val="000000" w:themeColor="text1"/>
          <w:sz w:val="20"/>
          <w:szCs w:val="20"/>
        </w:rPr>
        <w:t xml:space="preserve"> alone only in the state of the nodes of </w:t>
      </w:r>
      <m:oMath>
        <m:r>
          <w:rPr>
            <w:rFonts w:ascii="Cambria Math" w:hAnsi="Cambria Math"/>
            <w:color w:val="000000" w:themeColor="text1"/>
            <w:sz w:val="20"/>
            <w:szCs w:val="20"/>
          </w:rPr>
          <m:t>pRb</m:t>
        </m:r>
      </m:oMath>
      <w:r w:rsidR="00E20B20" w:rsidRPr="00C33A85">
        <w:rPr>
          <w:color w:val="000000" w:themeColor="text1"/>
          <w:sz w:val="20"/>
          <w:szCs w:val="20"/>
        </w:rPr>
        <w:t xml:space="preserve">, </w:t>
      </w:r>
      <m:oMath>
        <m:r>
          <w:rPr>
            <w:rFonts w:ascii="Cambria Math" w:hAnsi="Cambria Math"/>
            <w:color w:val="000000" w:themeColor="text1"/>
            <w:sz w:val="20"/>
            <w:szCs w:val="20"/>
          </w:rPr>
          <m:t>E2F</m:t>
        </m:r>
      </m:oMath>
      <w:r w:rsidR="00E20B20" w:rsidRPr="00C33A85">
        <w:rPr>
          <w:color w:val="000000" w:themeColor="text1"/>
          <w:sz w:val="20"/>
          <w:szCs w:val="20"/>
        </w:rPr>
        <w:t xml:space="preserve">, and </w:t>
      </w:r>
      <m:oMath>
        <m:r>
          <w:rPr>
            <w:rFonts w:ascii="Cambria Math" w:hAnsi="Cambria Math"/>
            <w:color w:val="000000" w:themeColor="text1"/>
            <w:sz w:val="20"/>
            <w:szCs w:val="20"/>
          </w:rPr>
          <m:t>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r>
          <w:rPr>
            <w:rFonts w:ascii="Cambria Math" w:hAnsi="Cambria Math"/>
            <w:color w:val="000000" w:themeColor="text1"/>
            <w:sz w:val="20"/>
            <w:szCs w:val="20"/>
          </w:rPr>
          <m:t>.</m:t>
        </m:r>
      </m:oMath>
    </w:p>
    <w:p w14:paraId="63AA4D75" w14:textId="77777777" w:rsidR="00E20B20" w:rsidRDefault="00E20B20" w:rsidP="00E20B20">
      <w:pPr>
        <w:rPr>
          <w:color w:val="000000" w:themeColor="text1"/>
          <w:sz w:val="20"/>
          <w:szCs w:val="20"/>
        </w:rPr>
      </w:pPr>
      <w:r>
        <w:rPr>
          <w:color w:val="000000" w:themeColor="text1"/>
          <w:sz w:val="20"/>
          <w:szCs w:val="20"/>
        </w:rPr>
        <w:br w:type="page"/>
      </w:r>
    </w:p>
    <w:p w14:paraId="176A77BE" w14:textId="77777777" w:rsidR="00E20B20" w:rsidRDefault="00E20B20" w:rsidP="00E20B20">
      <w:pPr>
        <w:jc w:val="both"/>
        <w:rPr>
          <w:b/>
          <w:color w:val="000000" w:themeColor="text1"/>
          <w:sz w:val="20"/>
          <w:szCs w:val="20"/>
        </w:rPr>
      </w:pPr>
      <w:r>
        <w:rPr>
          <w:b/>
          <w:noProof/>
          <w:color w:val="000000" w:themeColor="text1"/>
          <w:sz w:val="20"/>
          <w:szCs w:val="20"/>
        </w:rPr>
        <w:lastRenderedPageBreak/>
        <w:drawing>
          <wp:inline distT="0" distB="0" distL="0" distR="0" wp14:anchorId="433C9404" wp14:editId="06073679">
            <wp:extent cx="5943600" cy="77819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nuscript_08212020_SIfigures_Pag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81925"/>
                    </a:xfrm>
                    <a:prstGeom prst="rect">
                      <a:avLst/>
                    </a:prstGeom>
                  </pic:spPr>
                </pic:pic>
              </a:graphicData>
            </a:graphic>
          </wp:inline>
        </w:drawing>
      </w:r>
    </w:p>
    <w:p w14:paraId="6A807FA0" w14:textId="0EC5B08D" w:rsidR="00E20B20" w:rsidRDefault="00E80075" w:rsidP="00E20B20">
      <w:pPr>
        <w:jc w:val="both"/>
        <w:rPr>
          <w:color w:val="000000" w:themeColor="text1"/>
          <w:sz w:val="20"/>
          <w:szCs w:val="20"/>
        </w:rPr>
      </w:pPr>
      <w:r>
        <w:rPr>
          <w:b/>
          <w:color w:val="000000" w:themeColor="text1"/>
          <w:sz w:val="20"/>
          <w:szCs w:val="20"/>
        </w:rPr>
        <w:t>Supplemental</w:t>
      </w:r>
      <w:r w:rsidR="00E20B20" w:rsidRPr="00C33A85">
        <w:rPr>
          <w:b/>
          <w:color w:val="000000" w:themeColor="text1"/>
          <w:sz w:val="20"/>
          <w:szCs w:val="20"/>
        </w:rPr>
        <w:t xml:space="preserve"> Fig</w:t>
      </w:r>
      <w:r w:rsidR="00E20B20">
        <w:rPr>
          <w:b/>
          <w:color w:val="000000" w:themeColor="text1"/>
          <w:sz w:val="20"/>
          <w:szCs w:val="20"/>
        </w:rPr>
        <w:t>.</w:t>
      </w:r>
      <w:r w:rsidR="00E20B20" w:rsidRPr="00C33A85">
        <w:rPr>
          <w:b/>
          <w:color w:val="000000" w:themeColor="text1"/>
          <w:sz w:val="20"/>
          <w:szCs w:val="20"/>
        </w:rPr>
        <w:t xml:space="preserve"> S5. Additional drug combinations and resistance mechanisms in cell</w:t>
      </w:r>
      <w:r w:rsidR="00E20B20">
        <w:rPr>
          <w:b/>
          <w:color w:val="000000" w:themeColor="text1"/>
          <w:sz w:val="20"/>
          <w:szCs w:val="20"/>
        </w:rPr>
        <w:t xml:space="preserve"> </w:t>
      </w:r>
      <w:r w:rsidR="00E20B20" w:rsidRPr="00C33A85">
        <w:rPr>
          <w:b/>
          <w:color w:val="000000" w:themeColor="text1"/>
          <w:sz w:val="20"/>
          <w:szCs w:val="20"/>
        </w:rPr>
        <w:t xml:space="preserve">line-specific network models. </w:t>
      </w:r>
      <w:r w:rsidR="00E20B20" w:rsidRPr="00C33A85">
        <w:rPr>
          <w:color w:val="000000" w:themeColor="text1"/>
          <w:sz w:val="20"/>
          <w:szCs w:val="20"/>
        </w:rPr>
        <w:t>(A) Response of MCF7-specific and T47D-specific network mode</w:t>
      </w:r>
      <w:r w:rsidR="00B5145E">
        <w:rPr>
          <w:color w:val="000000" w:themeColor="text1"/>
          <w:sz w:val="20"/>
          <w:szCs w:val="20"/>
        </w:rPr>
        <w:t>l</w:t>
      </w:r>
      <w:r w:rsidR="00E20B20" w:rsidRPr="00C33A85">
        <w:rPr>
          <w:color w:val="000000" w:themeColor="text1"/>
          <w:sz w:val="20"/>
          <w:szCs w:val="20"/>
        </w:rPr>
        <w:t xml:space="preserve">s </w:t>
      </w:r>
      <w:r w:rsidR="00B5145E">
        <w:rPr>
          <w:color w:val="000000" w:themeColor="text1"/>
          <w:sz w:val="20"/>
          <w:szCs w:val="20"/>
        </w:rPr>
        <w:t xml:space="preserve">(based on the 2020 version of the model) </w:t>
      </w:r>
      <w:r w:rsidR="00E20B20" w:rsidRPr="00C33A85">
        <w:rPr>
          <w:color w:val="000000" w:themeColor="text1"/>
          <w:sz w:val="20"/>
          <w:szCs w:val="20"/>
        </w:rPr>
        <w:t xml:space="preserve">to single drugs relevant in the context of ER+ breast cancer and the combination of these drugs with </w:t>
      </w:r>
      <w:r w:rsidR="00E20B20">
        <w:rPr>
          <w:color w:val="000000" w:themeColor="text1"/>
          <w:sz w:val="20"/>
          <w:szCs w:val="20"/>
        </w:rPr>
        <w:t>alpelisib</w:t>
      </w:r>
      <w:r w:rsidR="00E20B20" w:rsidRPr="00C33A85">
        <w:rPr>
          <w:color w:val="000000" w:themeColor="text1"/>
          <w:sz w:val="20"/>
          <w:szCs w:val="20"/>
        </w:rPr>
        <w:t xml:space="preserve">. (B) T47D-specific model reproduces the observed cell death response to BH3 mimetics, </w:t>
      </w:r>
      <w:r w:rsidR="00E20B20">
        <w:rPr>
          <w:color w:val="000000" w:themeColor="text1"/>
          <w:sz w:val="20"/>
          <w:szCs w:val="20"/>
        </w:rPr>
        <w:t>alpelisib</w:t>
      </w:r>
      <w:r w:rsidR="00E20B20" w:rsidRPr="00C33A85">
        <w:rPr>
          <w:color w:val="000000" w:themeColor="text1"/>
          <w:sz w:val="20"/>
          <w:szCs w:val="20"/>
        </w:rPr>
        <w:t xml:space="preserve">, and their combination seen in this cell line (compare to the experimental results in Fig. </w:t>
      </w:r>
      <w:r w:rsidR="00E20B20">
        <w:rPr>
          <w:color w:val="000000" w:themeColor="text1"/>
          <w:sz w:val="20"/>
          <w:szCs w:val="20"/>
        </w:rPr>
        <w:t>3</w:t>
      </w:r>
      <w:r w:rsidR="00E20B20" w:rsidRPr="00C33A85">
        <w:rPr>
          <w:color w:val="000000" w:themeColor="text1"/>
          <w:sz w:val="20"/>
          <w:szCs w:val="20"/>
        </w:rPr>
        <w:t xml:space="preserve">C). We show the state of the nodes that influence </w:t>
      </w:r>
      <m:oMath>
        <m:r>
          <w:rPr>
            <w:rFonts w:ascii="Cambria Math" w:hAnsi="Cambria Math"/>
            <w:color w:val="000000" w:themeColor="text1"/>
            <w:sz w:val="20"/>
            <w:szCs w:val="20"/>
          </w:rPr>
          <m:t>Apoptosis</m:t>
        </m:r>
      </m:oMath>
      <w:r w:rsidR="00E20B20" w:rsidRPr="00C33A85">
        <w:rPr>
          <w:rFonts w:eastAsia="Arial Unicode MS"/>
          <w:color w:val="000000" w:themeColor="text1"/>
          <w:sz w:val="20"/>
          <w:szCs w:val="20"/>
        </w:rPr>
        <w:t xml:space="preserve"> in response to </w:t>
      </w:r>
      <w:r w:rsidR="00E20B20">
        <w:rPr>
          <w:rFonts w:eastAsia="Arial Unicode MS"/>
          <w:color w:val="000000" w:themeColor="text1"/>
          <w:sz w:val="20"/>
          <w:szCs w:val="20"/>
        </w:rPr>
        <w:t>alpelisib</w:t>
      </w:r>
      <w:r w:rsidR="00E20B20" w:rsidRPr="00C33A85">
        <w:rPr>
          <w:rFonts w:eastAsia="Arial Unicode MS"/>
          <w:color w:val="000000" w:themeColor="text1"/>
          <w:sz w:val="20"/>
          <w:szCs w:val="20"/>
        </w:rPr>
        <w:t xml:space="preserve">, </w:t>
      </w:r>
      <w:r w:rsidR="00E20B20" w:rsidRPr="002852E3">
        <w:rPr>
          <w:rFonts w:eastAsia="Arial Unicode MS"/>
          <w:color w:val="000000" w:themeColor="text1"/>
          <w:sz w:val="20"/>
          <w:szCs w:val="20"/>
        </w:rPr>
        <w:t>BH3 mimetics, and their combination</w:t>
      </w:r>
      <w:r w:rsidR="009A1AE6">
        <w:rPr>
          <w:rFonts w:eastAsia="Arial Unicode MS"/>
          <w:color w:val="000000" w:themeColor="text1"/>
          <w:sz w:val="20"/>
          <w:szCs w:val="20"/>
        </w:rPr>
        <w:t xml:space="preserve">. In the networks, </w:t>
      </w:r>
      <w:r w:rsidR="009A1AE6">
        <w:rPr>
          <w:color w:val="000000" w:themeColor="text1"/>
          <w:sz w:val="20"/>
          <w:szCs w:val="20"/>
        </w:rPr>
        <w:t>p</w:t>
      </w:r>
      <w:r w:rsidR="009A1AE6" w:rsidRPr="0054173B">
        <w:rPr>
          <w:color w:val="000000" w:themeColor="text1"/>
          <w:sz w:val="20"/>
          <w:szCs w:val="20"/>
        </w:rPr>
        <w:t xml:space="preserve">ositive </w:t>
      </w:r>
      <w:r w:rsidR="00AA2A51">
        <w:rPr>
          <w:color w:val="000000" w:themeColor="text1"/>
          <w:sz w:val="20"/>
          <w:szCs w:val="20"/>
        </w:rPr>
        <w:t>interactions</w:t>
      </w:r>
      <w:r w:rsidR="009A1AE6" w:rsidRPr="0054173B">
        <w:rPr>
          <w:color w:val="000000" w:themeColor="text1"/>
          <w:sz w:val="20"/>
          <w:szCs w:val="20"/>
        </w:rPr>
        <w:t xml:space="preserve"> are drawn with black </w:t>
      </w:r>
      <w:r w:rsidR="009A1AE6" w:rsidRPr="0054173B">
        <w:rPr>
          <w:color w:val="000000" w:themeColor="text1"/>
          <w:sz w:val="20"/>
          <w:szCs w:val="20"/>
        </w:rPr>
        <w:lastRenderedPageBreak/>
        <w:t xml:space="preserve">arrowheads and negative </w:t>
      </w:r>
      <w:r w:rsidR="00AA2A51">
        <w:rPr>
          <w:color w:val="000000" w:themeColor="text1"/>
          <w:sz w:val="20"/>
          <w:szCs w:val="20"/>
        </w:rPr>
        <w:t>interactions</w:t>
      </w:r>
      <w:r w:rsidR="009A1AE6" w:rsidRPr="0054173B">
        <w:rPr>
          <w:color w:val="000000" w:themeColor="text1"/>
          <w:sz w:val="20"/>
          <w:szCs w:val="20"/>
        </w:rPr>
        <w:t xml:space="preserve"> are drawn with white diamonds</w:t>
      </w:r>
      <w:r w:rsidR="00E20B20" w:rsidRPr="002852E3">
        <w:rPr>
          <w:rFonts w:eastAsia="Arial Unicode MS"/>
          <w:color w:val="000000" w:themeColor="text1"/>
          <w:sz w:val="20"/>
          <w:szCs w:val="20"/>
        </w:rPr>
        <w:t>. (D) Cell</w:t>
      </w:r>
      <w:r w:rsidR="00E20B20">
        <w:rPr>
          <w:rFonts w:eastAsia="Arial Unicode MS"/>
          <w:color w:val="000000" w:themeColor="text1"/>
          <w:sz w:val="20"/>
          <w:szCs w:val="20"/>
        </w:rPr>
        <w:t xml:space="preserve"> </w:t>
      </w:r>
      <w:r w:rsidR="00E20B20" w:rsidRPr="002852E3">
        <w:rPr>
          <w:rFonts w:eastAsia="Arial Unicode MS"/>
          <w:color w:val="000000" w:themeColor="text1"/>
          <w:sz w:val="20"/>
          <w:szCs w:val="20"/>
        </w:rPr>
        <w:t>line</w:t>
      </w:r>
      <w:r w:rsidR="00E20B20">
        <w:rPr>
          <w:rFonts w:eastAsia="Arial Unicode MS"/>
          <w:color w:val="000000" w:themeColor="text1"/>
          <w:sz w:val="20"/>
          <w:szCs w:val="20"/>
        </w:rPr>
        <w:t>-</w:t>
      </w:r>
      <w:r w:rsidR="00E20B20" w:rsidRPr="002852E3">
        <w:rPr>
          <w:rFonts w:eastAsia="Arial Unicode MS"/>
          <w:color w:val="000000" w:themeColor="text1"/>
          <w:sz w:val="20"/>
          <w:szCs w:val="20"/>
        </w:rPr>
        <w:t>specific network models reproduce the drug resistance effect of PI3K</w:t>
      </w:r>
      <w:r w:rsidR="00E20B20" w:rsidRPr="002852E3">
        <w:rPr>
          <w:rFonts w:eastAsia="Arial Unicode MS"/>
          <w:color w:val="000000" w:themeColor="text1"/>
          <w:sz w:val="20"/>
          <w:szCs w:val="20"/>
        </w:rPr>
        <w:sym w:font="Symbol" w:char="F061"/>
      </w:r>
      <w:r w:rsidR="00E20B20" w:rsidRPr="002852E3">
        <w:rPr>
          <w:rFonts w:eastAsia="Arial Unicode MS"/>
          <w:color w:val="000000" w:themeColor="text1"/>
          <w:sz w:val="20"/>
          <w:szCs w:val="20"/>
        </w:rPr>
        <w:t xml:space="preserve"> inhibitor</w:t>
      </w:r>
      <w:r w:rsidR="00E20B20" w:rsidRPr="00C33A85">
        <w:rPr>
          <w:rFonts w:eastAsia="Arial Unicode MS"/>
          <w:color w:val="000000" w:themeColor="text1"/>
          <w:sz w:val="20"/>
          <w:szCs w:val="20"/>
        </w:rPr>
        <w:t xml:space="preserve"> resistance mechanisms and other resistance mechanisms. Simulations in which a drug resistance mechanism is active show an increased survivability (reduced </w:t>
      </w:r>
      <m:oMath>
        <m:r>
          <w:rPr>
            <w:rFonts w:ascii="Cambria Math" w:hAnsi="Cambria Math"/>
            <w:color w:val="000000" w:themeColor="text1"/>
            <w:sz w:val="20"/>
            <w:szCs w:val="20"/>
          </w:rPr>
          <m:t>Proliferation</m:t>
        </m:r>
      </m:oMath>
      <w:r w:rsidR="00E20B20" w:rsidRPr="00C33A85">
        <w:rPr>
          <w:color w:val="000000" w:themeColor="text1"/>
          <w:sz w:val="20"/>
          <w:szCs w:val="20"/>
        </w:rPr>
        <w:t xml:space="preserve"> and/or increased </w:t>
      </w:r>
      <m:oMath>
        <m:r>
          <w:rPr>
            <w:rFonts w:ascii="Cambria Math" w:hAnsi="Cambria Math"/>
            <w:color w:val="000000" w:themeColor="text1"/>
            <w:sz w:val="20"/>
            <w:szCs w:val="20"/>
          </w:rPr>
          <m:t>Apoptosis</m:t>
        </m:r>
      </m:oMath>
      <w:r w:rsidR="00E20B20" w:rsidRPr="00C33A85">
        <w:rPr>
          <w:color w:val="000000" w:themeColor="text1"/>
          <w:sz w:val="20"/>
          <w:szCs w:val="20"/>
        </w:rPr>
        <w:t xml:space="preserve">) compared to the case of the drug alone (panel C). (E) T47D-specific model reproduces the reduced sensitivity to </w:t>
      </w:r>
      <w:r w:rsidR="00E20B20">
        <w:rPr>
          <w:color w:val="000000" w:themeColor="text1"/>
          <w:sz w:val="20"/>
          <w:szCs w:val="20"/>
        </w:rPr>
        <w:t>alpelisib</w:t>
      </w:r>
      <w:r w:rsidR="00E20B20" w:rsidRPr="00C33A85">
        <w:rPr>
          <w:color w:val="000000" w:themeColor="text1"/>
          <w:sz w:val="20"/>
          <w:szCs w:val="20"/>
        </w:rPr>
        <w:t xml:space="preserve"> caused by FOXO3 knockdown. We show the state of the nodes that influence </w:t>
      </w:r>
      <m:oMath>
        <m:r>
          <w:rPr>
            <w:rFonts w:ascii="Cambria Math" w:hAnsi="Cambria Math"/>
            <w:color w:val="000000" w:themeColor="text1"/>
            <w:sz w:val="20"/>
            <w:szCs w:val="20"/>
          </w:rPr>
          <m:t>Apoptosis</m:t>
        </m:r>
      </m:oMath>
      <w:r w:rsidR="00E20B20" w:rsidRPr="00C33A85">
        <w:rPr>
          <w:color w:val="000000" w:themeColor="text1"/>
          <w:sz w:val="20"/>
          <w:szCs w:val="20"/>
        </w:rPr>
        <w:t xml:space="preserve"> and </w:t>
      </w:r>
      <m:oMath>
        <m:r>
          <w:rPr>
            <w:rFonts w:ascii="Cambria Math" w:hAnsi="Cambria Math"/>
            <w:color w:val="000000" w:themeColor="text1"/>
            <w:sz w:val="20"/>
            <w:szCs w:val="20"/>
          </w:rPr>
          <m:t>Proliferation</m:t>
        </m:r>
      </m:oMath>
      <w:r w:rsidR="00E20B20" w:rsidRPr="00C33A85">
        <w:rPr>
          <w:color w:val="000000" w:themeColor="text1"/>
          <w:sz w:val="20"/>
          <w:szCs w:val="20"/>
        </w:rPr>
        <w:t xml:space="preserve"> in response to </w:t>
      </w:r>
      <w:r w:rsidR="00E20B20">
        <w:rPr>
          <w:color w:val="000000" w:themeColor="text1"/>
          <w:sz w:val="20"/>
          <w:szCs w:val="20"/>
        </w:rPr>
        <w:t>alpelisib</w:t>
      </w:r>
      <w:r w:rsidR="00E20B20" w:rsidRPr="00C33A85">
        <w:rPr>
          <w:color w:val="000000" w:themeColor="text1"/>
          <w:sz w:val="20"/>
          <w:szCs w:val="20"/>
        </w:rPr>
        <w:t xml:space="preserve">, FOXO3 knockdown, and their combination. The models encodes the biological outcomes of cell death and proliferation using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and </w:t>
      </w:r>
      <m:oMath>
        <m:r>
          <w:rPr>
            <w:rFonts w:ascii="Cambria Math" w:hAnsi="Cambria Math"/>
            <w:color w:val="000000" w:themeColor="text1"/>
            <w:sz w:val="20"/>
            <w:szCs w:val="20"/>
          </w:rPr>
          <m:t>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respectively, which are a weighted and normalized (between 0 and 1) measure of the state of the nodes </w:t>
      </w:r>
      <m:oMath>
        <m:r>
          <w:rPr>
            <w:rFonts w:ascii="Cambria Math" w:hAnsi="Cambria Math"/>
            <w:color w:val="000000" w:themeColor="text1"/>
            <w:sz w:val="20"/>
            <w:szCs w:val="20"/>
          </w:rPr>
          <m:t>Apoptosis</m:t>
        </m:r>
      </m:oMath>
      <w:r w:rsidR="00E20B20" w:rsidRPr="00C33A85">
        <w:rPr>
          <w:color w:val="000000" w:themeColor="text1"/>
          <w:sz w:val="20"/>
          <w:szCs w:val="20"/>
        </w:rPr>
        <w:t xml:space="preserve"> and </w:t>
      </w:r>
      <m:oMath>
        <m:r>
          <w:rPr>
            <w:rFonts w:ascii="Cambria Math" w:hAnsi="Cambria Math"/>
            <w:color w:val="000000" w:themeColor="text1"/>
            <w:sz w:val="20"/>
            <w:szCs w:val="20"/>
          </w:rPr>
          <m:t>Proliferation</m:t>
        </m:r>
      </m:oMath>
      <w:r w:rsidR="00E20B20" w:rsidRPr="00C33A85">
        <w:rPr>
          <w:color w:val="000000" w:themeColor="text1"/>
          <w:sz w:val="20"/>
          <w:szCs w:val="20"/>
        </w:rPr>
        <w:t xml:space="preserve">. Starting from a cancerous state of each model, we perform 10,000 simulations in which the specified treatment or perturbation is maintained throughout the simulation, and obtain the average value of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and </w:t>
      </w:r>
      <m:oMath>
        <m:r>
          <w:rPr>
            <w:rFonts w:ascii="Cambria Math" w:hAnsi="Cambria Math"/>
            <w:color w:val="000000" w:themeColor="text1"/>
            <w:sz w:val="20"/>
            <w:szCs w:val="20"/>
          </w:rPr>
          <m:t>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at the end of the simulations. </w:t>
      </w:r>
      <m:oMath>
        <m:r>
          <w:rPr>
            <w:rFonts w:ascii="Cambria Math" w:hAnsi="Cambria Math"/>
            <w:color w:val="000000" w:themeColor="text1"/>
            <w:sz w:val="20"/>
            <w:szCs w:val="20"/>
          </w:rPr>
          <m:t>ΔApoptosi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and </w:t>
      </w:r>
      <m:oMath>
        <m:r>
          <w:rPr>
            <w:rFonts w:ascii="Cambria Math" w:hAnsi="Cambria Math"/>
            <w:color w:val="000000" w:themeColor="text1"/>
            <w:sz w:val="20"/>
            <w:szCs w:val="20"/>
          </w:rPr>
          <m:t>ΔProliferatio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of a perturbation denote the difference with respect to the case of no perturbation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r>
          <w:rPr>
            <w:rFonts w:ascii="Cambria Math" w:hAnsi="Cambria Math"/>
            <w:color w:val="000000" w:themeColor="text1"/>
            <w:sz w:val="20"/>
            <w:szCs w:val="20"/>
          </w:rPr>
          <m:t>=0</m:t>
        </m:r>
      </m:oMath>
      <w:r w:rsidR="00E20B20" w:rsidRPr="00C33A85">
        <w:rPr>
          <w:color w:val="000000" w:themeColor="text1"/>
          <w:sz w:val="20"/>
          <w:szCs w:val="20"/>
        </w:rPr>
        <w:t xml:space="preserve">, </w:t>
      </w:r>
      <m:oMath>
        <m:r>
          <w:rPr>
            <w:rFonts w:ascii="Cambria Math" w:hAnsi="Cambria Math"/>
            <w:color w:val="000000" w:themeColor="text1"/>
            <w:sz w:val="20"/>
            <w:szCs w:val="20"/>
          </w:rPr>
          <m:t>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r>
          <w:rPr>
            <w:rFonts w:ascii="Cambria Math" w:hAnsi="Cambria Math"/>
            <w:color w:val="000000" w:themeColor="text1"/>
            <w:sz w:val="20"/>
            <w:szCs w:val="20"/>
          </w:rPr>
          <m:t>=1</m:t>
        </m:r>
      </m:oMath>
      <w:r w:rsidR="00E20B20" w:rsidRPr="00C33A85">
        <w:rPr>
          <w:color w:val="000000" w:themeColor="text1"/>
          <w:sz w:val="20"/>
          <w:szCs w:val="20"/>
        </w:rPr>
        <w:t xml:space="preserve">), and are such that decreased survivability means an increase in </w:t>
      </w:r>
      <m:oMath>
        <m:r>
          <w:rPr>
            <w:rFonts w:ascii="Cambria Math" w:hAnsi="Cambria Math"/>
            <w:color w:val="000000" w:themeColor="text1"/>
            <w:sz w:val="20"/>
            <w:szCs w:val="20"/>
          </w:rPr>
          <m:t>ΔApoptosi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or </w:t>
      </w:r>
      <m:oMath>
        <m:r>
          <w:rPr>
            <w:rFonts w:ascii="Cambria Math" w:hAnsi="Cambria Math"/>
            <w:color w:val="000000" w:themeColor="text1"/>
            <w:sz w:val="20"/>
            <w:szCs w:val="20"/>
          </w:rPr>
          <m:t>-ΔProliferatio</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norm</m:t>
            </m:r>
          </m:sub>
        </m:sSub>
      </m:oMath>
      <w:r w:rsidR="00E20B20" w:rsidRPr="00C33A85">
        <w:rPr>
          <w:color w:val="000000" w:themeColor="text1"/>
          <w:sz w:val="20"/>
          <w:szCs w:val="20"/>
        </w:rPr>
        <w:t>.</w:t>
      </w:r>
    </w:p>
    <w:p w14:paraId="5EAD0187" w14:textId="77777777" w:rsidR="00E20B20" w:rsidRDefault="00E20B20" w:rsidP="00E20B20">
      <w:pPr>
        <w:rPr>
          <w:color w:val="000000" w:themeColor="text1"/>
          <w:sz w:val="20"/>
          <w:szCs w:val="20"/>
        </w:rPr>
      </w:pPr>
      <w:r>
        <w:rPr>
          <w:color w:val="000000" w:themeColor="text1"/>
          <w:sz w:val="20"/>
          <w:szCs w:val="20"/>
        </w:rPr>
        <w:br w:type="page"/>
      </w:r>
    </w:p>
    <w:p w14:paraId="2E20812B" w14:textId="77777777" w:rsidR="00E20B20" w:rsidRPr="00C33A85" w:rsidRDefault="00E20B20" w:rsidP="00E20B20">
      <w:pPr>
        <w:jc w:val="both"/>
        <w:rPr>
          <w:color w:val="000000" w:themeColor="text1"/>
          <w:sz w:val="20"/>
          <w:szCs w:val="20"/>
        </w:rPr>
      </w:pPr>
      <w:r>
        <w:rPr>
          <w:noProof/>
          <w:color w:val="000000" w:themeColor="text1"/>
          <w:sz w:val="20"/>
          <w:szCs w:val="20"/>
        </w:rPr>
        <w:lastRenderedPageBreak/>
        <w:drawing>
          <wp:inline distT="0" distB="0" distL="0" distR="0" wp14:anchorId="5DC16B57" wp14:editId="603FC8F6">
            <wp:extent cx="5499100"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nuscript_08212020_SIfigures_Page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9100" cy="4572000"/>
                    </a:xfrm>
                    <a:prstGeom prst="rect">
                      <a:avLst/>
                    </a:prstGeom>
                  </pic:spPr>
                </pic:pic>
              </a:graphicData>
            </a:graphic>
          </wp:inline>
        </w:drawing>
      </w:r>
    </w:p>
    <w:p w14:paraId="30082264" w14:textId="57CEBBAC" w:rsidR="00E20B20" w:rsidRPr="00C33A85" w:rsidRDefault="00E80075" w:rsidP="00E20B20">
      <w:pPr>
        <w:jc w:val="both"/>
        <w:rPr>
          <w:color w:val="000000" w:themeColor="text1"/>
          <w:sz w:val="20"/>
          <w:szCs w:val="20"/>
        </w:rPr>
      </w:pPr>
      <w:r>
        <w:rPr>
          <w:b/>
          <w:color w:val="000000" w:themeColor="text1"/>
          <w:sz w:val="20"/>
          <w:szCs w:val="20"/>
        </w:rPr>
        <w:t>Supplemental</w:t>
      </w:r>
      <w:r w:rsidR="00E20B20" w:rsidRPr="00C33A85">
        <w:rPr>
          <w:b/>
          <w:color w:val="000000" w:themeColor="text1"/>
          <w:sz w:val="20"/>
          <w:szCs w:val="20"/>
        </w:rPr>
        <w:t xml:space="preserve"> Fig</w:t>
      </w:r>
      <w:r w:rsidR="00E20B20">
        <w:rPr>
          <w:b/>
          <w:color w:val="000000" w:themeColor="text1"/>
          <w:sz w:val="20"/>
          <w:szCs w:val="20"/>
        </w:rPr>
        <w:t>.</w:t>
      </w:r>
      <w:r w:rsidR="00E20B20" w:rsidRPr="00C33A85">
        <w:rPr>
          <w:b/>
          <w:color w:val="000000" w:themeColor="text1"/>
          <w:sz w:val="20"/>
          <w:szCs w:val="20"/>
        </w:rPr>
        <w:t xml:space="preserve"> S6. Cell</w:t>
      </w:r>
      <w:r w:rsidR="00E20B20">
        <w:rPr>
          <w:b/>
          <w:color w:val="000000" w:themeColor="text1"/>
          <w:sz w:val="20"/>
          <w:szCs w:val="20"/>
        </w:rPr>
        <w:t xml:space="preserve"> </w:t>
      </w:r>
      <w:r w:rsidR="00E20B20" w:rsidRPr="00C33A85">
        <w:rPr>
          <w:b/>
          <w:color w:val="000000" w:themeColor="text1"/>
          <w:sz w:val="20"/>
          <w:szCs w:val="20"/>
        </w:rPr>
        <w:t xml:space="preserve">line-specific network models reproduce the observed cell death response to </w:t>
      </w:r>
      <w:r w:rsidR="00E20B20">
        <w:rPr>
          <w:b/>
          <w:color w:val="000000" w:themeColor="text1"/>
          <w:sz w:val="20"/>
          <w:szCs w:val="20"/>
        </w:rPr>
        <w:t>alpelisib</w:t>
      </w:r>
      <w:r w:rsidR="00E20B20" w:rsidRPr="00C33A85">
        <w:rPr>
          <w:b/>
          <w:color w:val="000000" w:themeColor="text1"/>
          <w:sz w:val="20"/>
          <w:szCs w:val="20"/>
        </w:rPr>
        <w:t xml:space="preserve">, BH3 mimetics, and other drugs. </w:t>
      </w:r>
      <w:r w:rsidR="00E20B20" w:rsidRPr="00C33A85">
        <w:rPr>
          <w:color w:val="000000" w:themeColor="text1"/>
          <w:sz w:val="20"/>
          <w:szCs w:val="20"/>
        </w:rPr>
        <w:t>The cell death response (</w:t>
      </w:r>
      <m:oMath>
        <m:r>
          <w:rPr>
            <w:rFonts w:ascii="Cambria Math" w:hAnsi="Cambria Math"/>
            <w:color w:val="000000" w:themeColor="text1"/>
            <w:sz w:val="20"/>
            <w:szCs w:val="20"/>
          </w:rPr>
          <m:t>ΔApoptosi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in MCF7-specific and T47D-specific network models (top panel)</w:t>
      </w:r>
      <w:r w:rsidR="00B5145E">
        <w:rPr>
          <w:color w:val="000000" w:themeColor="text1"/>
          <w:sz w:val="20"/>
          <w:szCs w:val="20"/>
        </w:rPr>
        <w:t>, which are based on the 2020 version of the model,</w:t>
      </w:r>
      <w:r w:rsidR="00E20B20" w:rsidRPr="00C33A85">
        <w:rPr>
          <w:color w:val="000000" w:themeColor="text1"/>
          <w:sz w:val="20"/>
          <w:szCs w:val="20"/>
        </w:rPr>
        <w:t xml:space="preserve"> is qualitatively similar to the experimentally observed cell death response in these cell lines (bottom panel). The experimental cell death results shown in the bottom panel are the same as in Figs. </w:t>
      </w:r>
      <w:r w:rsidR="00E20B20">
        <w:rPr>
          <w:color w:val="000000" w:themeColor="text1"/>
          <w:sz w:val="20"/>
          <w:szCs w:val="20"/>
        </w:rPr>
        <w:t>2</w:t>
      </w:r>
      <w:r w:rsidR="00E20B20" w:rsidRPr="00C33A85">
        <w:rPr>
          <w:color w:val="000000" w:themeColor="text1"/>
          <w:sz w:val="20"/>
          <w:szCs w:val="20"/>
        </w:rPr>
        <w:t xml:space="preserve">E and </w:t>
      </w:r>
      <w:r w:rsidR="00E20B20">
        <w:rPr>
          <w:color w:val="000000" w:themeColor="text1"/>
          <w:sz w:val="20"/>
          <w:szCs w:val="20"/>
        </w:rPr>
        <w:t>3</w:t>
      </w:r>
      <w:r w:rsidR="00E20B20" w:rsidRPr="00C33A85">
        <w:rPr>
          <w:color w:val="000000" w:themeColor="text1"/>
          <w:sz w:val="20"/>
          <w:szCs w:val="20"/>
        </w:rPr>
        <w:t xml:space="preserve">C. The models encode the biological outcomes of cell death using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which is a weighted and normalized (between 0 and 1) measure of the state of the node </w:t>
      </w:r>
      <m:oMath>
        <m:r>
          <w:rPr>
            <w:rFonts w:ascii="Cambria Math" w:hAnsi="Cambria Math"/>
            <w:color w:val="000000" w:themeColor="text1"/>
            <w:sz w:val="20"/>
            <w:szCs w:val="20"/>
          </w:rPr>
          <m:t>Apoptosis</m:t>
        </m:r>
      </m:oMath>
      <w:r w:rsidR="00E20B20" w:rsidRPr="00C33A85">
        <w:rPr>
          <w:color w:val="000000" w:themeColor="text1"/>
          <w:sz w:val="20"/>
          <w:szCs w:val="20"/>
        </w:rPr>
        <w:t xml:space="preserve">. Starting from a cancerous state of each model, we perform 10,000 simulations in which the specified treatment or perturbation is maintained throughout the simulation, and obtain the average value of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at the end of the simulations. </w:t>
      </w:r>
      <m:oMath>
        <m:r>
          <w:rPr>
            <w:rFonts w:ascii="Cambria Math" w:hAnsi="Cambria Math"/>
            <w:color w:val="000000" w:themeColor="text1"/>
            <w:sz w:val="20"/>
            <w:szCs w:val="20"/>
          </w:rPr>
          <m:t>ΔApoptosi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oMath>
      <w:r w:rsidR="00E20B20" w:rsidRPr="00C33A85">
        <w:rPr>
          <w:color w:val="000000" w:themeColor="text1"/>
          <w:sz w:val="20"/>
          <w:szCs w:val="20"/>
        </w:rPr>
        <w:t xml:space="preserve"> of a perturbation denotes the difference with respect to the case of no perturbation (</w:t>
      </w:r>
      <m:oMath>
        <m:r>
          <w:rPr>
            <w:rFonts w:ascii="Cambria Math" w:hAnsi="Cambria Math"/>
            <w:color w:val="000000" w:themeColor="text1"/>
            <w:sz w:val="20"/>
            <w:szCs w:val="20"/>
          </w:rPr>
          <m:t>Apoptosi</m:t>
        </m:r>
        <m:sSub>
          <m:sSubPr>
            <m:ctrlPr>
              <w:rPr>
                <w:rFonts w:ascii="Cambria Math" w:hAnsi="Cambria Math"/>
                <w:color w:val="000000" w:themeColor="text1"/>
                <w:sz w:val="20"/>
                <w:szCs w:val="20"/>
              </w:rPr>
            </m:ctrlPr>
          </m:sSubPr>
          <m:e>
            <m:r>
              <w:rPr>
                <w:rFonts w:ascii="Cambria Math" w:hAnsi="Cambria Math"/>
                <w:color w:val="000000" w:themeColor="text1"/>
                <w:sz w:val="20"/>
                <w:szCs w:val="20"/>
              </w:rPr>
              <m:t>s</m:t>
            </m:r>
          </m:e>
          <m:sub>
            <m:r>
              <w:rPr>
                <w:rFonts w:ascii="Cambria Math" w:hAnsi="Cambria Math"/>
                <w:color w:val="000000" w:themeColor="text1"/>
                <w:sz w:val="20"/>
                <w:szCs w:val="20"/>
              </w:rPr>
              <m:t>norm</m:t>
            </m:r>
          </m:sub>
        </m:sSub>
        <m:r>
          <w:rPr>
            <w:rFonts w:ascii="Cambria Math" w:hAnsi="Cambria Math"/>
            <w:color w:val="000000" w:themeColor="text1"/>
            <w:sz w:val="20"/>
            <w:szCs w:val="20"/>
          </w:rPr>
          <m:t>=0</m:t>
        </m:r>
      </m:oMath>
      <w:r w:rsidR="00E20B20" w:rsidRPr="00C33A85">
        <w:rPr>
          <w:color w:val="000000" w:themeColor="text1"/>
          <w:sz w:val="20"/>
          <w:szCs w:val="20"/>
        </w:rPr>
        <w:t>).</w:t>
      </w:r>
    </w:p>
    <w:p w14:paraId="431C3304" w14:textId="77777777" w:rsidR="00E20B20" w:rsidRPr="00B27EF7" w:rsidRDefault="00E20B20" w:rsidP="00E20B20">
      <w:pPr>
        <w:widowControl w:val="0"/>
        <w:pBdr>
          <w:top w:val="nil"/>
          <w:left w:val="nil"/>
          <w:bottom w:val="nil"/>
          <w:right w:val="nil"/>
          <w:between w:val="nil"/>
        </w:pBdr>
        <w:rPr>
          <w:b/>
          <w:color w:val="000000" w:themeColor="text1"/>
        </w:rPr>
      </w:pPr>
    </w:p>
    <w:p w14:paraId="2E525394" w14:textId="77777777" w:rsidR="00A07F6A" w:rsidRDefault="00A07F6A">
      <w:pPr>
        <w:rPr>
          <w:b/>
          <w:color w:val="000000" w:themeColor="text1"/>
        </w:rPr>
      </w:pPr>
      <w:r>
        <w:rPr>
          <w:b/>
          <w:color w:val="000000" w:themeColor="text1"/>
        </w:rPr>
        <w:br w:type="page"/>
      </w:r>
    </w:p>
    <w:p w14:paraId="275D1AAD" w14:textId="1226FAB7" w:rsidR="00A07F6A" w:rsidRDefault="00A07F6A" w:rsidP="00F329D4">
      <w:pPr>
        <w:jc w:val="both"/>
      </w:pPr>
      <w:r>
        <w:rPr>
          <w:b/>
        </w:rPr>
        <w:lastRenderedPageBreak/>
        <w:t>Supplemental Table S</w:t>
      </w:r>
      <w:r w:rsidR="00AF23B3">
        <w:rPr>
          <w:b/>
        </w:rPr>
        <w:t>1</w:t>
      </w:r>
      <w:r>
        <w:rPr>
          <w:b/>
        </w:rPr>
        <w:t>.</w:t>
      </w:r>
      <w:r w:rsidR="000343AE">
        <w:rPr>
          <w:b/>
        </w:rPr>
        <w:t xml:space="preserve"> </w:t>
      </w:r>
      <w:r w:rsidR="000343AE" w:rsidRPr="000343AE">
        <w:rPr>
          <w:b/>
        </w:rPr>
        <w:t xml:space="preserve">Inactivating genomic alterations in </w:t>
      </w:r>
      <w:r w:rsidR="000343AE" w:rsidRPr="000343AE">
        <w:rPr>
          <w:b/>
          <w:i/>
        </w:rPr>
        <w:t>FOXO</w:t>
      </w:r>
      <w:r w:rsidR="000343AE">
        <w:rPr>
          <w:b/>
          <w:i/>
        </w:rPr>
        <w:t>3</w:t>
      </w:r>
      <w:r w:rsidR="000343AE" w:rsidRPr="000343AE">
        <w:rPr>
          <w:b/>
        </w:rPr>
        <w:t xml:space="preserve"> and </w:t>
      </w:r>
      <w:r w:rsidR="000343AE" w:rsidRPr="000343AE">
        <w:rPr>
          <w:b/>
          <w:i/>
        </w:rPr>
        <w:t>FOXO1</w:t>
      </w:r>
      <w:r w:rsidR="000343AE" w:rsidRPr="000343AE">
        <w:rPr>
          <w:b/>
        </w:rPr>
        <w:t xml:space="preserve"> from publicly available breast cancer tumor datasets.</w:t>
      </w:r>
      <w:r w:rsidR="000343AE">
        <w:t xml:space="preserve"> </w:t>
      </w:r>
      <w:r w:rsidR="003A2B32">
        <w:t xml:space="preserve">We consider inactivating genomic alterations to be </w:t>
      </w:r>
      <w:r w:rsidR="003A2B32" w:rsidRPr="003A2B32">
        <w:t xml:space="preserve">loss-of-function </w:t>
      </w:r>
      <w:r w:rsidR="00E93FEA">
        <w:t xml:space="preserve">(LOF) </w:t>
      </w:r>
      <w:r w:rsidR="003A2B32" w:rsidRPr="003A2B32">
        <w:t>mutations (frameshift</w:t>
      </w:r>
      <w:r w:rsidR="003A2B32">
        <w:t>,</w:t>
      </w:r>
      <w:r w:rsidR="003A2B32" w:rsidRPr="003A2B32">
        <w:t xml:space="preserve"> nonsense</w:t>
      </w:r>
      <w:r w:rsidR="003A2B32">
        <w:t>, and</w:t>
      </w:r>
      <w:r w:rsidR="003A2B32" w:rsidRPr="003A2B32">
        <w:t xml:space="preserve"> nonstop mutations, excluding those in tumors with high mutation burden) and copy number deep deletions</w:t>
      </w:r>
      <w:r w:rsidR="003A2B32">
        <w:t xml:space="preserve"> (based on the annotations in cbioportal</w:t>
      </w:r>
      <w:r w:rsidR="003E69C4">
        <w:t xml:space="preserve"> </w:t>
      </w:r>
      <w:r w:rsidR="008B0566">
        <w:rPr>
          <w:noProof/>
        </w:rPr>
        <w:t>(33)</w:t>
      </w:r>
      <w:r w:rsidR="003A2B32">
        <w:t>)</w:t>
      </w:r>
      <w:r>
        <w:t>.</w:t>
      </w:r>
      <w:r w:rsidR="00F329D4">
        <w:t xml:space="preserve"> The cbioportal data on which this analysis is based </w:t>
      </w:r>
      <w:r w:rsidR="006E5B78">
        <w:t xml:space="preserve">on </w:t>
      </w:r>
      <w:r w:rsidR="00F329D4">
        <w:t>can be found in Supplemental File 2.</w:t>
      </w:r>
    </w:p>
    <w:p w14:paraId="39D52462" w14:textId="77777777" w:rsidR="00A07F6A" w:rsidRDefault="00A07F6A" w:rsidP="00A07F6A"/>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3960"/>
        <w:gridCol w:w="4320"/>
      </w:tblGrid>
      <w:tr w:rsidR="006E5B78" w14:paraId="0AF26964" w14:textId="77777777" w:rsidTr="00917D92">
        <w:tc>
          <w:tcPr>
            <w:tcW w:w="2510" w:type="dxa"/>
            <w:shd w:val="clear" w:color="auto" w:fill="auto"/>
            <w:tcMar>
              <w:top w:w="100" w:type="dxa"/>
              <w:left w:w="100" w:type="dxa"/>
              <w:bottom w:w="100" w:type="dxa"/>
              <w:right w:w="100" w:type="dxa"/>
            </w:tcMar>
          </w:tcPr>
          <w:p w14:paraId="40E18CA8" w14:textId="17554AB6" w:rsidR="00A07F6A" w:rsidRDefault="00AF23B3" w:rsidP="002F58C4">
            <w:pPr>
              <w:widowControl w:val="0"/>
              <w:pBdr>
                <w:top w:val="nil"/>
                <w:left w:val="nil"/>
                <w:bottom w:val="nil"/>
                <w:right w:val="nil"/>
                <w:between w:val="nil"/>
              </w:pBdr>
              <w:spacing w:line="240" w:lineRule="auto"/>
              <w:rPr>
                <w:b/>
              </w:rPr>
            </w:pPr>
            <w:r>
              <w:rPr>
                <w:b/>
              </w:rPr>
              <w:t>Study</w:t>
            </w:r>
          </w:p>
        </w:tc>
        <w:tc>
          <w:tcPr>
            <w:tcW w:w="3960" w:type="dxa"/>
            <w:shd w:val="clear" w:color="auto" w:fill="auto"/>
            <w:tcMar>
              <w:top w:w="100" w:type="dxa"/>
              <w:left w:w="100" w:type="dxa"/>
              <w:bottom w:w="100" w:type="dxa"/>
              <w:right w:w="100" w:type="dxa"/>
            </w:tcMar>
          </w:tcPr>
          <w:p w14:paraId="27DDE6B2" w14:textId="7D5F44BF" w:rsidR="00A07F6A" w:rsidRDefault="00C21E17" w:rsidP="002F58C4">
            <w:pPr>
              <w:widowControl w:val="0"/>
              <w:pBdr>
                <w:top w:val="nil"/>
                <w:left w:val="nil"/>
                <w:bottom w:val="nil"/>
                <w:right w:val="nil"/>
                <w:between w:val="nil"/>
              </w:pBdr>
              <w:spacing w:line="240" w:lineRule="auto"/>
              <w:rPr>
                <w:b/>
              </w:rPr>
            </w:pPr>
            <w:r>
              <w:rPr>
                <w:b/>
              </w:rPr>
              <w:t>FOXO3 alterations</w:t>
            </w:r>
          </w:p>
        </w:tc>
        <w:tc>
          <w:tcPr>
            <w:tcW w:w="4320" w:type="dxa"/>
            <w:shd w:val="clear" w:color="auto" w:fill="auto"/>
            <w:tcMar>
              <w:top w:w="100" w:type="dxa"/>
              <w:left w:w="100" w:type="dxa"/>
              <w:bottom w:w="100" w:type="dxa"/>
              <w:right w:w="100" w:type="dxa"/>
            </w:tcMar>
          </w:tcPr>
          <w:p w14:paraId="06E7F017" w14:textId="1D4269C0" w:rsidR="00A07F6A" w:rsidRDefault="00C21E17" w:rsidP="002F58C4">
            <w:pPr>
              <w:widowControl w:val="0"/>
              <w:pBdr>
                <w:top w:val="nil"/>
                <w:left w:val="nil"/>
                <w:bottom w:val="nil"/>
                <w:right w:val="nil"/>
                <w:between w:val="nil"/>
              </w:pBdr>
              <w:spacing w:line="240" w:lineRule="auto"/>
              <w:rPr>
                <w:b/>
              </w:rPr>
            </w:pPr>
            <w:r>
              <w:rPr>
                <w:b/>
              </w:rPr>
              <w:t>FOXO1 alterations</w:t>
            </w:r>
          </w:p>
        </w:tc>
      </w:tr>
      <w:tr w:rsidR="006E5B78" w:rsidRPr="00E93FEA" w14:paraId="6FD0A7F9" w14:textId="77777777" w:rsidTr="00917D92">
        <w:tc>
          <w:tcPr>
            <w:tcW w:w="2510" w:type="dxa"/>
            <w:shd w:val="clear" w:color="auto" w:fill="auto"/>
            <w:tcMar>
              <w:top w:w="100" w:type="dxa"/>
              <w:left w:w="100" w:type="dxa"/>
              <w:bottom w:w="100" w:type="dxa"/>
              <w:right w:w="100" w:type="dxa"/>
            </w:tcMar>
          </w:tcPr>
          <w:p w14:paraId="10C1DC4D" w14:textId="63AC02B1" w:rsidR="00A07F6A" w:rsidRDefault="00C21E17" w:rsidP="002F58C4">
            <w:pPr>
              <w:widowControl w:val="0"/>
              <w:pBdr>
                <w:top w:val="nil"/>
                <w:left w:val="nil"/>
                <w:bottom w:val="nil"/>
                <w:right w:val="nil"/>
                <w:between w:val="nil"/>
              </w:pBdr>
              <w:spacing w:line="240" w:lineRule="auto"/>
            </w:pPr>
            <w:r w:rsidRPr="00C21E17">
              <w:t>The Cancer Genome Atlas</w:t>
            </w:r>
            <w:r>
              <w:t>,</w:t>
            </w:r>
            <w:r w:rsidRPr="00C21E17">
              <w:t xml:space="preserve"> </w:t>
            </w:r>
            <w:r>
              <w:t>PanCancer Atlas</w:t>
            </w:r>
            <w:r w:rsidR="006E5B78">
              <w:t xml:space="preserve"> </w:t>
            </w:r>
            <w:r w:rsidR="008B0566">
              <w:rPr>
                <w:noProof/>
              </w:rPr>
              <w:t>(34)</w:t>
            </w:r>
          </w:p>
        </w:tc>
        <w:tc>
          <w:tcPr>
            <w:tcW w:w="3960" w:type="dxa"/>
            <w:shd w:val="clear" w:color="auto" w:fill="auto"/>
            <w:tcMar>
              <w:top w:w="100" w:type="dxa"/>
              <w:left w:w="100" w:type="dxa"/>
              <w:bottom w:w="100" w:type="dxa"/>
              <w:right w:w="100" w:type="dxa"/>
            </w:tcMar>
          </w:tcPr>
          <w:p w14:paraId="782D2792" w14:textId="7AC95600" w:rsidR="00A07F6A" w:rsidRDefault="00E93FEA" w:rsidP="002F58C4">
            <w:pPr>
              <w:widowControl w:val="0"/>
              <w:pBdr>
                <w:top w:val="nil"/>
                <w:left w:val="nil"/>
                <w:bottom w:val="nil"/>
                <w:right w:val="nil"/>
                <w:between w:val="nil"/>
              </w:pBdr>
              <w:spacing w:line="240" w:lineRule="auto"/>
            </w:pPr>
            <w:r>
              <w:t>Profiled in 1084 samples. 9 samples (0.8%) have a deep deletion. No samples have LOF mutations.</w:t>
            </w:r>
          </w:p>
        </w:tc>
        <w:tc>
          <w:tcPr>
            <w:tcW w:w="4320" w:type="dxa"/>
            <w:shd w:val="clear" w:color="auto" w:fill="auto"/>
            <w:tcMar>
              <w:top w:w="100" w:type="dxa"/>
              <w:left w:w="100" w:type="dxa"/>
              <w:bottom w:w="100" w:type="dxa"/>
              <w:right w:w="100" w:type="dxa"/>
            </w:tcMar>
          </w:tcPr>
          <w:p w14:paraId="775415AE" w14:textId="49499D05" w:rsidR="00A07F6A" w:rsidRPr="00E93FEA" w:rsidRDefault="00E93FEA" w:rsidP="002F58C4">
            <w:pPr>
              <w:widowControl w:val="0"/>
              <w:pBdr>
                <w:top w:val="nil"/>
                <w:left w:val="nil"/>
                <w:bottom w:val="nil"/>
                <w:right w:val="nil"/>
                <w:between w:val="nil"/>
              </w:pBdr>
              <w:spacing w:line="240" w:lineRule="auto"/>
              <w:rPr>
                <w:lang w:val="en-US"/>
              </w:rPr>
            </w:pPr>
            <w:r>
              <w:t xml:space="preserve">Profiled in 1084 samples. 15 samples (1.4%) have a deep deletion. No samples have </w:t>
            </w:r>
            <w:r w:rsidR="00CD77BA">
              <w:t xml:space="preserve">a </w:t>
            </w:r>
            <w:r>
              <w:t>LOF mutation.</w:t>
            </w:r>
          </w:p>
        </w:tc>
      </w:tr>
      <w:tr w:rsidR="006E5B78" w14:paraId="39D55214" w14:textId="77777777" w:rsidTr="00917D92">
        <w:tc>
          <w:tcPr>
            <w:tcW w:w="2510" w:type="dxa"/>
            <w:shd w:val="clear" w:color="auto" w:fill="auto"/>
            <w:tcMar>
              <w:top w:w="100" w:type="dxa"/>
              <w:left w:w="100" w:type="dxa"/>
              <w:bottom w:w="100" w:type="dxa"/>
              <w:right w:w="100" w:type="dxa"/>
            </w:tcMar>
          </w:tcPr>
          <w:p w14:paraId="32C8EDB9" w14:textId="4864BACC" w:rsidR="00A07F6A" w:rsidRDefault="00C21E17" w:rsidP="002F58C4">
            <w:pPr>
              <w:widowControl w:val="0"/>
              <w:pBdr>
                <w:top w:val="nil"/>
                <w:left w:val="nil"/>
                <w:bottom w:val="nil"/>
                <w:right w:val="nil"/>
                <w:between w:val="nil"/>
              </w:pBdr>
              <w:spacing w:line="240" w:lineRule="auto"/>
            </w:pPr>
            <w:r>
              <w:t>METABRIC</w:t>
            </w:r>
            <w:r w:rsidR="006E5B78">
              <w:t xml:space="preserve"> </w:t>
            </w:r>
            <w:r w:rsidR="008B0566">
              <w:rPr>
                <w:noProof/>
              </w:rPr>
              <w:t>(35)</w:t>
            </w:r>
          </w:p>
        </w:tc>
        <w:tc>
          <w:tcPr>
            <w:tcW w:w="3960" w:type="dxa"/>
            <w:shd w:val="clear" w:color="auto" w:fill="auto"/>
            <w:tcMar>
              <w:top w:w="100" w:type="dxa"/>
              <w:left w:w="100" w:type="dxa"/>
              <w:bottom w:w="100" w:type="dxa"/>
              <w:right w:w="100" w:type="dxa"/>
            </w:tcMar>
          </w:tcPr>
          <w:p w14:paraId="6154AC32" w14:textId="6DC641A7" w:rsidR="00A07F6A" w:rsidRDefault="00E93FEA" w:rsidP="002F58C4">
            <w:pPr>
              <w:widowControl w:val="0"/>
              <w:pBdr>
                <w:top w:val="nil"/>
                <w:left w:val="nil"/>
                <w:bottom w:val="nil"/>
                <w:right w:val="nil"/>
                <w:between w:val="nil"/>
              </w:pBdr>
              <w:spacing w:line="240" w:lineRule="auto"/>
            </w:pPr>
            <w:r>
              <w:t>Profiled in 2509 samples. 9 samples (0.4%) have a deep deletion. 13 samples (0.5%) have a LOF mutation.</w:t>
            </w:r>
          </w:p>
        </w:tc>
        <w:tc>
          <w:tcPr>
            <w:tcW w:w="4320" w:type="dxa"/>
            <w:shd w:val="clear" w:color="auto" w:fill="auto"/>
            <w:tcMar>
              <w:top w:w="100" w:type="dxa"/>
              <w:left w:w="100" w:type="dxa"/>
              <w:bottom w:w="100" w:type="dxa"/>
              <w:right w:w="100" w:type="dxa"/>
            </w:tcMar>
          </w:tcPr>
          <w:p w14:paraId="085ED9C7" w14:textId="5D3662C5" w:rsidR="00A07F6A" w:rsidRDefault="00E93FEA" w:rsidP="002F58C4">
            <w:pPr>
              <w:widowControl w:val="0"/>
              <w:pBdr>
                <w:top w:val="nil"/>
                <w:left w:val="nil"/>
                <w:bottom w:val="nil"/>
                <w:right w:val="nil"/>
                <w:between w:val="nil"/>
              </w:pBdr>
              <w:spacing w:line="240" w:lineRule="auto"/>
            </w:pPr>
            <w:r>
              <w:t xml:space="preserve">Profiled in 2509 samples. </w:t>
            </w:r>
            <w:r w:rsidR="00CD77BA">
              <w:t>7</w:t>
            </w:r>
            <w:r>
              <w:t xml:space="preserve"> samples (0.</w:t>
            </w:r>
            <w:r w:rsidR="00CD77BA">
              <w:t>2</w:t>
            </w:r>
            <w:r>
              <w:t xml:space="preserve">%) have a deep deletion. </w:t>
            </w:r>
            <w:r w:rsidR="00CD77BA">
              <w:t>No samples have a LOF mutation</w:t>
            </w:r>
            <w:r>
              <w:t>.</w:t>
            </w:r>
          </w:p>
        </w:tc>
      </w:tr>
      <w:tr w:rsidR="006E5B78" w14:paraId="614715BA" w14:textId="77777777" w:rsidTr="00917D92">
        <w:tc>
          <w:tcPr>
            <w:tcW w:w="2510" w:type="dxa"/>
            <w:shd w:val="clear" w:color="auto" w:fill="auto"/>
            <w:tcMar>
              <w:top w:w="100" w:type="dxa"/>
              <w:left w:w="100" w:type="dxa"/>
              <w:bottom w:w="100" w:type="dxa"/>
              <w:right w:w="100" w:type="dxa"/>
            </w:tcMar>
          </w:tcPr>
          <w:p w14:paraId="47BA983D" w14:textId="0948D2E9" w:rsidR="00A07F6A" w:rsidRDefault="00C21E17" w:rsidP="002F58C4">
            <w:pPr>
              <w:widowControl w:val="0"/>
              <w:spacing w:line="240" w:lineRule="auto"/>
            </w:pPr>
            <w:r>
              <w:t>MSK IMPACT 2018</w:t>
            </w:r>
            <w:r w:rsidR="006E5B78">
              <w:t xml:space="preserve"> </w:t>
            </w:r>
            <w:r w:rsidR="008B0566">
              <w:rPr>
                <w:noProof/>
              </w:rPr>
              <w:t>(36)</w:t>
            </w:r>
          </w:p>
        </w:tc>
        <w:tc>
          <w:tcPr>
            <w:tcW w:w="3960" w:type="dxa"/>
            <w:shd w:val="clear" w:color="auto" w:fill="auto"/>
            <w:tcMar>
              <w:top w:w="100" w:type="dxa"/>
              <w:left w:w="100" w:type="dxa"/>
              <w:bottom w:w="100" w:type="dxa"/>
              <w:right w:w="100" w:type="dxa"/>
            </w:tcMar>
          </w:tcPr>
          <w:p w14:paraId="5C6F473B" w14:textId="5135A922" w:rsidR="00A07F6A" w:rsidRDefault="00E93FEA" w:rsidP="002F58C4">
            <w:pPr>
              <w:widowControl w:val="0"/>
              <w:pBdr>
                <w:top w:val="nil"/>
                <w:left w:val="nil"/>
                <w:bottom w:val="nil"/>
                <w:right w:val="nil"/>
                <w:between w:val="nil"/>
              </w:pBdr>
              <w:spacing w:line="240" w:lineRule="auto"/>
            </w:pPr>
            <w:r>
              <w:t>Not profiled in the gene panel used.</w:t>
            </w:r>
          </w:p>
        </w:tc>
        <w:tc>
          <w:tcPr>
            <w:tcW w:w="4320" w:type="dxa"/>
            <w:shd w:val="clear" w:color="auto" w:fill="auto"/>
            <w:tcMar>
              <w:top w:w="100" w:type="dxa"/>
              <w:left w:w="100" w:type="dxa"/>
              <w:bottom w:w="100" w:type="dxa"/>
              <w:right w:w="100" w:type="dxa"/>
            </w:tcMar>
          </w:tcPr>
          <w:p w14:paraId="340C91EE" w14:textId="568CCE23" w:rsidR="00A07F6A" w:rsidRDefault="00E93FEA" w:rsidP="002F58C4">
            <w:pPr>
              <w:widowControl w:val="0"/>
              <w:pBdr>
                <w:top w:val="nil"/>
                <w:left w:val="nil"/>
                <w:bottom w:val="nil"/>
                <w:right w:val="nil"/>
                <w:between w:val="nil"/>
              </w:pBdr>
              <w:spacing w:line="240" w:lineRule="auto"/>
            </w:pPr>
            <w:r>
              <w:rPr>
                <w:lang w:val="en-US"/>
              </w:rPr>
              <w:t xml:space="preserve">Profiled in the gene panel used in </w:t>
            </w:r>
            <w:r w:rsidR="00CD77BA">
              <w:rPr>
                <w:lang w:val="en-US"/>
              </w:rPr>
              <w:t>1486</w:t>
            </w:r>
            <w:r>
              <w:rPr>
                <w:lang w:val="en-US"/>
              </w:rPr>
              <w:t xml:space="preserve"> samples.</w:t>
            </w:r>
            <w:r w:rsidR="00CD77BA">
              <w:rPr>
                <w:lang w:val="en-US"/>
              </w:rPr>
              <w:t xml:space="preserve"> 2 samples (0.1%) have a deep deletion. 3 samples from 2 patients (2 independent samples, 0.1%) have a LOF mutation.</w:t>
            </w:r>
          </w:p>
        </w:tc>
      </w:tr>
      <w:tr w:rsidR="006E5B78" w14:paraId="0E6C3B7D" w14:textId="77777777" w:rsidTr="00917D92">
        <w:tc>
          <w:tcPr>
            <w:tcW w:w="2510" w:type="dxa"/>
            <w:shd w:val="clear" w:color="auto" w:fill="auto"/>
            <w:tcMar>
              <w:top w:w="100" w:type="dxa"/>
              <w:left w:w="100" w:type="dxa"/>
              <w:bottom w:w="100" w:type="dxa"/>
              <w:right w:w="100" w:type="dxa"/>
            </w:tcMar>
          </w:tcPr>
          <w:p w14:paraId="1DD71E1C" w14:textId="0FA941B1" w:rsidR="00C21E17" w:rsidRDefault="00C21E17" w:rsidP="002F58C4">
            <w:pPr>
              <w:widowControl w:val="0"/>
              <w:spacing w:line="240" w:lineRule="auto"/>
            </w:pPr>
            <w:r>
              <w:t>The Metastatic Breast Cancer Project</w:t>
            </w:r>
            <w:r w:rsidR="006E5B78">
              <w:t xml:space="preserve"> </w:t>
            </w:r>
            <w:r w:rsidR="008B0566">
              <w:rPr>
                <w:noProof/>
              </w:rPr>
              <w:t>(37)</w:t>
            </w:r>
          </w:p>
        </w:tc>
        <w:tc>
          <w:tcPr>
            <w:tcW w:w="3960" w:type="dxa"/>
            <w:shd w:val="clear" w:color="auto" w:fill="auto"/>
            <w:tcMar>
              <w:top w:w="100" w:type="dxa"/>
              <w:left w:w="100" w:type="dxa"/>
              <w:bottom w:w="100" w:type="dxa"/>
              <w:right w:w="100" w:type="dxa"/>
            </w:tcMar>
          </w:tcPr>
          <w:p w14:paraId="60AAE0B3" w14:textId="0ACA9000" w:rsidR="00C21E17" w:rsidRDefault="00CD77BA" w:rsidP="002F58C4">
            <w:pPr>
              <w:widowControl w:val="0"/>
              <w:pBdr>
                <w:top w:val="nil"/>
                <w:left w:val="nil"/>
                <w:bottom w:val="nil"/>
                <w:right w:val="nil"/>
                <w:between w:val="nil"/>
              </w:pBdr>
              <w:spacing w:line="240" w:lineRule="auto"/>
            </w:pPr>
            <w:r>
              <w:t>Profiled in 237 samples. 2 samples (0.8%) have a deep deletion. No samples have a LOF mutation.</w:t>
            </w:r>
          </w:p>
        </w:tc>
        <w:tc>
          <w:tcPr>
            <w:tcW w:w="4320" w:type="dxa"/>
            <w:shd w:val="clear" w:color="auto" w:fill="auto"/>
            <w:tcMar>
              <w:top w:w="100" w:type="dxa"/>
              <w:left w:w="100" w:type="dxa"/>
              <w:bottom w:w="100" w:type="dxa"/>
              <w:right w:w="100" w:type="dxa"/>
            </w:tcMar>
          </w:tcPr>
          <w:p w14:paraId="167B2CA4" w14:textId="14EFD771" w:rsidR="00C21E17" w:rsidRDefault="00CD77BA" w:rsidP="002F58C4">
            <w:pPr>
              <w:widowControl w:val="0"/>
              <w:pBdr>
                <w:top w:val="nil"/>
                <w:left w:val="nil"/>
                <w:bottom w:val="nil"/>
                <w:right w:val="nil"/>
                <w:between w:val="nil"/>
              </w:pBdr>
              <w:spacing w:line="240" w:lineRule="auto"/>
              <w:rPr>
                <w:color w:val="000000"/>
              </w:rPr>
            </w:pPr>
            <w:r>
              <w:t>Profiled in 237 samples. 1 sample (0.4%) has a deep deletion. No samples have a LOF mutation.</w:t>
            </w:r>
          </w:p>
        </w:tc>
      </w:tr>
      <w:tr w:rsidR="006E5B78" w:rsidRPr="00245632" w14:paraId="3136D1A5" w14:textId="77777777" w:rsidTr="00917D92">
        <w:tc>
          <w:tcPr>
            <w:tcW w:w="2510" w:type="dxa"/>
            <w:shd w:val="clear" w:color="auto" w:fill="auto"/>
            <w:tcMar>
              <w:top w:w="100" w:type="dxa"/>
              <w:left w:w="100" w:type="dxa"/>
              <w:bottom w:w="100" w:type="dxa"/>
              <w:right w:w="100" w:type="dxa"/>
            </w:tcMar>
          </w:tcPr>
          <w:p w14:paraId="7F19583C" w14:textId="034BD49C" w:rsidR="00A07F6A" w:rsidRPr="00ED3151" w:rsidRDefault="00C21E17" w:rsidP="002F58C4">
            <w:pPr>
              <w:widowControl w:val="0"/>
              <w:pBdr>
                <w:top w:val="nil"/>
                <w:left w:val="nil"/>
                <w:bottom w:val="nil"/>
                <w:right w:val="nil"/>
                <w:between w:val="nil"/>
              </w:pBdr>
              <w:spacing w:line="240" w:lineRule="auto"/>
              <w:rPr>
                <w:lang w:val="en-US"/>
              </w:rPr>
            </w:pPr>
            <w:r>
              <w:t xml:space="preserve">Analysis of </w:t>
            </w:r>
            <w:r w:rsidRPr="00C21E17">
              <w:t xml:space="preserve">phase I/II trial </w:t>
            </w:r>
            <w:r>
              <w:t>of</w:t>
            </w:r>
            <w:r w:rsidRPr="00C21E17">
              <w:t xml:space="preserve"> alpelisib </w:t>
            </w:r>
            <w:r>
              <w:t xml:space="preserve">+ </w:t>
            </w:r>
            <w:r w:rsidRPr="00C21E17">
              <w:t>an aromatase inhibitor</w:t>
            </w:r>
            <w:r w:rsidR="00ED3151">
              <w:t xml:space="preserve"> </w:t>
            </w:r>
            <w:r w:rsidR="008B0566">
              <w:rPr>
                <w:noProof/>
              </w:rPr>
              <w:t>(30)</w:t>
            </w:r>
          </w:p>
        </w:tc>
        <w:tc>
          <w:tcPr>
            <w:tcW w:w="3960" w:type="dxa"/>
            <w:shd w:val="clear" w:color="auto" w:fill="auto"/>
            <w:tcMar>
              <w:top w:w="100" w:type="dxa"/>
              <w:left w:w="100" w:type="dxa"/>
              <w:bottom w:w="100" w:type="dxa"/>
              <w:right w:w="100" w:type="dxa"/>
            </w:tcMar>
          </w:tcPr>
          <w:p w14:paraId="0A5AE392" w14:textId="48F34412" w:rsidR="00A07F6A" w:rsidRDefault="00245632" w:rsidP="002F58C4">
            <w:pPr>
              <w:widowControl w:val="0"/>
              <w:pBdr>
                <w:top w:val="nil"/>
                <w:left w:val="nil"/>
                <w:bottom w:val="nil"/>
                <w:right w:val="nil"/>
                <w:between w:val="nil"/>
              </w:pBdr>
              <w:spacing w:line="240" w:lineRule="auto"/>
            </w:pPr>
            <w:r>
              <w:t xml:space="preserve">Not </w:t>
            </w:r>
            <w:r w:rsidR="00E93FEA">
              <w:t>profiled</w:t>
            </w:r>
            <w:r>
              <w:t xml:space="preserve"> in </w:t>
            </w:r>
            <w:r w:rsidR="00E93FEA">
              <w:t xml:space="preserve">the </w:t>
            </w:r>
            <w:r>
              <w:t>gene panel used.</w:t>
            </w:r>
          </w:p>
        </w:tc>
        <w:tc>
          <w:tcPr>
            <w:tcW w:w="4320" w:type="dxa"/>
            <w:shd w:val="clear" w:color="auto" w:fill="auto"/>
            <w:tcMar>
              <w:top w:w="100" w:type="dxa"/>
              <w:left w:w="100" w:type="dxa"/>
              <w:bottom w:w="100" w:type="dxa"/>
              <w:right w:w="100" w:type="dxa"/>
            </w:tcMar>
          </w:tcPr>
          <w:p w14:paraId="5BD90F8F" w14:textId="179129A4" w:rsidR="00A07F6A" w:rsidRPr="00245632" w:rsidRDefault="00E93FEA" w:rsidP="002F58C4">
            <w:pPr>
              <w:widowControl w:val="0"/>
              <w:pBdr>
                <w:top w:val="nil"/>
                <w:left w:val="nil"/>
                <w:bottom w:val="nil"/>
                <w:right w:val="nil"/>
                <w:between w:val="nil"/>
              </w:pBdr>
              <w:spacing w:line="240" w:lineRule="auto"/>
              <w:rPr>
                <w:lang w:val="en-US"/>
              </w:rPr>
            </w:pPr>
            <w:r>
              <w:rPr>
                <w:lang w:val="en-US"/>
              </w:rPr>
              <w:t>Profiled</w:t>
            </w:r>
            <w:r w:rsidR="00245632">
              <w:rPr>
                <w:lang w:val="en-US"/>
              </w:rPr>
              <w:t xml:space="preserve"> in the gene panel used in 20 out of 141 samples. One primary sample had a loss-of-function mutation </w:t>
            </w:r>
            <w:r w:rsidR="00245632" w:rsidRPr="00245632">
              <w:rPr>
                <w:lang w:val="en-US"/>
              </w:rPr>
              <w:t>(</w:t>
            </w:r>
            <w:r w:rsidR="00245632" w:rsidRPr="00245632">
              <w:rPr>
                <w:i/>
                <w:lang w:val="en-US"/>
              </w:rPr>
              <w:t>FOXO1</w:t>
            </w:r>
            <w:r w:rsidR="00245632" w:rsidRPr="00245632">
              <w:rPr>
                <w:lang w:val="en-US"/>
              </w:rPr>
              <w:t xml:space="preserve"> Q529*)</w:t>
            </w:r>
            <w:r w:rsidR="00245632">
              <w:rPr>
                <w:lang w:val="en-US"/>
              </w:rPr>
              <w:t>. T</w:t>
            </w:r>
            <w:r w:rsidR="00245632" w:rsidRPr="00245632">
              <w:rPr>
                <w:lang w:val="en-US"/>
              </w:rPr>
              <w:t xml:space="preserve">he patient </w:t>
            </w:r>
            <w:r w:rsidR="006E5B78">
              <w:rPr>
                <w:lang w:val="en-US"/>
              </w:rPr>
              <w:t>(</w:t>
            </w:r>
            <w:r w:rsidR="006E5B78" w:rsidRPr="006E5B78">
              <w:rPr>
                <w:lang w:val="en-US"/>
              </w:rPr>
              <w:t>Patient P-0003179 (P050)</w:t>
            </w:r>
            <w:r w:rsidR="006E5B78">
              <w:rPr>
                <w:lang w:val="en-US"/>
              </w:rPr>
              <w:t xml:space="preserve">) </w:t>
            </w:r>
            <w:r w:rsidR="00245632" w:rsidRPr="00245632">
              <w:rPr>
                <w:lang w:val="en-US"/>
              </w:rPr>
              <w:t xml:space="preserve">had no clinical benefit from alpelisib + exemestane, and did not have genomic alterations in </w:t>
            </w:r>
            <w:r w:rsidR="00245632" w:rsidRPr="00245632">
              <w:rPr>
                <w:i/>
                <w:lang w:val="en-US"/>
              </w:rPr>
              <w:t>PTEN</w:t>
            </w:r>
            <w:r w:rsidR="00245632" w:rsidRPr="00245632">
              <w:rPr>
                <w:lang w:val="en-US"/>
              </w:rPr>
              <w:t xml:space="preserve"> </w:t>
            </w:r>
            <w:r w:rsidR="00245632">
              <w:rPr>
                <w:lang w:val="en-US"/>
              </w:rPr>
              <w:t>or</w:t>
            </w:r>
            <w:r w:rsidR="00245632" w:rsidRPr="00245632">
              <w:rPr>
                <w:lang w:val="en-US"/>
              </w:rPr>
              <w:t xml:space="preserve"> </w:t>
            </w:r>
            <w:r w:rsidR="00245632" w:rsidRPr="00245632">
              <w:rPr>
                <w:i/>
                <w:lang w:val="en-US"/>
              </w:rPr>
              <w:t>ESR1</w:t>
            </w:r>
            <w:r w:rsidR="00245632">
              <w:rPr>
                <w:lang w:val="en-US"/>
              </w:rPr>
              <w:t xml:space="preserve">. </w:t>
            </w:r>
            <w:r w:rsidR="000343AE">
              <w:rPr>
                <w:lang w:val="en-US"/>
              </w:rPr>
              <w:t>O</w:t>
            </w:r>
            <w:r w:rsidR="000343AE" w:rsidRPr="000343AE">
              <w:rPr>
                <w:lang w:val="en-US"/>
              </w:rPr>
              <w:t>ther annotated mutations in the patient</w:t>
            </w:r>
            <w:r w:rsidR="000343AE">
              <w:rPr>
                <w:lang w:val="en-US"/>
              </w:rPr>
              <w:t xml:space="preserve"> are </w:t>
            </w:r>
            <w:r w:rsidR="000343AE" w:rsidRPr="000343AE">
              <w:rPr>
                <w:i/>
                <w:lang w:val="en-US"/>
              </w:rPr>
              <w:t>TP53</w:t>
            </w:r>
            <w:r w:rsidR="000343AE">
              <w:rPr>
                <w:lang w:val="en-US"/>
              </w:rPr>
              <w:t xml:space="preserve"> </w:t>
            </w:r>
            <w:r w:rsidR="000343AE" w:rsidRPr="000343AE">
              <w:rPr>
                <w:lang w:val="en-US"/>
              </w:rPr>
              <w:t>K320*, and the hotspot mutations</w:t>
            </w:r>
            <w:r w:rsidR="000343AE">
              <w:rPr>
                <w:lang w:val="en-US"/>
              </w:rPr>
              <w:t xml:space="preserve"> </w:t>
            </w:r>
            <w:r w:rsidR="000343AE" w:rsidRPr="000343AE">
              <w:rPr>
                <w:i/>
                <w:lang w:val="en-US"/>
              </w:rPr>
              <w:t>PIK3CA</w:t>
            </w:r>
            <w:r w:rsidR="000343AE" w:rsidRPr="000343AE">
              <w:rPr>
                <w:lang w:val="en-US"/>
              </w:rPr>
              <w:t xml:space="preserve"> E524K</w:t>
            </w:r>
            <w:r w:rsidR="000343AE">
              <w:rPr>
                <w:lang w:val="en-US"/>
              </w:rPr>
              <w:t>,</w:t>
            </w:r>
            <w:r w:rsidR="000343AE" w:rsidRPr="000343AE">
              <w:rPr>
                <w:lang w:val="en-US"/>
              </w:rPr>
              <w:t xml:space="preserve"> </w:t>
            </w:r>
            <w:r w:rsidR="000343AE" w:rsidRPr="000343AE">
              <w:rPr>
                <w:i/>
                <w:lang w:val="en-US"/>
              </w:rPr>
              <w:t>ERBB3</w:t>
            </w:r>
            <w:r w:rsidR="000343AE" w:rsidRPr="000343AE">
              <w:rPr>
                <w:lang w:val="en-US"/>
              </w:rPr>
              <w:t xml:space="preserve"> E928G</w:t>
            </w:r>
            <w:r w:rsidR="000343AE">
              <w:rPr>
                <w:lang w:val="en-US"/>
              </w:rPr>
              <w:t>,</w:t>
            </w:r>
            <w:r w:rsidR="000343AE" w:rsidRPr="000343AE">
              <w:rPr>
                <w:lang w:val="en-US"/>
              </w:rPr>
              <w:t xml:space="preserve"> and </w:t>
            </w:r>
            <w:r w:rsidR="000343AE" w:rsidRPr="000343AE">
              <w:rPr>
                <w:i/>
                <w:lang w:val="en-US"/>
              </w:rPr>
              <w:t>ERCC2</w:t>
            </w:r>
            <w:r w:rsidR="000343AE" w:rsidRPr="000343AE">
              <w:rPr>
                <w:lang w:val="en-US"/>
              </w:rPr>
              <w:t xml:space="preserve"> N238S</w:t>
            </w:r>
            <w:r w:rsidR="000343AE">
              <w:rPr>
                <w:lang w:val="en-US"/>
              </w:rPr>
              <w:t>.</w:t>
            </w:r>
          </w:p>
        </w:tc>
      </w:tr>
    </w:tbl>
    <w:p w14:paraId="2BDDEE61" w14:textId="7DCFF762" w:rsidR="00180659" w:rsidRPr="00245632" w:rsidRDefault="00180659">
      <w:pPr>
        <w:rPr>
          <w:b/>
          <w:color w:val="000000" w:themeColor="text1"/>
          <w:lang w:val="en-US"/>
        </w:rPr>
      </w:pPr>
      <w:r w:rsidRPr="00245632">
        <w:rPr>
          <w:b/>
          <w:color w:val="000000" w:themeColor="text1"/>
          <w:lang w:val="en-US"/>
        </w:rPr>
        <w:br w:type="page"/>
      </w:r>
    </w:p>
    <w:p w14:paraId="0272BC2C" w14:textId="77777777" w:rsidR="00180659" w:rsidRDefault="00180659" w:rsidP="00180659">
      <w:r>
        <w:rPr>
          <w:b/>
        </w:rPr>
        <w:lastRenderedPageBreak/>
        <w:t>Supplemental Table S2.</w:t>
      </w:r>
      <w:r>
        <w:t xml:space="preserve"> </w:t>
      </w:r>
      <w:r w:rsidRPr="000343AE">
        <w:rPr>
          <w:b/>
        </w:rPr>
        <w:t>Compilation of key experimental and clinical outcomes in ER+ breast cancer reproduced by the 2020 model.</w:t>
      </w:r>
    </w:p>
    <w:p w14:paraId="06A9A148" w14:textId="77777777" w:rsidR="00180659" w:rsidRDefault="00180659" w:rsidP="00180659"/>
    <w:tbl>
      <w:tblPr>
        <w:tblW w:w="9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90"/>
        <w:gridCol w:w="2250"/>
        <w:gridCol w:w="2340"/>
      </w:tblGrid>
      <w:tr w:rsidR="00180659" w14:paraId="1B70308F" w14:textId="77777777" w:rsidTr="00180659">
        <w:tc>
          <w:tcPr>
            <w:tcW w:w="5390" w:type="dxa"/>
            <w:shd w:val="clear" w:color="auto" w:fill="auto"/>
            <w:tcMar>
              <w:top w:w="100" w:type="dxa"/>
              <w:left w:w="100" w:type="dxa"/>
              <w:bottom w:w="100" w:type="dxa"/>
              <w:right w:w="100" w:type="dxa"/>
            </w:tcMar>
          </w:tcPr>
          <w:p w14:paraId="349CEA9A" w14:textId="77777777" w:rsidR="00180659" w:rsidRDefault="00180659" w:rsidP="00180659">
            <w:pPr>
              <w:widowControl w:val="0"/>
              <w:pBdr>
                <w:top w:val="nil"/>
                <w:left w:val="nil"/>
                <w:bottom w:val="nil"/>
                <w:right w:val="nil"/>
                <w:between w:val="nil"/>
              </w:pBdr>
              <w:spacing w:line="240" w:lineRule="auto"/>
              <w:rPr>
                <w:b/>
              </w:rPr>
            </w:pPr>
            <w:r>
              <w:rPr>
                <w:b/>
              </w:rPr>
              <w:t>Experimental or clinical outcome</w:t>
            </w:r>
          </w:p>
        </w:tc>
        <w:tc>
          <w:tcPr>
            <w:tcW w:w="2250" w:type="dxa"/>
            <w:shd w:val="clear" w:color="auto" w:fill="auto"/>
            <w:tcMar>
              <w:top w:w="100" w:type="dxa"/>
              <w:left w:w="100" w:type="dxa"/>
              <w:bottom w:w="100" w:type="dxa"/>
              <w:right w:w="100" w:type="dxa"/>
            </w:tcMar>
          </w:tcPr>
          <w:p w14:paraId="02E0DD32" w14:textId="77777777" w:rsidR="00180659" w:rsidRDefault="00180659" w:rsidP="00180659">
            <w:pPr>
              <w:widowControl w:val="0"/>
              <w:pBdr>
                <w:top w:val="nil"/>
                <w:left w:val="nil"/>
                <w:bottom w:val="nil"/>
                <w:right w:val="nil"/>
                <w:between w:val="nil"/>
              </w:pBdr>
              <w:spacing w:line="240" w:lineRule="auto"/>
              <w:rPr>
                <w:b/>
              </w:rPr>
            </w:pPr>
            <w:r>
              <w:rPr>
                <w:b/>
              </w:rPr>
              <w:t>Reproduced by the model? (Y/N)</w:t>
            </w:r>
          </w:p>
        </w:tc>
        <w:tc>
          <w:tcPr>
            <w:tcW w:w="2340" w:type="dxa"/>
            <w:shd w:val="clear" w:color="auto" w:fill="auto"/>
            <w:tcMar>
              <w:top w:w="100" w:type="dxa"/>
              <w:left w:w="100" w:type="dxa"/>
              <w:bottom w:w="100" w:type="dxa"/>
              <w:right w:w="100" w:type="dxa"/>
            </w:tcMar>
          </w:tcPr>
          <w:p w14:paraId="079287CB" w14:textId="77777777" w:rsidR="00180659" w:rsidRDefault="00180659" w:rsidP="00180659">
            <w:pPr>
              <w:widowControl w:val="0"/>
              <w:pBdr>
                <w:top w:val="nil"/>
                <w:left w:val="nil"/>
                <w:bottom w:val="nil"/>
                <w:right w:val="nil"/>
                <w:between w:val="nil"/>
              </w:pBdr>
              <w:spacing w:line="240" w:lineRule="auto"/>
              <w:rPr>
                <w:b/>
              </w:rPr>
            </w:pPr>
            <w:r>
              <w:rPr>
                <w:b/>
              </w:rPr>
              <w:t>Reference</w:t>
            </w:r>
          </w:p>
        </w:tc>
      </w:tr>
      <w:tr w:rsidR="00180659" w:rsidRPr="00E65535" w14:paraId="457E3E60" w14:textId="77777777" w:rsidTr="00180659">
        <w:tc>
          <w:tcPr>
            <w:tcW w:w="5390" w:type="dxa"/>
            <w:shd w:val="clear" w:color="auto" w:fill="auto"/>
            <w:tcMar>
              <w:top w:w="100" w:type="dxa"/>
              <w:left w:w="100" w:type="dxa"/>
              <w:bottom w:w="100" w:type="dxa"/>
              <w:right w:w="100" w:type="dxa"/>
            </w:tcMar>
          </w:tcPr>
          <w:p w14:paraId="3A039A72" w14:textId="77777777" w:rsidR="00180659" w:rsidRDefault="00180659" w:rsidP="00180659">
            <w:pPr>
              <w:widowControl w:val="0"/>
              <w:pBdr>
                <w:top w:val="nil"/>
                <w:left w:val="nil"/>
                <w:bottom w:val="nil"/>
                <w:right w:val="nil"/>
                <w:between w:val="nil"/>
              </w:pBdr>
              <w:spacing w:line="240" w:lineRule="auto"/>
            </w:pPr>
            <w:r>
              <w:t>PTEN loss-of-function is a resistance mechanism to PI3Kα inhibitors</w:t>
            </w:r>
          </w:p>
        </w:tc>
        <w:tc>
          <w:tcPr>
            <w:tcW w:w="2250" w:type="dxa"/>
            <w:shd w:val="clear" w:color="auto" w:fill="auto"/>
            <w:tcMar>
              <w:top w:w="100" w:type="dxa"/>
              <w:left w:w="100" w:type="dxa"/>
              <w:bottom w:w="100" w:type="dxa"/>
              <w:right w:w="100" w:type="dxa"/>
            </w:tcMar>
          </w:tcPr>
          <w:p w14:paraId="3748D8B6"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00AE9B08" w14:textId="4B1B6BCE" w:rsidR="00180659" w:rsidRPr="00B81B18" w:rsidRDefault="008B0566" w:rsidP="00180659">
            <w:pPr>
              <w:widowControl w:val="0"/>
              <w:pBdr>
                <w:top w:val="nil"/>
                <w:left w:val="nil"/>
                <w:bottom w:val="nil"/>
                <w:right w:val="nil"/>
                <w:between w:val="nil"/>
              </w:pBdr>
              <w:spacing w:line="240" w:lineRule="auto"/>
              <w:rPr>
                <w:lang w:val="es-ES"/>
              </w:rPr>
            </w:pPr>
            <w:r>
              <w:rPr>
                <w:noProof/>
                <w:color w:val="000000"/>
                <w:lang w:val="es-ES"/>
              </w:rPr>
              <w:t>(30,38,39)</w:t>
            </w:r>
          </w:p>
        </w:tc>
      </w:tr>
      <w:tr w:rsidR="00180659" w14:paraId="34928F43" w14:textId="77777777" w:rsidTr="00180659">
        <w:tc>
          <w:tcPr>
            <w:tcW w:w="5390" w:type="dxa"/>
            <w:shd w:val="clear" w:color="auto" w:fill="auto"/>
            <w:tcMar>
              <w:top w:w="100" w:type="dxa"/>
              <w:left w:w="100" w:type="dxa"/>
              <w:bottom w:w="100" w:type="dxa"/>
              <w:right w:w="100" w:type="dxa"/>
            </w:tcMar>
          </w:tcPr>
          <w:p w14:paraId="172BB2C2" w14:textId="77777777" w:rsidR="00180659" w:rsidRDefault="00180659" w:rsidP="00180659">
            <w:pPr>
              <w:widowControl w:val="0"/>
              <w:pBdr>
                <w:top w:val="nil"/>
                <w:left w:val="nil"/>
                <w:bottom w:val="nil"/>
                <w:right w:val="nil"/>
                <w:between w:val="nil"/>
              </w:pBdr>
              <w:spacing w:line="240" w:lineRule="auto"/>
            </w:pPr>
            <w:r>
              <w:t>TSC1/2 knockdown is a resistance mechanism to PI3Kα inhibitors</w:t>
            </w:r>
          </w:p>
        </w:tc>
        <w:tc>
          <w:tcPr>
            <w:tcW w:w="2250" w:type="dxa"/>
            <w:shd w:val="clear" w:color="auto" w:fill="auto"/>
            <w:tcMar>
              <w:top w:w="100" w:type="dxa"/>
              <w:left w:w="100" w:type="dxa"/>
              <w:bottom w:w="100" w:type="dxa"/>
              <w:right w:w="100" w:type="dxa"/>
            </w:tcMar>
          </w:tcPr>
          <w:p w14:paraId="02757F2B"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709C3B0F" w14:textId="4D3C6CA1" w:rsidR="00180659" w:rsidRDefault="00ED0217" w:rsidP="00180659">
            <w:pPr>
              <w:widowControl w:val="0"/>
              <w:pBdr>
                <w:top w:val="nil"/>
                <w:left w:val="nil"/>
                <w:bottom w:val="nil"/>
                <w:right w:val="nil"/>
                <w:between w:val="nil"/>
              </w:pBdr>
              <w:spacing w:line="240" w:lineRule="auto"/>
            </w:pPr>
            <w:r>
              <w:rPr>
                <w:noProof/>
                <w:color w:val="000000"/>
              </w:rPr>
              <w:t>(26)</w:t>
            </w:r>
          </w:p>
        </w:tc>
      </w:tr>
      <w:tr w:rsidR="00180659" w14:paraId="7F4FD4B1" w14:textId="77777777" w:rsidTr="00180659">
        <w:tc>
          <w:tcPr>
            <w:tcW w:w="5390" w:type="dxa"/>
            <w:shd w:val="clear" w:color="auto" w:fill="auto"/>
            <w:tcMar>
              <w:top w:w="100" w:type="dxa"/>
              <w:left w:w="100" w:type="dxa"/>
              <w:bottom w:w="100" w:type="dxa"/>
              <w:right w:w="100" w:type="dxa"/>
            </w:tcMar>
          </w:tcPr>
          <w:p w14:paraId="758EBB9A" w14:textId="77777777" w:rsidR="00180659" w:rsidRDefault="00180659" w:rsidP="00180659">
            <w:pPr>
              <w:widowControl w:val="0"/>
              <w:spacing w:line="240" w:lineRule="auto"/>
            </w:pPr>
            <w:r>
              <w:t>Sustained mTORC1 activity is sufficient for resistance to PI3Kα inhibitors</w:t>
            </w:r>
          </w:p>
        </w:tc>
        <w:tc>
          <w:tcPr>
            <w:tcW w:w="2250" w:type="dxa"/>
            <w:shd w:val="clear" w:color="auto" w:fill="auto"/>
            <w:tcMar>
              <w:top w:w="100" w:type="dxa"/>
              <w:left w:w="100" w:type="dxa"/>
              <w:bottom w:w="100" w:type="dxa"/>
              <w:right w:w="100" w:type="dxa"/>
            </w:tcMar>
          </w:tcPr>
          <w:p w14:paraId="7FC000F9"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03F23E61" w14:textId="6B0690A2" w:rsidR="00180659" w:rsidRDefault="00016378" w:rsidP="00180659">
            <w:pPr>
              <w:widowControl w:val="0"/>
              <w:pBdr>
                <w:top w:val="nil"/>
                <w:left w:val="nil"/>
                <w:bottom w:val="nil"/>
                <w:right w:val="nil"/>
                <w:between w:val="nil"/>
              </w:pBdr>
              <w:spacing w:line="240" w:lineRule="auto"/>
            </w:pPr>
            <w:r>
              <w:rPr>
                <w:noProof/>
                <w:color w:val="000000"/>
              </w:rPr>
              <w:t>(26)</w:t>
            </w:r>
          </w:p>
        </w:tc>
      </w:tr>
      <w:tr w:rsidR="00180659" w:rsidRPr="00E65535" w14:paraId="1580A372" w14:textId="77777777" w:rsidTr="00180659">
        <w:tc>
          <w:tcPr>
            <w:tcW w:w="5390" w:type="dxa"/>
            <w:shd w:val="clear" w:color="auto" w:fill="auto"/>
            <w:tcMar>
              <w:top w:w="100" w:type="dxa"/>
              <w:left w:w="100" w:type="dxa"/>
              <w:bottom w:w="100" w:type="dxa"/>
              <w:right w:w="100" w:type="dxa"/>
            </w:tcMar>
          </w:tcPr>
          <w:p w14:paraId="349F991D" w14:textId="77777777" w:rsidR="00180659" w:rsidRDefault="00180659" w:rsidP="00180659">
            <w:pPr>
              <w:widowControl w:val="0"/>
              <w:pBdr>
                <w:top w:val="nil"/>
                <w:left w:val="nil"/>
                <w:bottom w:val="nil"/>
                <w:right w:val="nil"/>
                <w:between w:val="nil"/>
              </w:pBdr>
              <w:spacing w:line="240" w:lineRule="auto"/>
            </w:pPr>
            <w:r>
              <w:t>High PIM expression is a resistance mechanism to PI3Kα inhibitors</w:t>
            </w:r>
          </w:p>
        </w:tc>
        <w:tc>
          <w:tcPr>
            <w:tcW w:w="2250" w:type="dxa"/>
            <w:shd w:val="clear" w:color="auto" w:fill="auto"/>
            <w:tcMar>
              <w:top w:w="100" w:type="dxa"/>
              <w:left w:w="100" w:type="dxa"/>
              <w:bottom w:w="100" w:type="dxa"/>
              <w:right w:w="100" w:type="dxa"/>
            </w:tcMar>
          </w:tcPr>
          <w:p w14:paraId="69C1CF77"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4B40F194" w14:textId="46866B33" w:rsidR="00180659" w:rsidRPr="00B81B18" w:rsidRDefault="008B0566" w:rsidP="00180659">
            <w:pPr>
              <w:widowControl w:val="0"/>
              <w:pBdr>
                <w:top w:val="nil"/>
                <w:left w:val="nil"/>
                <w:bottom w:val="nil"/>
                <w:right w:val="nil"/>
                <w:between w:val="nil"/>
              </w:pBdr>
              <w:spacing w:line="240" w:lineRule="auto"/>
              <w:rPr>
                <w:lang w:val="es-ES"/>
              </w:rPr>
            </w:pPr>
            <w:r>
              <w:rPr>
                <w:noProof/>
                <w:color w:val="000000"/>
                <w:lang w:val="es-ES"/>
              </w:rPr>
              <w:t>(18,40)</w:t>
            </w:r>
          </w:p>
        </w:tc>
      </w:tr>
      <w:tr w:rsidR="00180659" w14:paraId="735EA84D" w14:textId="77777777" w:rsidTr="00180659">
        <w:tc>
          <w:tcPr>
            <w:tcW w:w="5390" w:type="dxa"/>
            <w:shd w:val="clear" w:color="auto" w:fill="auto"/>
            <w:tcMar>
              <w:top w:w="100" w:type="dxa"/>
              <w:left w:w="100" w:type="dxa"/>
              <w:bottom w:w="100" w:type="dxa"/>
              <w:right w:w="100" w:type="dxa"/>
            </w:tcMar>
          </w:tcPr>
          <w:p w14:paraId="030AF661" w14:textId="77777777" w:rsidR="00180659" w:rsidRDefault="00180659" w:rsidP="00180659">
            <w:pPr>
              <w:widowControl w:val="0"/>
              <w:pBdr>
                <w:top w:val="nil"/>
                <w:left w:val="nil"/>
                <w:bottom w:val="nil"/>
                <w:right w:val="nil"/>
                <w:between w:val="nil"/>
              </w:pBdr>
              <w:spacing w:line="240" w:lineRule="auto"/>
            </w:pPr>
            <w:r>
              <w:t>High PDK1/SGK1 expression is a resistance mechanism to PI3Kα inhibitors</w:t>
            </w:r>
          </w:p>
        </w:tc>
        <w:tc>
          <w:tcPr>
            <w:tcW w:w="2250" w:type="dxa"/>
            <w:shd w:val="clear" w:color="auto" w:fill="auto"/>
            <w:tcMar>
              <w:top w:w="100" w:type="dxa"/>
              <w:left w:w="100" w:type="dxa"/>
              <w:bottom w:w="100" w:type="dxa"/>
              <w:right w:w="100" w:type="dxa"/>
            </w:tcMar>
          </w:tcPr>
          <w:p w14:paraId="569A8FEC"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029042C8" w14:textId="2B115034" w:rsidR="00180659" w:rsidRDefault="008B0566" w:rsidP="00180659">
            <w:pPr>
              <w:widowControl w:val="0"/>
              <w:pBdr>
                <w:top w:val="nil"/>
                <w:left w:val="nil"/>
                <w:bottom w:val="nil"/>
                <w:right w:val="nil"/>
                <w:between w:val="nil"/>
              </w:pBdr>
              <w:spacing w:line="240" w:lineRule="auto"/>
            </w:pPr>
            <w:r>
              <w:rPr>
                <w:noProof/>
                <w:color w:val="000000"/>
              </w:rPr>
              <w:t>(41)</w:t>
            </w:r>
          </w:p>
        </w:tc>
      </w:tr>
      <w:tr w:rsidR="00180659" w:rsidRPr="00E65535" w14:paraId="695B0097" w14:textId="77777777" w:rsidTr="00180659">
        <w:tc>
          <w:tcPr>
            <w:tcW w:w="5390" w:type="dxa"/>
            <w:shd w:val="clear" w:color="auto" w:fill="auto"/>
            <w:tcMar>
              <w:top w:w="100" w:type="dxa"/>
              <w:left w:w="100" w:type="dxa"/>
              <w:bottom w:w="100" w:type="dxa"/>
              <w:right w:w="100" w:type="dxa"/>
            </w:tcMar>
          </w:tcPr>
          <w:p w14:paraId="116B9447" w14:textId="77777777" w:rsidR="00180659" w:rsidRDefault="00180659" w:rsidP="00180659">
            <w:pPr>
              <w:widowControl w:val="0"/>
              <w:spacing w:line="240" w:lineRule="auto"/>
            </w:pPr>
            <w:r>
              <w:t>High MYC expression is a resistance mechanism to PI3K inhibitors</w:t>
            </w:r>
          </w:p>
        </w:tc>
        <w:tc>
          <w:tcPr>
            <w:tcW w:w="2250" w:type="dxa"/>
            <w:shd w:val="clear" w:color="auto" w:fill="auto"/>
            <w:tcMar>
              <w:top w:w="100" w:type="dxa"/>
              <w:left w:w="100" w:type="dxa"/>
              <w:bottom w:w="100" w:type="dxa"/>
              <w:right w:w="100" w:type="dxa"/>
            </w:tcMar>
          </w:tcPr>
          <w:p w14:paraId="67242D66"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71EE9870" w14:textId="257D0F54" w:rsidR="00180659" w:rsidRPr="00B81B18" w:rsidRDefault="00016378" w:rsidP="00180659">
            <w:pPr>
              <w:widowControl w:val="0"/>
              <w:pBdr>
                <w:top w:val="nil"/>
                <w:left w:val="nil"/>
                <w:bottom w:val="nil"/>
                <w:right w:val="nil"/>
                <w:between w:val="nil"/>
              </w:pBdr>
              <w:spacing w:line="240" w:lineRule="auto"/>
              <w:rPr>
                <w:lang w:val="es-ES"/>
              </w:rPr>
            </w:pPr>
            <w:r>
              <w:rPr>
                <w:noProof/>
                <w:color w:val="000000"/>
                <w:lang w:val="es-ES"/>
              </w:rPr>
              <w:t>(13–15)</w:t>
            </w:r>
          </w:p>
        </w:tc>
      </w:tr>
      <w:tr w:rsidR="00180659" w14:paraId="1844B791" w14:textId="77777777" w:rsidTr="00180659">
        <w:tc>
          <w:tcPr>
            <w:tcW w:w="5390" w:type="dxa"/>
            <w:shd w:val="clear" w:color="auto" w:fill="auto"/>
            <w:tcMar>
              <w:top w:w="100" w:type="dxa"/>
              <w:left w:w="100" w:type="dxa"/>
              <w:bottom w:w="100" w:type="dxa"/>
              <w:right w:w="100" w:type="dxa"/>
            </w:tcMar>
          </w:tcPr>
          <w:p w14:paraId="63327D17" w14:textId="77777777" w:rsidR="00180659" w:rsidRDefault="00180659" w:rsidP="00180659">
            <w:pPr>
              <w:widowControl w:val="0"/>
              <w:spacing w:line="240" w:lineRule="auto"/>
            </w:pPr>
            <w:r>
              <w:t>High IGF1R activity is a resistance mechanism to PI3Kα inhibitors</w:t>
            </w:r>
          </w:p>
        </w:tc>
        <w:tc>
          <w:tcPr>
            <w:tcW w:w="2250" w:type="dxa"/>
            <w:shd w:val="clear" w:color="auto" w:fill="auto"/>
            <w:tcMar>
              <w:top w:w="100" w:type="dxa"/>
              <w:left w:w="100" w:type="dxa"/>
              <w:bottom w:w="100" w:type="dxa"/>
              <w:right w:w="100" w:type="dxa"/>
            </w:tcMar>
          </w:tcPr>
          <w:p w14:paraId="22F5CC33"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4AA78922" w14:textId="514D6B2C" w:rsidR="00180659" w:rsidRDefault="008B0566" w:rsidP="00180659">
            <w:pPr>
              <w:widowControl w:val="0"/>
              <w:pBdr>
                <w:top w:val="nil"/>
                <w:left w:val="nil"/>
                <w:bottom w:val="nil"/>
                <w:right w:val="nil"/>
                <w:between w:val="nil"/>
              </w:pBdr>
              <w:spacing w:line="240" w:lineRule="auto"/>
            </w:pPr>
            <w:r>
              <w:rPr>
                <w:noProof/>
                <w:color w:val="000000"/>
              </w:rPr>
              <w:t>(32)</w:t>
            </w:r>
          </w:p>
        </w:tc>
      </w:tr>
      <w:tr w:rsidR="00180659" w14:paraId="4DE6C98C" w14:textId="77777777" w:rsidTr="00180659">
        <w:tc>
          <w:tcPr>
            <w:tcW w:w="5390" w:type="dxa"/>
            <w:shd w:val="clear" w:color="auto" w:fill="auto"/>
            <w:tcMar>
              <w:top w:w="100" w:type="dxa"/>
              <w:left w:w="100" w:type="dxa"/>
              <w:bottom w:w="100" w:type="dxa"/>
              <w:right w:w="100" w:type="dxa"/>
            </w:tcMar>
          </w:tcPr>
          <w:p w14:paraId="1F4303D4" w14:textId="77777777" w:rsidR="00180659" w:rsidRDefault="00180659" w:rsidP="00180659">
            <w:pPr>
              <w:widowControl w:val="0"/>
              <w:spacing w:line="240" w:lineRule="auto"/>
            </w:pPr>
            <w:r>
              <w:t>HER3-inducing microenvironment induces resistance to PI3K inhibitors</w:t>
            </w:r>
          </w:p>
        </w:tc>
        <w:tc>
          <w:tcPr>
            <w:tcW w:w="2250" w:type="dxa"/>
            <w:shd w:val="clear" w:color="auto" w:fill="auto"/>
            <w:tcMar>
              <w:top w:w="100" w:type="dxa"/>
              <w:left w:w="100" w:type="dxa"/>
              <w:bottom w:w="100" w:type="dxa"/>
              <w:right w:w="100" w:type="dxa"/>
            </w:tcMar>
          </w:tcPr>
          <w:p w14:paraId="68F6A0CC"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5883A892" w14:textId="27F1AEEF" w:rsidR="00180659" w:rsidRDefault="005C21D8" w:rsidP="00180659">
            <w:pPr>
              <w:widowControl w:val="0"/>
              <w:pBdr>
                <w:top w:val="nil"/>
                <w:left w:val="nil"/>
                <w:bottom w:val="nil"/>
                <w:right w:val="nil"/>
                <w:between w:val="nil"/>
              </w:pBdr>
              <w:spacing w:line="240" w:lineRule="auto"/>
            </w:pPr>
            <w:r>
              <w:rPr>
                <w:noProof/>
                <w:color w:val="000000"/>
              </w:rPr>
              <w:t>(9)</w:t>
            </w:r>
          </w:p>
        </w:tc>
      </w:tr>
      <w:tr w:rsidR="00180659" w14:paraId="44ACCF4E" w14:textId="77777777" w:rsidTr="00180659">
        <w:tc>
          <w:tcPr>
            <w:tcW w:w="5390" w:type="dxa"/>
            <w:shd w:val="clear" w:color="auto" w:fill="auto"/>
            <w:tcMar>
              <w:top w:w="100" w:type="dxa"/>
              <w:left w:w="100" w:type="dxa"/>
              <w:bottom w:w="100" w:type="dxa"/>
              <w:right w:w="100" w:type="dxa"/>
            </w:tcMar>
          </w:tcPr>
          <w:p w14:paraId="29CED7E7" w14:textId="77777777" w:rsidR="00180659" w:rsidRDefault="00180659" w:rsidP="00180659">
            <w:pPr>
              <w:widowControl w:val="0"/>
              <w:pBdr>
                <w:top w:val="nil"/>
                <w:left w:val="nil"/>
                <w:bottom w:val="nil"/>
                <w:right w:val="nil"/>
                <w:between w:val="nil"/>
              </w:pBdr>
              <w:spacing w:line="240" w:lineRule="auto"/>
            </w:pPr>
            <w:r>
              <w:t>Upregulation of ESR1 expression induces resistance to PI3Kα inhibitors</w:t>
            </w:r>
          </w:p>
        </w:tc>
        <w:tc>
          <w:tcPr>
            <w:tcW w:w="2250" w:type="dxa"/>
            <w:shd w:val="clear" w:color="auto" w:fill="auto"/>
            <w:tcMar>
              <w:top w:w="100" w:type="dxa"/>
              <w:left w:w="100" w:type="dxa"/>
              <w:bottom w:w="100" w:type="dxa"/>
              <w:right w:w="100" w:type="dxa"/>
            </w:tcMar>
          </w:tcPr>
          <w:p w14:paraId="7F3D7CCD" w14:textId="77777777" w:rsidR="00180659" w:rsidRDefault="00180659" w:rsidP="00180659">
            <w:pPr>
              <w:widowControl w:val="0"/>
              <w:pBdr>
                <w:top w:val="nil"/>
                <w:left w:val="nil"/>
                <w:bottom w:val="nil"/>
                <w:right w:val="nil"/>
                <w:between w:val="nil"/>
              </w:pBdr>
              <w:spacing w:line="240" w:lineRule="auto"/>
            </w:pPr>
            <w:r>
              <w:t>Y (in ER microenvironment)</w:t>
            </w:r>
          </w:p>
        </w:tc>
        <w:tc>
          <w:tcPr>
            <w:tcW w:w="2340" w:type="dxa"/>
            <w:shd w:val="clear" w:color="auto" w:fill="auto"/>
            <w:tcMar>
              <w:top w:w="100" w:type="dxa"/>
              <w:left w:w="100" w:type="dxa"/>
              <w:bottom w:w="100" w:type="dxa"/>
              <w:right w:w="100" w:type="dxa"/>
            </w:tcMar>
          </w:tcPr>
          <w:p w14:paraId="74E9B40A" w14:textId="3EBEAE9A" w:rsidR="00180659" w:rsidRDefault="00016378" w:rsidP="00180659">
            <w:pPr>
              <w:widowControl w:val="0"/>
              <w:pBdr>
                <w:top w:val="nil"/>
                <w:left w:val="nil"/>
                <w:bottom w:val="nil"/>
                <w:right w:val="nil"/>
                <w:between w:val="nil"/>
              </w:pBdr>
              <w:spacing w:line="240" w:lineRule="auto"/>
            </w:pPr>
            <w:r>
              <w:rPr>
                <w:noProof/>
                <w:color w:val="000000"/>
              </w:rPr>
              <w:t>(4)</w:t>
            </w:r>
          </w:p>
        </w:tc>
      </w:tr>
      <w:tr w:rsidR="00180659" w14:paraId="220B3782" w14:textId="77777777" w:rsidTr="00180659">
        <w:tc>
          <w:tcPr>
            <w:tcW w:w="5390" w:type="dxa"/>
            <w:shd w:val="clear" w:color="auto" w:fill="auto"/>
            <w:tcMar>
              <w:top w:w="100" w:type="dxa"/>
              <w:left w:w="100" w:type="dxa"/>
              <w:bottom w:w="100" w:type="dxa"/>
              <w:right w:w="100" w:type="dxa"/>
            </w:tcMar>
          </w:tcPr>
          <w:p w14:paraId="3499BDED" w14:textId="77777777" w:rsidR="00180659" w:rsidRDefault="00180659" w:rsidP="00180659">
            <w:pPr>
              <w:widowControl w:val="0"/>
              <w:pBdr>
                <w:top w:val="nil"/>
                <w:left w:val="nil"/>
                <w:bottom w:val="nil"/>
                <w:right w:val="nil"/>
                <w:between w:val="nil"/>
              </w:pBdr>
              <w:spacing w:line="240" w:lineRule="auto"/>
            </w:pPr>
            <w:r>
              <w:t>Rb knockdown is a resistance mechanism to CDK4/6 inhibitors</w:t>
            </w:r>
          </w:p>
        </w:tc>
        <w:tc>
          <w:tcPr>
            <w:tcW w:w="2250" w:type="dxa"/>
            <w:shd w:val="clear" w:color="auto" w:fill="auto"/>
            <w:tcMar>
              <w:top w:w="100" w:type="dxa"/>
              <w:left w:w="100" w:type="dxa"/>
              <w:bottom w:w="100" w:type="dxa"/>
              <w:right w:w="100" w:type="dxa"/>
            </w:tcMar>
          </w:tcPr>
          <w:p w14:paraId="0917F7BB"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7787711C" w14:textId="5F251DA3" w:rsidR="00180659" w:rsidRDefault="008B0566" w:rsidP="00180659">
            <w:pPr>
              <w:widowControl w:val="0"/>
              <w:pBdr>
                <w:top w:val="nil"/>
                <w:left w:val="nil"/>
                <w:bottom w:val="nil"/>
                <w:right w:val="nil"/>
                <w:between w:val="nil"/>
              </w:pBdr>
              <w:spacing w:line="240" w:lineRule="auto"/>
            </w:pPr>
            <w:r>
              <w:rPr>
                <w:noProof/>
                <w:color w:val="000000"/>
              </w:rPr>
              <w:t>(42)</w:t>
            </w:r>
          </w:p>
        </w:tc>
      </w:tr>
      <w:tr w:rsidR="00180659" w14:paraId="5CA2F6BB" w14:textId="77777777" w:rsidTr="00180659">
        <w:tc>
          <w:tcPr>
            <w:tcW w:w="5390" w:type="dxa"/>
            <w:shd w:val="clear" w:color="auto" w:fill="auto"/>
            <w:tcMar>
              <w:top w:w="100" w:type="dxa"/>
              <w:left w:w="100" w:type="dxa"/>
              <w:bottom w:w="100" w:type="dxa"/>
              <w:right w:w="100" w:type="dxa"/>
            </w:tcMar>
          </w:tcPr>
          <w:p w14:paraId="235D4547" w14:textId="77777777" w:rsidR="00180659" w:rsidRDefault="00180659" w:rsidP="00180659">
            <w:pPr>
              <w:widowControl w:val="0"/>
              <w:spacing w:line="240" w:lineRule="auto"/>
            </w:pPr>
            <w:r>
              <w:t>Rb knockdown causes a small reduction in sensitivity to fulvestrant</w:t>
            </w:r>
          </w:p>
        </w:tc>
        <w:tc>
          <w:tcPr>
            <w:tcW w:w="2250" w:type="dxa"/>
            <w:shd w:val="clear" w:color="auto" w:fill="auto"/>
            <w:tcMar>
              <w:top w:w="100" w:type="dxa"/>
              <w:left w:w="100" w:type="dxa"/>
              <w:bottom w:w="100" w:type="dxa"/>
              <w:right w:w="100" w:type="dxa"/>
            </w:tcMar>
          </w:tcPr>
          <w:p w14:paraId="4C378078"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084866F8" w14:textId="2E2AC82C" w:rsidR="00180659" w:rsidRDefault="00016378" w:rsidP="00180659">
            <w:pPr>
              <w:widowControl w:val="0"/>
              <w:pBdr>
                <w:top w:val="nil"/>
                <w:left w:val="nil"/>
                <w:bottom w:val="nil"/>
                <w:right w:val="nil"/>
                <w:between w:val="nil"/>
              </w:pBdr>
              <w:spacing w:line="240" w:lineRule="auto"/>
            </w:pPr>
            <w:r>
              <w:rPr>
                <w:noProof/>
                <w:color w:val="000000"/>
              </w:rPr>
              <w:t>(27)</w:t>
            </w:r>
          </w:p>
        </w:tc>
      </w:tr>
      <w:tr w:rsidR="00180659" w14:paraId="1501789E" w14:textId="77777777" w:rsidTr="00180659">
        <w:tc>
          <w:tcPr>
            <w:tcW w:w="5390" w:type="dxa"/>
            <w:shd w:val="clear" w:color="auto" w:fill="auto"/>
            <w:tcMar>
              <w:top w:w="100" w:type="dxa"/>
              <w:left w:w="100" w:type="dxa"/>
              <w:bottom w:w="100" w:type="dxa"/>
              <w:right w:w="100" w:type="dxa"/>
            </w:tcMar>
          </w:tcPr>
          <w:p w14:paraId="72E05E70" w14:textId="77777777" w:rsidR="00180659" w:rsidRDefault="00180659" w:rsidP="00180659">
            <w:pPr>
              <w:widowControl w:val="0"/>
              <w:spacing w:line="240" w:lineRule="auto"/>
            </w:pPr>
            <w:r>
              <w:t>FOXO3 knockdown reduces sensitivity to PI3Kα inhibitors</w:t>
            </w:r>
          </w:p>
        </w:tc>
        <w:tc>
          <w:tcPr>
            <w:tcW w:w="2250" w:type="dxa"/>
            <w:shd w:val="clear" w:color="auto" w:fill="auto"/>
            <w:tcMar>
              <w:top w:w="100" w:type="dxa"/>
              <w:left w:w="100" w:type="dxa"/>
              <w:bottom w:w="100" w:type="dxa"/>
              <w:right w:w="100" w:type="dxa"/>
            </w:tcMar>
          </w:tcPr>
          <w:p w14:paraId="2493EE38"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5A2693D0" w14:textId="77777777" w:rsidR="00180659" w:rsidRDefault="00180659" w:rsidP="00180659">
            <w:pPr>
              <w:widowControl w:val="0"/>
              <w:spacing w:line="240" w:lineRule="auto"/>
            </w:pPr>
            <w:r>
              <w:t>This work</w:t>
            </w:r>
          </w:p>
        </w:tc>
      </w:tr>
      <w:tr w:rsidR="00180659" w14:paraId="79E46101" w14:textId="77777777" w:rsidTr="00180659">
        <w:tc>
          <w:tcPr>
            <w:tcW w:w="5390" w:type="dxa"/>
            <w:shd w:val="clear" w:color="auto" w:fill="auto"/>
            <w:tcMar>
              <w:top w:w="100" w:type="dxa"/>
              <w:left w:w="100" w:type="dxa"/>
              <w:bottom w:w="100" w:type="dxa"/>
              <w:right w:w="100" w:type="dxa"/>
            </w:tcMar>
          </w:tcPr>
          <w:p w14:paraId="747D0802" w14:textId="77777777" w:rsidR="00180659" w:rsidRDefault="00180659" w:rsidP="00180659">
            <w:pPr>
              <w:widowControl w:val="0"/>
              <w:pBdr>
                <w:top w:val="nil"/>
                <w:left w:val="nil"/>
                <w:bottom w:val="nil"/>
                <w:right w:val="nil"/>
                <w:between w:val="nil"/>
              </w:pBdr>
              <w:spacing w:line="240" w:lineRule="auto"/>
            </w:pPr>
            <w:r>
              <w:t>Rb knockdown reduces sensitivity to PI3Kα inhibitors in T47D</w:t>
            </w:r>
          </w:p>
        </w:tc>
        <w:tc>
          <w:tcPr>
            <w:tcW w:w="2250" w:type="dxa"/>
            <w:shd w:val="clear" w:color="auto" w:fill="auto"/>
            <w:tcMar>
              <w:top w:w="100" w:type="dxa"/>
              <w:left w:w="100" w:type="dxa"/>
              <w:bottom w:w="100" w:type="dxa"/>
              <w:right w:w="100" w:type="dxa"/>
            </w:tcMar>
          </w:tcPr>
          <w:p w14:paraId="7BA920EB"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2260E2AA" w14:textId="77777777" w:rsidR="00180659" w:rsidRDefault="00180659" w:rsidP="00180659">
            <w:pPr>
              <w:widowControl w:val="0"/>
              <w:pBdr>
                <w:top w:val="nil"/>
                <w:left w:val="nil"/>
                <w:bottom w:val="nil"/>
                <w:right w:val="nil"/>
                <w:between w:val="nil"/>
              </w:pBdr>
              <w:spacing w:line="240" w:lineRule="auto"/>
            </w:pPr>
            <w:r>
              <w:t>This work</w:t>
            </w:r>
          </w:p>
        </w:tc>
      </w:tr>
      <w:tr w:rsidR="00180659" w14:paraId="6689D565" w14:textId="77777777" w:rsidTr="00180659">
        <w:tc>
          <w:tcPr>
            <w:tcW w:w="5390" w:type="dxa"/>
            <w:shd w:val="clear" w:color="auto" w:fill="auto"/>
            <w:tcMar>
              <w:top w:w="100" w:type="dxa"/>
              <w:left w:w="100" w:type="dxa"/>
              <w:bottom w:w="100" w:type="dxa"/>
              <w:right w:w="100" w:type="dxa"/>
            </w:tcMar>
          </w:tcPr>
          <w:p w14:paraId="496A6DFB" w14:textId="77777777" w:rsidR="00180659" w:rsidRDefault="00180659" w:rsidP="00180659">
            <w:pPr>
              <w:widowControl w:val="0"/>
              <w:spacing w:line="240" w:lineRule="auto"/>
            </w:pPr>
            <w:r>
              <w:t>Rb knockdown does not reduce sensitivity to PI3Kα inhibitors in MCF7</w:t>
            </w:r>
          </w:p>
        </w:tc>
        <w:tc>
          <w:tcPr>
            <w:tcW w:w="2250" w:type="dxa"/>
            <w:shd w:val="clear" w:color="auto" w:fill="auto"/>
            <w:tcMar>
              <w:top w:w="100" w:type="dxa"/>
              <w:left w:w="100" w:type="dxa"/>
              <w:bottom w:w="100" w:type="dxa"/>
              <w:right w:w="100" w:type="dxa"/>
            </w:tcMar>
          </w:tcPr>
          <w:p w14:paraId="130A1186" w14:textId="77777777" w:rsidR="00180659" w:rsidRDefault="00180659" w:rsidP="00180659">
            <w:pPr>
              <w:widowControl w:val="0"/>
              <w:pBdr>
                <w:top w:val="nil"/>
                <w:left w:val="nil"/>
                <w:bottom w:val="nil"/>
                <w:right w:val="nil"/>
                <w:between w:val="nil"/>
              </w:pBdr>
              <w:spacing w:line="240" w:lineRule="auto"/>
            </w:pPr>
            <w:r>
              <w:t>N</w:t>
            </w:r>
          </w:p>
        </w:tc>
        <w:tc>
          <w:tcPr>
            <w:tcW w:w="2340" w:type="dxa"/>
            <w:shd w:val="clear" w:color="auto" w:fill="auto"/>
            <w:tcMar>
              <w:top w:w="100" w:type="dxa"/>
              <w:left w:w="100" w:type="dxa"/>
              <w:bottom w:w="100" w:type="dxa"/>
              <w:right w:w="100" w:type="dxa"/>
            </w:tcMar>
          </w:tcPr>
          <w:p w14:paraId="044F0545" w14:textId="77777777" w:rsidR="00180659" w:rsidRDefault="00180659" w:rsidP="00180659">
            <w:pPr>
              <w:widowControl w:val="0"/>
              <w:spacing w:line="240" w:lineRule="auto"/>
            </w:pPr>
            <w:r>
              <w:t>This work</w:t>
            </w:r>
          </w:p>
        </w:tc>
      </w:tr>
      <w:tr w:rsidR="00180659" w14:paraId="6D907BEB" w14:textId="77777777" w:rsidTr="00180659">
        <w:tc>
          <w:tcPr>
            <w:tcW w:w="5390" w:type="dxa"/>
            <w:shd w:val="clear" w:color="auto" w:fill="auto"/>
            <w:tcMar>
              <w:top w:w="100" w:type="dxa"/>
              <w:left w:w="100" w:type="dxa"/>
              <w:bottom w:w="100" w:type="dxa"/>
              <w:right w:w="100" w:type="dxa"/>
            </w:tcMar>
          </w:tcPr>
          <w:p w14:paraId="50CC7FC6" w14:textId="77777777" w:rsidR="00180659" w:rsidRDefault="00180659" w:rsidP="00180659">
            <w:pPr>
              <w:widowControl w:val="0"/>
              <w:spacing w:line="240" w:lineRule="auto"/>
            </w:pPr>
            <w:r>
              <w:t>CDKN1B knockdown does not reduce sensitivity to PI3Kα inhibitors</w:t>
            </w:r>
          </w:p>
        </w:tc>
        <w:tc>
          <w:tcPr>
            <w:tcW w:w="2250" w:type="dxa"/>
            <w:shd w:val="clear" w:color="auto" w:fill="auto"/>
            <w:tcMar>
              <w:top w:w="100" w:type="dxa"/>
              <w:left w:w="100" w:type="dxa"/>
              <w:bottom w:w="100" w:type="dxa"/>
              <w:right w:w="100" w:type="dxa"/>
            </w:tcMar>
          </w:tcPr>
          <w:p w14:paraId="504EA0FA"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73826CAF" w14:textId="77777777" w:rsidR="00180659" w:rsidRDefault="00180659" w:rsidP="00180659">
            <w:pPr>
              <w:widowControl w:val="0"/>
              <w:spacing w:line="240" w:lineRule="auto"/>
            </w:pPr>
            <w:r>
              <w:t>This work</w:t>
            </w:r>
          </w:p>
        </w:tc>
      </w:tr>
      <w:tr w:rsidR="00180659" w14:paraId="081F3D84" w14:textId="77777777" w:rsidTr="00180659">
        <w:tc>
          <w:tcPr>
            <w:tcW w:w="5390" w:type="dxa"/>
            <w:shd w:val="clear" w:color="auto" w:fill="auto"/>
            <w:tcMar>
              <w:top w:w="100" w:type="dxa"/>
              <w:left w:w="100" w:type="dxa"/>
              <w:bottom w:w="100" w:type="dxa"/>
              <w:right w:w="100" w:type="dxa"/>
            </w:tcMar>
          </w:tcPr>
          <w:p w14:paraId="5AEEDA6F" w14:textId="77777777" w:rsidR="00180659" w:rsidRDefault="00180659" w:rsidP="00180659">
            <w:pPr>
              <w:widowControl w:val="0"/>
              <w:spacing w:line="240" w:lineRule="auto"/>
            </w:pPr>
            <w:r>
              <w:t>Alpelisib + fulvestrant is an efficacious drug combination</w:t>
            </w:r>
          </w:p>
        </w:tc>
        <w:tc>
          <w:tcPr>
            <w:tcW w:w="2250" w:type="dxa"/>
            <w:shd w:val="clear" w:color="auto" w:fill="auto"/>
            <w:tcMar>
              <w:top w:w="100" w:type="dxa"/>
              <w:left w:w="100" w:type="dxa"/>
              <w:bottom w:w="100" w:type="dxa"/>
              <w:right w:w="100" w:type="dxa"/>
            </w:tcMar>
          </w:tcPr>
          <w:p w14:paraId="183EBC1A"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39C2FAE0" w14:textId="344EDAAE" w:rsidR="00180659" w:rsidRDefault="008B0566" w:rsidP="00180659">
            <w:pPr>
              <w:widowControl w:val="0"/>
              <w:spacing w:line="240" w:lineRule="auto"/>
            </w:pPr>
            <w:r>
              <w:rPr>
                <w:noProof/>
                <w:color w:val="000000"/>
              </w:rPr>
              <w:t>(4,43)</w:t>
            </w:r>
          </w:p>
        </w:tc>
      </w:tr>
      <w:tr w:rsidR="00180659" w14:paraId="5859C713" w14:textId="77777777" w:rsidTr="00180659">
        <w:tc>
          <w:tcPr>
            <w:tcW w:w="5390" w:type="dxa"/>
            <w:shd w:val="clear" w:color="auto" w:fill="auto"/>
            <w:tcMar>
              <w:top w:w="100" w:type="dxa"/>
              <w:left w:w="100" w:type="dxa"/>
              <w:bottom w:w="100" w:type="dxa"/>
              <w:right w:w="100" w:type="dxa"/>
            </w:tcMar>
          </w:tcPr>
          <w:p w14:paraId="3187B823" w14:textId="77777777" w:rsidR="00180659" w:rsidRDefault="00180659" w:rsidP="00180659">
            <w:pPr>
              <w:widowControl w:val="0"/>
              <w:spacing w:line="240" w:lineRule="auto"/>
            </w:pPr>
            <w:r>
              <w:t xml:space="preserve">Alpelisib + fulvestrant is a synergistically efficacious </w:t>
            </w:r>
            <w:r>
              <w:lastRenderedPageBreak/>
              <w:t>drug combination in MCF7 and T47D</w:t>
            </w:r>
          </w:p>
        </w:tc>
        <w:tc>
          <w:tcPr>
            <w:tcW w:w="2250" w:type="dxa"/>
            <w:shd w:val="clear" w:color="auto" w:fill="auto"/>
            <w:tcMar>
              <w:top w:w="100" w:type="dxa"/>
              <w:left w:w="100" w:type="dxa"/>
              <w:bottom w:w="100" w:type="dxa"/>
              <w:right w:w="100" w:type="dxa"/>
            </w:tcMar>
          </w:tcPr>
          <w:p w14:paraId="3EAFDF9F" w14:textId="77777777" w:rsidR="00180659" w:rsidRDefault="00180659" w:rsidP="00180659">
            <w:pPr>
              <w:widowControl w:val="0"/>
              <w:pBdr>
                <w:top w:val="nil"/>
                <w:left w:val="nil"/>
                <w:bottom w:val="nil"/>
                <w:right w:val="nil"/>
                <w:between w:val="nil"/>
              </w:pBdr>
              <w:spacing w:line="240" w:lineRule="auto"/>
            </w:pPr>
            <w:r>
              <w:lastRenderedPageBreak/>
              <w:t>Y</w:t>
            </w:r>
          </w:p>
        </w:tc>
        <w:tc>
          <w:tcPr>
            <w:tcW w:w="2340" w:type="dxa"/>
            <w:shd w:val="clear" w:color="auto" w:fill="auto"/>
            <w:tcMar>
              <w:top w:w="100" w:type="dxa"/>
              <w:left w:w="100" w:type="dxa"/>
              <w:bottom w:w="100" w:type="dxa"/>
              <w:right w:w="100" w:type="dxa"/>
            </w:tcMar>
          </w:tcPr>
          <w:p w14:paraId="7C22A67B" w14:textId="77777777" w:rsidR="00180659" w:rsidRDefault="00180659" w:rsidP="00180659">
            <w:pPr>
              <w:widowControl w:val="0"/>
              <w:spacing w:line="240" w:lineRule="auto"/>
            </w:pPr>
            <w:r>
              <w:t>This work</w:t>
            </w:r>
          </w:p>
        </w:tc>
      </w:tr>
      <w:tr w:rsidR="00180659" w14:paraId="3B359369" w14:textId="77777777" w:rsidTr="00180659">
        <w:tc>
          <w:tcPr>
            <w:tcW w:w="5390" w:type="dxa"/>
            <w:shd w:val="clear" w:color="auto" w:fill="auto"/>
            <w:tcMar>
              <w:top w:w="100" w:type="dxa"/>
              <w:left w:w="100" w:type="dxa"/>
              <w:bottom w:w="100" w:type="dxa"/>
              <w:right w:w="100" w:type="dxa"/>
            </w:tcMar>
          </w:tcPr>
          <w:p w14:paraId="073710A1" w14:textId="77777777" w:rsidR="00180659" w:rsidRDefault="00180659" w:rsidP="00180659">
            <w:pPr>
              <w:widowControl w:val="0"/>
              <w:spacing w:line="240" w:lineRule="auto"/>
            </w:pPr>
            <w:r>
              <w:t>The combinations of alpelisib with everolimus, navitoclax, ipatasertib, or palbociclib are synergistically efficacious drug combinations in MCF7</w:t>
            </w:r>
          </w:p>
        </w:tc>
        <w:tc>
          <w:tcPr>
            <w:tcW w:w="2250" w:type="dxa"/>
            <w:shd w:val="clear" w:color="auto" w:fill="auto"/>
            <w:tcMar>
              <w:top w:w="100" w:type="dxa"/>
              <w:left w:w="100" w:type="dxa"/>
              <w:bottom w:w="100" w:type="dxa"/>
              <w:right w:w="100" w:type="dxa"/>
            </w:tcMar>
          </w:tcPr>
          <w:p w14:paraId="6685931A" w14:textId="77777777" w:rsidR="00180659" w:rsidRDefault="00180659" w:rsidP="00180659">
            <w:pPr>
              <w:widowControl w:val="0"/>
              <w:pBdr>
                <w:top w:val="nil"/>
                <w:left w:val="nil"/>
                <w:bottom w:val="nil"/>
                <w:right w:val="nil"/>
                <w:between w:val="nil"/>
              </w:pBdr>
              <w:spacing w:line="240" w:lineRule="auto"/>
            </w:pPr>
            <w:r>
              <w:t>N</w:t>
            </w:r>
          </w:p>
        </w:tc>
        <w:tc>
          <w:tcPr>
            <w:tcW w:w="2340" w:type="dxa"/>
            <w:shd w:val="clear" w:color="auto" w:fill="auto"/>
            <w:tcMar>
              <w:top w:w="100" w:type="dxa"/>
              <w:left w:w="100" w:type="dxa"/>
              <w:bottom w:w="100" w:type="dxa"/>
              <w:right w:w="100" w:type="dxa"/>
            </w:tcMar>
          </w:tcPr>
          <w:p w14:paraId="2D694981" w14:textId="77777777" w:rsidR="00180659" w:rsidRDefault="00180659" w:rsidP="00180659">
            <w:pPr>
              <w:widowControl w:val="0"/>
              <w:spacing w:line="240" w:lineRule="auto"/>
            </w:pPr>
            <w:r>
              <w:t>This work</w:t>
            </w:r>
          </w:p>
        </w:tc>
      </w:tr>
      <w:tr w:rsidR="00180659" w14:paraId="1A2ED89E" w14:textId="77777777" w:rsidTr="00180659">
        <w:tc>
          <w:tcPr>
            <w:tcW w:w="5390" w:type="dxa"/>
            <w:shd w:val="clear" w:color="auto" w:fill="auto"/>
            <w:tcMar>
              <w:top w:w="100" w:type="dxa"/>
              <w:left w:w="100" w:type="dxa"/>
              <w:bottom w:w="100" w:type="dxa"/>
              <w:right w:w="100" w:type="dxa"/>
            </w:tcMar>
          </w:tcPr>
          <w:p w14:paraId="1164E9CE" w14:textId="77777777" w:rsidR="00180659" w:rsidRDefault="00180659" w:rsidP="00180659">
            <w:pPr>
              <w:widowControl w:val="0"/>
              <w:spacing w:line="240" w:lineRule="auto"/>
            </w:pPr>
            <w:r>
              <w:t>The combinations of alpelisib with everolimus, s63845, or navitoclax are synergistically efficacious drug combinations in T47D</w:t>
            </w:r>
          </w:p>
        </w:tc>
        <w:tc>
          <w:tcPr>
            <w:tcW w:w="2250" w:type="dxa"/>
            <w:shd w:val="clear" w:color="auto" w:fill="auto"/>
            <w:tcMar>
              <w:top w:w="100" w:type="dxa"/>
              <w:left w:w="100" w:type="dxa"/>
              <w:bottom w:w="100" w:type="dxa"/>
              <w:right w:w="100" w:type="dxa"/>
            </w:tcMar>
          </w:tcPr>
          <w:p w14:paraId="676A4253" w14:textId="77777777" w:rsidR="00180659" w:rsidRDefault="00180659" w:rsidP="00180659">
            <w:pPr>
              <w:widowControl w:val="0"/>
              <w:pBdr>
                <w:top w:val="nil"/>
                <w:left w:val="nil"/>
                <w:bottom w:val="nil"/>
                <w:right w:val="nil"/>
                <w:between w:val="nil"/>
              </w:pBdr>
              <w:spacing w:line="240" w:lineRule="auto"/>
            </w:pPr>
            <w:r>
              <w:t>N</w:t>
            </w:r>
          </w:p>
        </w:tc>
        <w:tc>
          <w:tcPr>
            <w:tcW w:w="2340" w:type="dxa"/>
            <w:shd w:val="clear" w:color="auto" w:fill="auto"/>
            <w:tcMar>
              <w:top w:w="100" w:type="dxa"/>
              <w:left w:w="100" w:type="dxa"/>
              <w:bottom w:w="100" w:type="dxa"/>
              <w:right w:w="100" w:type="dxa"/>
            </w:tcMar>
          </w:tcPr>
          <w:p w14:paraId="727F56B8" w14:textId="77777777" w:rsidR="00180659" w:rsidRDefault="00180659" w:rsidP="00180659">
            <w:pPr>
              <w:widowControl w:val="0"/>
              <w:spacing w:line="240" w:lineRule="auto"/>
            </w:pPr>
            <w:r>
              <w:t>This work</w:t>
            </w:r>
          </w:p>
        </w:tc>
      </w:tr>
      <w:tr w:rsidR="00180659" w14:paraId="3B9DC5C4" w14:textId="77777777" w:rsidTr="00180659">
        <w:tc>
          <w:tcPr>
            <w:tcW w:w="5390" w:type="dxa"/>
            <w:shd w:val="clear" w:color="auto" w:fill="auto"/>
            <w:tcMar>
              <w:top w:w="100" w:type="dxa"/>
              <w:left w:w="100" w:type="dxa"/>
              <w:bottom w:w="100" w:type="dxa"/>
              <w:right w:w="100" w:type="dxa"/>
            </w:tcMar>
          </w:tcPr>
          <w:p w14:paraId="1238DDF9" w14:textId="77777777" w:rsidR="00180659" w:rsidRDefault="00180659" w:rsidP="00180659">
            <w:pPr>
              <w:widowControl w:val="0"/>
              <w:pBdr>
                <w:top w:val="nil"/>
                <w:left w:val="nil"/>
                <w:bottom w:val="nil"/>
                <w:right w:val="nil"/>
                <w:between w:val="nil"/>
              </w:pBdr>
              <w:spacing w:line="240" w:lineRule="auto"/>
            </w:pPr>
            <w:r>
              <w:t>Alpelisib + s63845 is a synergistically efficacious combination in MCF7 and induces more apoptosis than each drug on its own</w:t>
            </w:r>
          </w:p>
        </w:tc>
        <w:tc>
          <w:tcPr>
            <w:tcW w:w="2250" w:type="dxa"/>
            <w:shd w:val="clear" w:color="auto" w:fill="auto"/>
            <w:tcMar>
              <w:top w:w="100" w:type="dxa"/>
              <w:left w:w="100" w:type="dxa"/>
              <w:bottom w:w="100" w:type="dxa"/>
              <w:right w:w="100" w:type="dxa"/>
            </w:tcMar>
          </w:tcPr>
          <w:p w14:paraId="2AA85241"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16685551" w14:textId="77777777" w:rsidR="00180659" w:rsidRDefault="00180659" w:rsidP="00180659">
            <w:pPr>
              <w:widowControl w:val="0"/>
              <w:spacing w:line="240" w:lineRule="auto"/>
            </w:pPr>
            <w:r>
              <w:t>This work</w:t>
            </w:r>
          </w:p>
        </w:tc>
      </w:tr>
      <w:tr w:rsidR="00180659" w14:paraId="23B106A1" w14:textId="77777777" w:rsidTr="00180659">
        <w:tc>
          <w:tcPr>
            <w:tcW w:w="5390" w:type="dxa"/>
            <w:shd w:val="clear" w:color="auto" w:fill="auto"/>
            <w:tcMar>
              <w:top w:w="100" w:type="dxa"/>
              <w:left w:w="100" w:type="dxa"/>
              <w:bottom w:w="100" w:type="dxa"/>
              <w:right w:w="100" w:type="dxa"/>
            </w:tcMar>
          </w:tcPr>
          <w:p w14:paraId="2EB8B2AA" w14:textId="77777777" w:rsidR="00180659" w:rsidRDefault="00180659" w:rsidP="00180659">
            <w:pPr>
              <w:widowControl w:val="0"/>
              <w:spacing w:line="240" w:lineRule="auto"/>
            </w:pPr>
            <w:r>
              <w:t>Alpelisib + s63845 + navitoclax is a synergistically efficacious drug combination in T47D and induces more apoptosis than alpelisib or s63845 + navitoclax on their own</w:t>
            </w:r>
          </w:p>
        </w:tc>
        <w:tc>
          <w:tcPr>
            <w:tcW w:w="2250" w:type="dxa"/>
            <w:shd w:val="clear" w:color="auto" w:fill="auto"/>
            <w:tcMar>
              <w:top w:w="100" w:type="dxa"/>
              <w:left w:w="100" w:type="dxa"/>
              <w:bottom w:w="100" w:type="dxa"/>
              <w:right w:w="100" w:type="dxa"/>
            </w:tcMar>
          </w:tcPr>
          <w:p w14:paraId="7EAB0204"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017940A1" w14:textId="77777777" w:rsidR="00180659" w:rsidRDefault="00180659" w:rsidP="00180659">
            <w:pPr>
              <w:widowControl w:val="0"/>
              <w:spacing w:line="240" w:lineRule="auto"/>
            </w:pPr>
            <w:r>
              <w:t>This work</w:t>
            </w:r>
          </w:p>
        </w:tc>
      </w:tr>
      <w:tr w:rsidR="00180659" w14:paraId="28B22AD3" w14:textId="77777777" w:rsidTr="00180659">
        <w:tc>
          <w:tcPr>
            <w:tcW w:w="5390" w:type="dxa"/>
            <w:shd w:val="clear" w:color="auto" w:fill="auto"/>
            <w:tcMar>
              <w:top w:w="100" w:type="dxa"/>
              <w:left w:w="100" w:type="dxa"/>
              <w:bottom w:w="100" w:type="dxa"/>
              <w:right w:w="100" w:type="dxa"/>
            </w:tcMar>
          </w:tcPr>
          <w:p w14:paraId="5958136C" w14:textId="77777777" w:rsidR="00180659" w:rsidRDefault="00180659" w:rsidP="00180659">
            <w:pPr>
              <w:widowControl w:val="0"/>
              <w:spacing w:line="240" w:lineRule="auto"/>
            </w:pPr>
            <w:r>
              <w:t>S63845 induces apoptosis on its own in MCF7</w:t>
            </w:r>
          </w:p>
        </w:tc>
        <w:tc>
          <w:tcPr>
            <w:tcW w:w="2250" w:type="dxa"/>
            <w:shd w:val="clear" w:color="auto" w:fill="auto"/>
            <w:tcMar>
              <w:top w:w="100" w:type="dxa"/>
              <w:left w:w="100" w:type="dxa"/>
              <w:bottom w:w="100" w:type="dxa"/>
              <w:right w:w="100" w:type="dxa"/>
            </w:tcMar>
          </w:tcPr>
          <w:p w14:paraId="22EDFFC6"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1F7A0F85" w14:textId="77777777" w:rsidR="00180659" w:rsidRDefault="00180659" w:rsidP="00180659">
            <w:pPr>
              <w:widowControl w:val="0"/>
              <w:spacing w:line="240" w:lineRule="auto"/>
            </w:pPr>
            <w:r>
              <w:t>This work</w:t>
            </w:r>
          </w:p>
        </w:tc>
      </w:tr>
      <w:tr w:rsidR="00180659" w14:paraId="23AC4BEA" w14:textId="77777777" w:rsidTr="00180659">
        <w:tc>
          <w:tcPr>
            <w:tcW w:w="5390" w:type="dxa"/>
            <w:shd w:val="clear" w:color="auto" w:fill="auto"/>
            <w:tcMar>
              <w:top w:w="100" w:type="dxa"/>
              <w:left w:w="100" w:type="dxa"/>
              <w:bottom w:w="100" w:type="dxa"/>
              <w:right w:w="100" w:type="dxa"/>
            </w:tcMar>
          </w:tcPr>
          <w:p w14:paraId="56219B65" w14:textId="77777777" w:rsidR="00180659" w:rsidRDefault="00180659" w:rsidP="00180659">
            <w:pPr>
              <w:widowControl w:val="0"/>
              <w:spacing w:line="240" w:lineRule="auto"/>
            </w:pPr>
            <w:r>
              <w:t>S63845 + navitoclax induce apoptosis in combination but not on their own in T47D</w:t>
            </w:r>
          </w:p>
        </w:tc>
        <w:tc>
          <w:tcPr>
            <w:tcW w:w="2250" w:type="dxa"/>
            <w:shd w:val="clear" w:color="auto" w:fill="auto"/>
            <w:tcMar>
              <w:top w:w="100" w:type="dxa"/>
              <w:left w:w="100" w:type="dxa"/>
              <w:bottom w:w="100" w:type="dxa"/>
              <w:right w:w="100" w:type="dxa"/>
            </w:tcMar>
          </w:tcPr>
          <w:p w14:paraId="62535B1D"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32DB572E" w14:textId="77777777" w:rsidR="00180659" w:rsidRDefault="00180659" w:rsidP="00180659">
            <w:pPr>
              <w:widowControl w:val="0"/>
              <w:spacing w:line="240" w:lineRule="auto"/>
            </w:pPr>
            <w:r>
              <w:t>This work</w:t>
            </w:r>
          </w:p>
        </w:tc>
      </w:tr>
      <w:tr w:rsidR="00180659" w14:paraId="11D808A8" w14:textId="77777777" w:rsidTr="00180659">
        <w:tc>
          <w:tcPr>
            <w:tcW w:w="5390" w:type="dxa"/>
            <w:shd w:val="clear" w:color="auto" w:fill="auto"/>
            <w:tcMar>
              <w:top w:w="100" w:type="dxa"/>
              <w:left w:w="100" w:type="dxa"/>
              <w:bottom w:w="100" w:type="dxa"/>
              <w:right w:w="100" w:type="dxa"/>
            </w:tcMar>
          </w:tcPr>
          <w:p w14:paraId="23E91F6F" w14:textId="77777777" w:rsidR="00180659" w:rsidRDefault="00180659" w:rsidP="00180659">
            <w:pPr>
              <w:widowControl w:val="0"/>
              <w:spacing w:line="240" w:lineRule="auto"/>
            </w:pPr>
            <w:r>
              <w:t>Alpelisib induces a small amount of apoptosis in MCF7 and T47D</w:t>
            </w:r>
          </w:p>
        </w:tc>
        <w:tc>
          <w:tcPr>
            <w:tcW w:w="2250" w:type="dxa"/>
            <w:shd w:val="clear" w:color="auto" w:fill="auto"/>
            <w:tcMar>
              <w:top w:w="100" w:type="dxa"/>
              <w:left w:w="100" w:type="dxa"/>
              <w:bottom w:w="100" w:type="dxa"/>
              <w:right w:w="100" w:type="dxa"/>
            </w:tcMar>
          </w:tcPr>
          <w:p w14:paraId="4167AD7B" w14:textId="77777777" w:rsidR="00180659" w:rsidRDefault="00180659" w:rsidP="00180659">
            <w:pPr>
              <w:widowControl w:val="0"/>
              <w:pBdr>
                <w:top w:val="nil"/>
                <w:left w:val="nil"/>
                <w:bottom w:val="nil"/>
                <w:right w:val="nil"/>
                <w:between w:val="nil"/>
              </w:pBdr>
              <w:spacing w:line="240" w:lineRule="auto"/>
            </w:pPr>
            <w:r>
              <w:t>Y</w:t>
            </w:r>
          </w:p>
        </w:tc>
        <w:tc>
          <w:tcPr>
            <w:tcW w:w="2340" w:type="dxa"/>
            <w:shd w:val="clear" w:color="auto" w:fill="auto"/>
            <w:tcMar>
              <w:top w:w="100" w:type="dxa"/>
              <w:left w:w="100" w:type="dxa"/>
              <w:bottom w:w="100" w:type="dxa"/>
              <w:right w:w="100" w:type="dxa"/>
            </w:tcMar>
          </w:tcPr>
          <w:p w14:paraId="41771E73" w14:textId="77777777" w:rsidR="00180659" w:rsidRDefault="00180659" w:rsidP="00180659">
            <w:pPr>
              <w:widowControl w:val="0"/>
              <w:spacing w:line="240" w:lineRule="auto"/>
            </w:pPr>
            <w:r>
              <w:t>This work</w:t>
            </w:r>
          </w:p>
        </w:tc>
      </w:tr>
      <w:tr w:rsidR="00180659" w14:paraId="2BF7AEE6" w14:textId="77777777" w:rsidTr="00180659">
        <w:tc>
          <w:tcPr>
            <w:tcW w:w="5390" w:type="dxa"/>
            <w:shd w:val="clear" w:color="auto" w:fill="auto"/>
            <w:tcMar>
              <w:top w:w="100" w:type="dxa"/>
              <w:left w:w="100" w:type="dxa"/>
              <w:bottom w:w="100" w:type="dxa"/>
              <w:right w:w="100" w:type="dxa"/>
            </w:tcMar>
          </w:tcPr>
          <w:p w14:paraId="27D0D792" w14:textId="77777777" w:rsidR="00180659" w:rsidRDefault="00180659" w:rsidP="00180659">
            <w:pPr>
              <w:widowControl w:val="0"/>
              <w:spacing w:line="240" w:lineRule="auto"/>
            </w:pPr>
            <w:r>
              <w:t>Fulvestrant induces a small amount of apoptosis in MCF7</w:t>
            </w:r>
          </w:p>
        </w:tc>
        <w:tc>
          <w:tcPr>
            <w:tcW w:w="2250" w:type="dxa"/>
            <w:shd w:val="clear" w:color="auto" w:fill="auto"/>
            <w:tcMar>
              <w:top w:w="100" w:type="dxa"/>
              <w:left w:w="100" w:type="dxa"/>
              <w:bottom w:w="100" w:type="dxa"/>
              <w:right w:w="100" w:type="dxa"/>
            </w:tcMar>
          </w:tcPr>
          <w:p w14:paraId="11EABAE8" w14:textId="77777777" w:rsidR="00180659" w:rsidRDefault="00180659" w:rsidP="00180659">
            <w:pPr>
              <w:widowControl w:val="0"/>
              <w:pBdr>
                <w:top w:val="nil"/>
                <w:left w:val="nil"/>
                <w:bottom w:val="nil"/>
                <w:right w:val="nil"/>
                <w:between w:val="nil"/>
              </w:pBdr>
              <w:spacing w:line="240" w:lineRule="auto"/>
            </w:pPr>
            <w:r>
              <w:t>N</w:t>
            </w:r>
          </w:p>
        </w:tc>
        <w:tc>
          <w:tcPr>
            <w:tcW w:w="2340" w:type="dxa"/>
            <w:shd w:val="clear" w:color="auto" w:fill="auto"/>
            <w:tcMar>
              <w:top w:w="100" w:type="dxa"/>
              <w:left w:w="100" w:type="dxa"/>
              <w:bottom w:w="100" w:type="dxa"/>
              <w:right w:w="100" w:type="dxa"/>
            </w:tcMar>
          </w:tcPr>
          <w:p w14:paraId="751118F7" w14:textId="77777777" w:rsidR="00180659" w:rsidRDefault="00180659" w:rsidP="00180659">
            <w:pPr>
              <w:widowControl w:val="0"/>
              <w:spacing w:line="240" w:lineRule="auto"/>
            </w:pPr>
            <w:r>
              <w:t>This work</w:t>
            </w:r>
          </w:p>
        </w:tc>
      </w:tr>
      <w:tr w:rsidR="00180659" w14:paraId="118BD3D2" w14:textId="77777777" w:rsidTr="00180659">
        <w:tc>
          <w:tcPr>
            <w:tcW w:w="5390" w:type="dxa"/>
            <w:shd w:val="clear" w:color="auto" w:fill="auto"/>
            <w:tcMar>
              <w:top w:w="100" w:type="dxa"/>
              <w:left w:w="100" w:type="dxa"/>
              <w:bottom w:w="100" w:type="dxa"/>
              <w:right w:w="100" w:type="dxa"/>
            </w:tcMar>
          </w:tcPr>
          <w:p w14:paraId="57FD6813" w14:textId="77777777" w:rsidR="00180659" w:rsidRDefault="00180659" w:rsidP="00180659">
            <w:pPr>
              <w:widowControl w:val="0"/>
              <w:spacing w:line="240" w:lineRule="auto"/>
            </w:pPr>
            <w:r>
              <w:t>Everolimus induces a small amount of apoptosis in MCF7</w:t>
            </w:r>
          </w:p>
        </w:tc>
        <w:tc>
          <w:tcPr>
            <w:tcW w:w="2250" w:type="dxa"/>
            <w:shd w:val="clear" w:color="auto" w:fill="auto"/>
            <w:tcMar>
              <w:top w:w="100" w:type="dxa"/>
              <w:left w:w="100" w:type="dxa"/>
              <w:bottom w:w="100" w:type="dxa"/>
              <w:right w:w="100" w:type="dxa"/>
            </w:tcMar>
          </w:tcPr>
          <w:p w14:paraId="2F8E756C" w14:textId="77777777" w:rsidR="00180659" w:rsidRDefault="00180659" w:rsidP="00180659">
            <w:pPr>
              <w:widowControl w:val="0"/>
              <w:pBdr>
                <w:top w:val="nil"/>
                <w:left w:val="nil"/>
                <w:bottom w:val="nil"/>
                <w:right w:val="nil"/>
                <w:between w:val="nil"/>
              </w:pBdr>
              <w:spacing w:line="240" w:lineRule="auto"/>
            </w:pPr>
            <w:r>
              <w:t>N</w:t>
            </w:r>
          </w:p>
        </w:tc>
        <w:tc>
          <w:tcPr>
            <w:tcW w:w="2340" w:type="dxa"/>
            <w:shd w:val="clear" w:color="auto" w:fill="auto"/>
            <w:tcMar>
              <w:top w:w="100" w:type="dxa"/>
              <w:left w:w="100" w:type="dxa"/>
              <w:bottom w:w="100" w:type="dxa"/>
              <w:right w:w="100" w:type="dxa"/>
            </w:tcMar>
          </w:tcPr>
          <w:p w14:paraId="073B85E2" w14:textId="77777777" w:rsidR="00180659" w:rsidRDefault="00180659" w:rsidP="00180659">
            <w:pPr>
              <w:widowControl w:val="0"/>
              <w:spacing w:line="240" w:lineRule="auto"/>
            </w:pPr>
            <w:r>
              <w:t>This work</w:t>
            </w:r>
          </w:p>
        </w:tc>
      </w:tr>
    </w:tbl>
    <w:p w14:paraId="7E84B0A0" w14:textId="6FEAE564" w:rsidR="00E65535" w:rsidRPr="00B617DA" w:rsidRDefault="00180659" w:rsidP="00B617DA">
      <w:r>
        <w:t xml:space="preserve"> </w:t>
      </w:r>
    </w:p>
    <w:sectPr w:rsidR="00E65535" w:rsidRPr="00B617DA" w:rsidSect="00563A27">
      <w:headerReference w:type="default" r:id="rId14"/>
      <w:footerReference w:type="even" r:id="rId15"/>
      <w:footerReference w:type="default" r:id="rId16"/>
      <w:pgSz w:w="12240" w:h="15840"/>
      <w:pgMar w:top="720" w:right="720" w:bottom="720" w:left="720"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2288A" w16cex:dateUtc="2021-06-02T19:55:00Z"/>
  <w16cex:commentExtensible w16cex:durableId="24622862" w16cex:dateUtc="2021-06-02T19:55:00Z"/>
  <w16cex:commentExtensible w16cex:durableId="246229EF" w16cex:dateUtc="2021-06-02T20: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90441" w14:textId="77777777" w:rsidR="00B650EC" w:rsidRDefault="00B650EC">
      <w:pPr>
        <w:spacing w:line="240" w:lineRule="auto"/>
      </w:pPr>
      <w:r>
        <w:separator/>
      </w:r>
    </w:p>
  </w:endnote>
  <w:endnote w:type="continuationSeparator" w:id="0">
    <w:p w14:paraId="3A9D9670" w14:textId="77777777" w:rsidR="00B650EC" w:rsidRDefault="00B65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1964476"/>
      <w:docPartObj>
        <w:docPartGallery w:val="Page Numbers (Bottom of Page)"/>
        <w:docPartUnique/>
      </w:docPartObj>
    </w:sdtPr>
    <w:sdtEndPr>
      <w:rPr>
        <w:rStyle w:val="PageNumber"/>
      </w:rPr>
    </w:sdtEndPr>
    <w:sdtContent>
      <w:p w14:paraId="56178E21" w14:textId="01DDA1EB" w:rsidR="008B0566" w:rsidRDefault="008B0566" w:rsidP="007635F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88AF3" w14:textId="77777777" w:rsidR="008B0566" w:rsidRDefault="008B0566" w:rsidP="007635F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01BCA" w14:textId="77777777" w:rsidR="008B0566" w:rsidRDefault="008B0566" w:rsidP="007635F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B3D20" w14:textId="77777777" w:rsidR="00B650EC" w:rsidRDefault="00B650EC">
      <w:pPr>
        <w:spacing w:line="240" w:lineRule="auto"/>
      </w:pPr>
      <w:r>
        <w:separator/>
      </w:r>
    </w:p>
  </w:footnote>
  <w:footnote w:type="continuationSeparator" w:id="0">
    <w:p w14:paraId="1320F620" w14:textId="77777777" w:rsidR="00B650EC" w:rsidRDefault="00B65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E28C5" w14:textId="77777777" w:rsidR="008B0566" w:rsidRDefault="008B05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6A5BC1"/>
    <w:multiLevelType w:val="multilevel"/>
    <w:tmpl w:val="686C5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autoUpdateBibliography" w:val="true"/>
    <w:docVar w:name="paperpile-clusterType" w:val="normal"/>
    <w:docVar w:name="paperpile-doc-id" w:val="S861G228V698S322"/>
    <w:docVar w:name="paperpile-doc-name" w:val="Zanudoetal_SupplementalTextFigures_FINAL.docx"/>
    <w:docVar w:name="paperpile-includeDoi" w:val="false"/>
    <w:docVar w:name="paperpile-styleFile" w:val="american-association-for-cancer-research.csl"/>
    <w:docVar w:name="paperpile-styleId" w:val="american-association-for-cancer-research"/>
    <w:docVar w:name="paperpile-styleLabel" w:val="American Association for Cancer Research"/>
    <w:docVar w:name="paperpile-styleLocale" w:val="en-US"/>
  </w:docVars>
  <w:rsids>
    <w:rsidRoot w:val="003B5338"/>
    <w:rsid w:val="00016378"/>
    <w:rsid w:val="000311BE"/>
    <w:rsid w:val="000343AE"/>
    <w:rsid w:val="00047E06"/>
    <w:rsid w:val="000646D7"/>
    <w:rsid w:val="00074BD5"/>
    <w:rsid w:val="0009243D"/>
    <w:rsid w:val="000A60CF"/>
    <w:rsid w:val="000B136B"/>
    <w:rsid w:val="00100F82"/>
    <w:rsid w:val="001110E2"/>
    <w:rsid w:val="00157EC2"/>
    <w:rsid w:val="00180659"/>
    <w:rsid w:val="0018321F"/>
    <w:rsid w:val="00193041"/>
    <w:rsid w:val="001A02BB"/>
    <w:rsid w:val="001D3FB0"/>
    <w:rsid w:val="001D5DFF"/>
    <w:rsid w:val="001E03C3"/>
    <w:rsid w:val="001E36DA"/>
    <w:rsid w:val="001E6F64"/>
    <w:rsid w:val="001F3272"/>
    <w:rsid w:val="00203A0C"/>
    <w:rsid w:val="00206879"/>
    <w:rsid w:val="002301DC"/>
    <w:rsid w:val="00233322"/>
    <w:rsid w:val="00242EA1"/>
    <w:rsid w:val="00245632"/>
    <w:rsid w:val="00252662"/>
    <w:rsid w:val="00261981"/>
    <w:rsid w:val="00261B43"/>
    <w:rsid w:val="00263647"/>
    <w:rsid w:val="00266A7F"/>
    <w:rsid w:val="00276D5A"/>
    <w:rsid w:val="002A694F"/>
    <w:rsid w:val="002B5540"/>
    <w:rsid w:val="002B68CA"/>
    <w:rsid w:val="002C6B40"/>
    <w:rsid w:val="002C7174"/>
    <w:rsid w:val="002D45EE"/>
    <w:rsid w:val="002D48AA"/>
    <w:rsid w:val="002E5BF4"/>
    <w:rsid w:val="002F58C4"/>
    <w:rsid w:val="002F75D7"/>
    <w:rsid w:val="00332988"/>
    <w:rsid w:val="00343503"/>
    <w:rsid w:val="0034392C"/>
    <w:rsid w:val="00375B4D"/>
    <w:rsid w:val="00382AD0"/>
    <w:rsid w:val="003A2B32"/>
    <w:rsid w:val="003B2E72"/>
    <w:rsid w:val="003B5338"/>
    <w:rsid w:val="003B6478"/>
    <w:rsid w:val="003C20B5"/>
    <w:rsid w:val="003D0762"/>
    <w:rsid w:val="003D47DD"/>
    <w:rsid w:val="003E2578"/>
    <w:rsid w:val="003E69C4"/>
    <w:rsid w:val="003F70F9"/>
    <w:rsid w:val="003F7ECC"/>
    <w:rsid w:val="00406E4A"/>
    <w:rsid w:val="00452402"/>
    <w:rsid w:val="00457A3D"/>
    <w:rsid w:val="0046281A"/>
    <w:rsid w:val="004A2559"/>
    <w:rsid w:val="004A4456"/>
    <w:rsid w:val="004A4E9D"/>
    <w:rsid w:val="004A63D9"/>
    <w:rsid w:val="004A6E1F"/>
    <w:rsid w:val="004C038D"/>
    <w:rsid w:val="004C3C0A"/>
    <w:rsid w:val="004C7AAE"/>
    <w:rsid w:val="004C7BEB"/>
    <w:rsid w:val="004D26E0"/>
    <w:rsid w:val="004F725F"/>
    <w:rsid w:val="0050116D"/>
    <w:rsid w:val="00501CBE"/>
    <w:rsid w:val="0050745E"/>
    <w:rsid w:val="00520501"/>
    <w:rsid w:val="00527869"/>
    <w:rsid w:val="00530799"/>
    <w:rsid w:val="00540406"/>
    <w:rsid w:val="00540B40"/>
    <w:rsid w:val="00547026"/>
    <w:rsid w:val="00554528"/>
    <w:rsid w:val="00563931"/>
    <w:rsid w:val="00563A27"/>
    <w:rsid w:val="00576679"/>
    <w:rsid w:val="0058408F"/>
    <w:rsid w:val="0058423E"/>
    <w:rsid w:val="005A4D96"/>
    <w:rsid w:val="005B0F67"/>
    <w:rsid w:val="005B1967"/>
    <w:rsid w:val="005B362C"/>
    <w:rsid w:val="005C21D8"/>
    <w:rsid w:val="005C7B07"/>
    <w:rsid w:val="005E1680"/>
    <w:rsid w:val="005E563F"/>
    <w:rsid w:val="005E7A12"/>
    <w:rsid w:val="00602F36"/>
    <w:rsid w:val="0060341A"/>
    <w:rsid w:val="006313E8"/>
    <w:rsid w:val="0063483B"/>
    <w:rsid w:val="00635489"/>
    <w:rsid w:val="00636E95"/>
    <w:rsid w:val="00637150"/>
    <w:rsid w:val="0063778D"/>
    <w:rsid w:val="00640E98"/>
    <w:rsid w:val="00643EAA"/>
    <w:rsid w:val="00646B33"/>
    <w:rsid w:val="006606F1"/>
    <w:rsid w:val="006652B7"/>
    <w:rsid w:val="00676BE8"/>
    <w:rsid w:val="00677FDB"/>
    <w:rsid w:val="00683FD6"/>
    <w:rsid w:val="00685D22"/>
    <w:rsid w:val="00693AEA"/>
    <w:rsid w:val="006B3146"/>
    <w:rsid w:val="006C27A9"/>
    <w:rsid w:val="006E5B78"/>
    <w:rsid w:val="006F1712"/>
    <w:rsid w:val="007176DB"/>
    <w:rsid w:val="00722827"/>
    <w:rsid w:val="00725C35"/>
    <w:rsid w:val="00726081"/>
    <w:rsid w:val="00742043"/>
    <w:rsid w:val="00742704"/>
    <w:rsid w:val="007635FA"/>
    <w:rsid w:val="00772A78"/>
    <w:rsid w:val="00783AE4"/>
    <w:rsid w:val="00792C10"/>
    <w:rsid w:val="007967E3"/>
    <w:rsid w:val="007B22EB"/>
    <w:rsid w:val="007C071E"/>
    <w:rsid w:val="007C2EA9"/>
    <w:rsid w:val="007D4356"/>
    <w:rsid w:val="007D6834"/>
    <w:rsid w:val="007E53A1"/>
    <w:rsid w:val="008004DC"/>
    <w:rsid w:val="00800D7D"/>
    <w:rsid w:val="00811000"/>
    <w:rsid w:val="00813818"/>
    <w:rsid w:val="00820256"/>
    <w:rsid w:val="008207B8"/>
    <w:rsid w:val="0082458D"/>
    <w:rsid w:val="00873780"/>
    <w:rsid w:val="00874A6E"/>
    <w:rsid w:val="00876421"/>
    <w:rsid w:val="008772DC"/>
    <w:rsid w:val="008845AF"/>
    <w:rsid w:val="008B0566"/>
    <w:rsid w:val="008B09AE"/>
    <w:rsid w:val="008B305D"/>
    <w:rsid w:val="008B35DE"/>
    <w:rsid w:val="008E236D"/>
    <w:rsid w:val="008E403F"/>
    <w:rsid w:val="008F1413"/>
    <w:rsid w:val="00901FDC"/>
    <w:rsid w:val="00907F33"/>
    <w:rsid w:val="009146ED"/>
    <w:rsid w:val="00916737"/>
    <w:rsid w:val="00917D92"/>
    <w:rsid w:val="00932F85"/>
    <w:rsid w:val="009334BC"/>
    <w:rsid w:val="009423D4"/>
    <w:rsid w:val="0094559C"/>
    <w:rsid w:val="009571F7"/>
    <w:rsid w:val="009630C2"/>
    <w:rsid w:val="0097309C"/>
    <w:rsid w:val="009809F7"/>
    <w:rsid w:val="00983CD1"/>
    <w:rsid w:val="009A1AE6"/>
    <w:rsid w:val="009A5BD9"/>
    <w:rsid w:val="009B1147"/>
    <w:rsid w:val="009C073A"/>
    <w:rsid w:val="009D1FB7"/>
    <w:rsid w:val="009D56E7"/>
    <w:rsid w:val="00A02EA1"/>
    <w:rsid w:val="00A07F6A"/>
    <w:rsid w:val="00A16A2E"/>
    <w:rsid w:val="00A257A9"/>
    <w:rsid w:val="00A47758"/>
    <w:rsid w:val="00A50CC0"/>
    <w:rsid w:val="00A76506"/>
    <w:rsid w:val="00A84125"/>
    <w:rsid w:val="00A9533D"/>
    <w:rsid w:val="00AA2A51"/>
    <w:rsid w:val="00AB1C35"/>
    <w:rsid w:val="00AC1B25"/>
    <w:rsid w:val="00AC771F"/>
    <w:rsid w:val="00AE1EF9"/>
    <w:rsid w:val="00AF23B3"/>
    <w:rsid w:val="00B012BF"/>
    <w:rsid w:val="00B27EF7"/>
    <w:rsid w:val="00B34450"/>
    <w:rsid w:val="00B350B3"/>
    <w:rsid w:val="00B5145E"/>
    <w:rsid w:val="00B617DA"/>
    <w:rsid w:val="00B650EC"/>
    <w:rsid w:val="00B73B5C"/>
    <w:rsid w:val="00BA0409"/>
    <w:rsid w:val="00BA1A2E"/>
    <w:rsid w:val="00BA7668"/>
    <w:rsid w:val="00BB6A59"/>
    <w:rsid w:val="00BC5B67"/>
    <w:rsid w:val="00BC6249"/>
    <w:rsid w:val="00BE0652"/>
    <w:rsid w:val="00C1460E"/>
    <w:rsid w:val="00C21E17"/>
    <w:rsid w:val="00C326B5"/>
    <w:rsid w:val="00C33A85"/>
    <w:rsid w:val="00C412A6"/>
    <w:rsid w:val="00C66AB1"/>
    <w:rsid w:val="00C6736E"/>
    <w:rsid w:val="00CA3598"/>
    <w:rsid w:val="00CA7805"/>
    <w:rsid w:val="00CB6570"/>
    <w:rsid w:val="00CD77BA"/>
    <w:rsid w:val="00CE5EE8"/>
    <w:rsid w:val="00D17A2D"/>
    <w:rsid w:val="00D2236B"/>
    <w:rsid w:val="00D3363F"/>
    <w:rsid w:val="00D40C21"/>
    <w:rsid w:val="00D424BD"/>
    <w:rsid w:val="00D52B23"/>
    <w:rsid w:val="00D64C43"/>
    <w:rsid w:val="00D74A9A"/>
    <w:rsid w:val="00DA2F63"/>
    <w:rsid w:val="00DB3DBE"/>
    <w:rsid w:val="00DC6DBC"/>
    <w:rsid w:val="00DD3A81"/>
    <w:rsid w:val="00DE672F"/>
    <w:rsid w:val="00DE726D"/>
    <w:rsid w:val="00DF3A43"/>
    <w:rsid w:val="00DF7E13"/>
    <w:rsid w:val="00E17EA7"/>
    <w:rsid w:val="00E20B20"/>
    <w:rsid w:val="00E25470"/>
    <w:rsid w:val="00E51ED5"/>
    <w:rsid w:val="00E5215B"/>
    <w:rsid w:val="00E55956"/>
    <w:rsid w:val="00E60447"/>
    <w:rsid w:val="00E65535"/>
    <w:rsid w:val="00E70E28"/>
    <w:rsid w:val="00E80075"/>
    <w:rsid w:val="00E82F6D"/>
    <w:rsid w:val="00E93FEA"/>
    <w:rsid w:val="00EB1D84"/>
    <w:rsid w:val="00EC7746"/>
    <w:rsid w:val="00ED0003"/>
    <w:rsid w:val="00ED0217"/>
    <w:rsid w:val="00ED0D02"/>
    <w:rsid w:val="00ED2F8A"/>
    <w:rsid w:val="00ED3151"/>
    <w:rsid w:val="00F02E2E"/>
    <w:rsid w:val="00F041D2"/>
    <w:rsid w:val="00F160D9"/>
    <w:rsid w:val="00F16135"/>
    <w:rsid w:val="00F26AA4"/>
    <w:rsid w:val="00F329D4"/>
    <w:rsid w:val="00F465F8"/>
    <w:rsid w:val="00F50FBB"/>
    <w:rsid w:val="00F561D5"/>
    <w:rsid w:val="00F578A9"/>
    <w:rsid w:val="00F62073"/>
    <w:rsid w:val="00F74E59"/>
    <w:rsid w:val="00F936FC"/>
    <w:rsid w:val="00F937CA"/>
    <w:rsid w:val="00FA069A"/>
    <w:rsid w:val="00FA169B"/>
    <w:rsid w:val="00FB12F0"/>
    <w:rsid w:val="00FC0BEF"/>
    <w:rsid w:val="00FC39A2"/>
    <w:rsid w:val="00FD6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63AED9"/>
  <w15:docId w15:val="{1072A5D2-8EC2-2842-9C8A-0F47B9FF2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65F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65F8"/>
    <w:rPr>
      <w:rFonts w:ascii="Times New Roman" w:hAnsi="Times New Roman" w:cs="Times New Roman"/>
      <w:sz w:val="18"/>
      <w:szCs w:val="18"/>
    </w:rPr>
  </w:style>
  <w:style w:type="character" w:styleId="Hyperlink">
    <w:name w:val="Hyperlink"/>
    <w:basedOn w:val="DefaultParagraphFont"/>
    <w:uiPriority w:val="99"/>
    <w:unhideWhenUsed/>
    <w:rsid w:val="00B27EF7"/>
    <w:rPr>
      <w:color w:val="0000FF" w:themeColor="hyperlink"/>
      <w:u w:val="single"/>
    </w:rPr>
  </w:style>
  <w:style w:type="character" w:customStyle="1" w:styleId="UnresolvedMention1">
    <w:name w:val="Unresolved Mention1"/>
    <w:basedOn w:val="DefaultParagraphFont"/>
    <w:uiPriority w:val="99"/>
    <w:semiHidden/>
    <w:unhideWhenUsed/>
    <w:rsid w:val="00B27EF7"/>
    <w:rPr>
      <w:color w:val="605E5C"/>
      <w:shd w:val="clear" w:color="auto" w:fill="E1DFDD"/>
    </w:rPr>
  </w:style>
  <w:style w:type="character" w:styleId="FollowedHyperlink">
    <w:name w:val="FollowedHyperlink"/>
    <w:basedOn w:val="DefaultParagraphFont"/>
    <w:uiPriority w:val="99"/>
    <w:semiHidden/>
    <w:unhideWhenUsed/>
    <w:rsid w:val="00B27EF7"/>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70E28"/>
    <w:rPr>
      <w:b/>
      <w:bCs/>
    </w:rPr>
  </w:style>
  <w:style w:type="character" w:customStyle="1" w:styleId="CommentSubjectChar">
    <w:name w:val="Comment Subject Char"/>
    <w:basedOn w:val="CommentTextChar"/>
    <w:link w:val="CommentSubject"/>
    <w:uiPriority w:val="99"/>
    <w:semiHidden/>
    <w:rsid w:val="00E70E28"/>
    <w:rPr>
      <w:b/>
      <w:bCs/>
      <w:sz w:val="20"/>
      <w:szCs w:val="20"/>
    </w:rPr>
  </w:style>
  <w:style w:type="paragraph" w:styleId="Revision">
    <w:name w:val="Revision"/>
    <w:hidden/>
    <w:uiPriority w:val="99"/>
    <w:semiHidden/>
    <w:rsid w:val="00677FDB"/>
    <w:pPr>
      <w:spacing w:line="240" w:lineRule="auto"/>
    </w:pPr>
  </w:style>
  <w:style w:type="character" w:styleId="UnresolvedMention">
    <w:name w:val="Unresolved Mention"/>
    <w:basedOn w:val="DefaultParagraphFont"/>
    <w:uiPriority w:val="99"/>
    <w:semiHidden/>
    <w:unhideWhenUsed/>
    <w:rsid w:val="00677FDB"/>
    <w:rPr>
      <w:color w:val="605E5C"/>
      <w:shd w:val="clear" w:color="auto" w:fill="E1DFDD"/>
    </w:rPr>
  </w:style>
  <w:style w:type="character" w:styleId="LineNumber">
    <w:name w:val="line number"/>
    <w:basedOn w:val="DefaultParagraphFont"/>
    <w:uiPriority w:val="99"/>
    <w:semiHidden/>
    <w:unhideWhenUsed/>
    <w:rsid w:val="007635FA"/>
  </w:style>
  <w:style w:type="paragraph" w:styleId="Footer">
    <w:name w:val="footer"/>
    <w:basedOn w:val="Normal"/>
    <w:link w:val="FooterChar"/>
    <w:uiPriority w:val="99"/>
    <w:unhideWhenUsed/>
    <w:rsid w:val="007635FA"/>
    <w:pPr>
      <w:tabs>
        <w:tab w:val="center" w:pos="4680"/>
        <w:tab w:val="right" w:pos="9360"/>
      </w:tabs>
      <w:spacing w:line="240" w:lineRule="auto"/>
    </w:pPr>
  </w:style>
  <w:style w:type="character" w:customStyle="1" w:styleId="FooterChar">
    <w:name w:val="Footer Char"/>
    <w:basedOn w:val="DefaultParagraphFont"/>
    <w:link w:val="Footer"/>
    <w:uiPriority w:val="99"/>
    <w:rsid w:val="007635FA"/>
  </w:style>
  <w:style w:type="character" w:styleId="PageNumber">
    <w:name w:val="page number"/>
    <w:basedOn w:val="DefaultParagraphFont"/>
    <w:uiPriority w:val="99"/>
    <w:semiHidden/>
    <w:unhideWhenUsed/>
    <w:rsid w:val="007635FA"/>
  </w:style>
  <w:style w:type="character" w:styleId="PlaceholderText">
    <w:name w:val="Placeholder Text"/>
    <w:basedOn w:val="DefaultParagraphFont"/>
    <w:uiPriority w:val="99"/>
    <w:semiHidden/>
    <w:rsid w:val="007176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728">
      <w:bodyDiv w:val="1"/>
      <w:marLeft w:val="0"/>
      <w:marRight w:val="0"/>
      <w:marTop w:val="0"/>
      <w:marBottom w:val="0"/>
      <w:divBdr>
        <w:top w:val="none" w:sz="0" w:space="0" w:color="auto"/>
        <w:left w:val="none" w:sz="0" w:space="0" w:color="auto"/>
        <w:bottom w:val="none" w:sz="0" w:space="0" w:color="auto"/>
        <w:right w:val="none" w:sz="0" w:space="0" w:color="auto"/>
      </w:divBdr>
    </w:div>
    <w:div w:id="15546624">
      <w:bodyDiv w:val="1"/>
      <w:marLeft w:val="0"/>
      <w:marRight w:val="0"/>
      <w:marTop w:val="0"/>
      <w:marBottom w:val="0"/>
      <w:divBdr>
        <w:top w:val="none" w:sz="0" w:space="0" w:color="auto"/>
        <w:left w:val="none" w:sz="0" w:space="0" w:color="auto"/>
        <w:bottom w:val="none" w:sz="0" w:space="0" w:color="auto"/>
        <w:right w:val="none" w:sz="0" w:space="0" w:color="auto"/>
      </w:divBdr>
    </w:div>
    <w:div w:id="180245347">
      <w:bodyDiv w:val="1"/>
      <w:marLeft w:val="0"/>
      <w:marRight w:val="0"/>
      <w:marTop w:val="0"/>
      <w:marBottom w:val="0"/>
      <w:divBdr>
        <w:top w:val="none" w:sz="0" w:space="0" w:color="auto"/>
        <w:left w:val="none" w:sz="0" w:space="0" w:color="auto"/>
        <w:bottom w:val="none" w:sz="0" w:space="0" w:color="auto"/>
        <w:right w:val="none" w:sz="0" w:space="0" w:color="auto"/>
      </w:divBdr>
    </w:div>
    <w:div w:id="204105126">
      <w:bodyDiv w:val="1"/>
      <w:marLeft w:val="0"/>
      <w:marRight w:val="0"/>
      <w:marTop w:val="0"/>
      <w:marBottom w:val="0"/>
      <w:divBdr>
        <w:top w:val="none" w:sz="0" w:space="0" w:color="auto"/>
        <w:left w:val="none" w:sz="0" w:space="0" w:color="auto"/>
        <w:bottom w:val="none" w:sz="0" w:space="0" w:color="auto"/>
        <w:right w:val="none" w:sz="0" w:space="0" w:color="auto"/>
      </w:divBdr>
    </w:div>
    <w:div w:id="301737065">
      <w:bodyDiv w:val="1"/>
      <w:marLeft w:val="0"/>
      <w:marRight w:val="0"/>
      <w:marTop w:val="0"/>
      <w:marBottom w:val="0"/>
      <w:divBdr>
        <w:top w:val="none" w:sz="0" w:space="0" w:color="auto"/>
        <w:left w:val="none" w:sz="0" w:space="0" w:color="auto"/>
        <w:bottom w:val="none" w:sz="0" w:space="0" w:color="auto"/>
        <w:right w:val="none" w:sz="0" w:space="0" w:color="auto"/>
      </w:divBdr>
    </w:div>
    <w:div w:id="436213250">
      <w:bodyDiv w:val="1"/>
      <w:marLeft w:val="0"/>
      <w:marRight w:val="0"/>
      <w:marTop w:val="0"/>
      <w:marBottom w:val="0"/>
      <w:divBdr>
        <w:top w:val="none" w:sz="0" w:space="0" w:color="auto"/>
        <w:left w:val="none" w:sz="0" w:space="0" w:color="auto"/>
        <w:bottom w:val="none" w:sz="0" w:space="0" w:color="auto"/>
        <w:right w:val="none" w:sz="0" w:space="0" w:color="auto"/>
      </w:divBdr>
    </w:div>
    <w:div w:id="468088584">
      <w:bodyDiv w:val="1"/>
      <w:marLeft w:val="0"/>
      <w:marRight w:val="0"/>
      <w:marTop w:val="0"/>
      <w:marBottom w:val="0"/>
      <w:divBdr>
        <w:top w:val="none" w:sz="0" w:space="0" w:color="auto"/>
        <w:left w:val="none" w:sz="0" w:space="0" w:color="auto"/>
        <w:bottom w:val="none" w:sz="0" w:space="0" w:color="auto"/>
        <w:right w:val="none" w:sz="0" w:space="0" w:color="auto"/>
      </w:divBdr>
      <w:divsChild>
        <w:div w:id="1835872664">
          <w:marLeft w:val="0"/>
          <w:marRight w:val="0"/>
          <w:marTop w:val="0"/>
          <w:marBottom w:val="0"/>
          <w:divBdr>
            <w:top w:val="none" w:sz="0" w:space="0" w:color="auto"/>
            <w:left w:val="none" w:sz="0" w:space="0" w:color="auto"/>
            <w:bottom w:val="none" w:sz="0" w:space="0" w:color="auto"/>
            <w:right w:val="none" w:sz="0" w:space="0" w:color="auto"/>
          </w:divBdr>
        </w:div>
      </w:divsChild>
    </w:div>
    <w:div w:id="532765203">
      <w:bodyDiv w:val="1"/>
      <w:marLeft w:val="0"/>
      <w:marRight w:val="0"/>
      <w:marTop w:val="0"/>
      <w:marBottom w:val="0"/>
      <w:divBdr>
        <w:top w:val="none" w:sz="0" w:space="0" w:color="auto"/>
        <w:left w:val="none" w:sz="0" w:space="0" w:color="auto"/>
        <w:bottom w:val="none" w:sz="0" w:space="0" w:color="auto"/>
        <w:right w:val="none" w:sz="0" w:space="0" w:color="auto"/>
      </w:divBdr>
    </w:div>
    <w:div w:id="559637376">
      <w:bodyDiv w:val="1"/>
      <w:marLeft w:val="0"/>
      <w:marRight w:val="0"/>
      <w:marTop w:val="0"/>
      <w:marBottom w:val="0"/>
      <w:divBdr>
        <w:top w:val="none" w:sz="0" w:space="0" w:color="auto"/>
        <w:left w:val="none" w:sz="0" w:space="0" w:color="auto"/>
        <w:bottom w:val="none" w:sz="0" w:space="0" w:color="auto"/>
        <w:right w:val="none" w:sz="0" w:space="0" w:color="auto"/>
      </w:divBdr>
    </w:div>
    <w:div w:id="569460833">
      <w:bodyDiv w:val="1"/>
      <w:marLeft w:val="0"/>
      <w:marRight w:val="0"/>
      <w:marTop w:val="0"/>
      <w:marBottom w:val="0"/>
      <w:divBdr>
        <w:top w:val="none" w:sz="0" w:space="0" w:color="auto"/>
        <w:left w:val="none" w:sz="0" w:space="0" w:color="auto"/>
        <w:bottom w:val="none" w:sz="0" w:space="0" w:color="auto"/>
        <w:right w:val="none" w:sz="0" w:space="0" w:color="auto"/>
      </w:divBdr>
    </w:div>
    <w:div w:id="720175921">
      <w:bodyDiv w:val="1"/>
      <w:marLeft w:val="0"/>
      <w:marRight w:val="0"/>
      <w:marTop w:val="0"/>
      <w:marBottom w:val="0"/>
      <w:divBdr>
        <w:top w:val="none" w:sz="0" w:space="0" w:color="auto"/>
        <w:left w:val="none" w:sz="0" w:space="0" w:color="auto"/>
        <w:bottom w:val="none" w:sz="0" w:space="0" w:color="auto"/>
        <w:right w:val="none" w:sz="0" w:space="0" w:color="auto"/>
      </w:divBdr>
    </w:div>
    <w:div w:id="812140256">
      <w:bodyDiv w:val="1"/>
      <w:marLeft w:val="0"/>
      <w:marRight w:val="0"/>
      <w:marTop w:val="0"/>
      <w:marBottom w:val="0"/>
      <w:divBdr>
        <w:top w:val="none" w:sz="0" w:space="0" w:color="auto"/>
        <w:left w:val="none" w:sz="0" w:space="0" w:color="auto"/>
        <w:bottom w:val="none" w:sz="0" w:space="0" w:color="auto"/>
        <w:right w:val="none" w:sz="0" w:space="0" w:color="auto"/>
      </w:divBdr>
    </w:div>
    <w:div w:id="889920716">
      <w:bodyDiv w:val="1"/>
      <w:marLeft w:val="0"/>
      <w:marRight w:val="0"/>
      <w:marTop w:val="0"/>
      <w:marBottom w:val="0"/>
      <w:divBdr>
        <w:top w:val="none" w:sz="0" w:space="0" w:color="auto"/>
        <w:left w:val="none" w:sz="0" w:space="0" w:color="auto"/>
        <w:bottom w:val="none" w:sz="0" w:space="0" w:color="auto"/>
        <w:right w:val="none" w:sz="0" w:space="0" w:color="auto"/>
      </w:divBdr>
      <w:divsChild>
        <w:div w:id="41367627">
          <w:marLeft w:val="0"/>
          <w:marRight w:val="0"/>
          <w:marTop w:val="0"/>
          <w:marBottom w:val="0"/>
          <w:divBdr>
            <w:top w:val="none" w:sz="0" w:space="0" w:color="auto"/>
            <w:left w:val="none" w:sz="0" w:space="0" w:color="auto"/>
            <w:bottom w:val="none" w:sz="0" w:space="0" w:color="auto"/>
            <w:right w:val="none" w:sz="0" w:space="0" w:color="auto"/>
          </w:divBdr>
        </w:div>
      </w:divsChild>
    </w:div>
    <w:div w:id="1075662939">
      <w:bodyDiv w:val="1"/>
      <w:marLeft w:val="0"/>
      <w:marRight w:val="0"/>
      <w:marTop w:val="0"/>
      <w:marBottom w:val="0"/>
      <w:divBdr>
        <w:top w:val="none" w:sz="0" w:space="0" w:color="auto"/>
        <w:left w:val="none" w:sz="0" w:space="0" w:color="auto"/>
        <w:bottom w:val="none" w:sz="0" w:space="0" w:color="auto"/>
        <w:right w:val="none" w:sz="0" w:space="0" w:color="auto"/>
      </w:divBdr>
    </w:div>
    <w:div w:id="1120297430">
      <w:bodyDiv w:val="1"/>
      <w:marLeft w:val="0"/>
      <w:marRight w:val="0"/>
      <w:marTop w:val="0"/>
      <w:marBottom w:val="0"/>
      <w:divBdr>
        <w:top w:val="none" w:sz="0" w:space="0" w:color="auto"/>
        <w:left w:val="none" w:sz="0" w:space="0" w:color="auto"/>
        <w:bottom w:val="none" w:sz="0" w:space="0" w:color="auto"/>
        <w:right w:val="none" w:sz="0" w:space="0" w:color="auto"/>
      </w:divBdr>
    </w:div>
    <w:div w:id="1212883744">
      <w:bodyDiv w:val="1"/>
      <w:marLeft w:val="0"/>
      <w:marRight w:val="0"/>
      <w:marTop w:val="0"/>
      <w:marBottom w:val="0"/>
      <w:divBdr>
        <w:top w:val="none" w:sz="0" w:space="0" w:color="auto"/>
        <w:left w:val="none" w:sz="0" w:space="0" w:color="auto"/>
        <w:bottom w:val="none" w:sz="0" w:space="0" w:color="auto"/>
        <w:right w:val="none" w:sz="0" w:space="0" w:color="auto"/>
      </w:divBdr>
    </w:div>
    <w:div w:id="1480800944">
      <w:bodyDiv w:val="1"/>
      <w:marLeft w:val="0"/>
      <w:marRight w:val="0"/>
      <w:marTop w:val="0"/>
      <w:marBottom w:val="0"/>
      <w:divBdr>
        <w:top w:val="none" w:sz="0" w:space="0" w:color="auto"/>
        <w:left w:val="none" w:sz="0" w:space="0" w:color="auto"/>
        <w:bottom w:val="none" w:sz="0" w:space="0" w:color="auto"/>
        <w:right w:val="none" w:sz="0" w:space="0" w:color="auto"/>
      </w:divBdr>
    </w:div>
    <w:div w:id="1534883976">
      <w:bodyDiv w:val="1"/>
      <w:marLeft w:val="0"/>
      <w:marRight w:val="0"/>
      <w:marTop w:val="0"/>
      <w:marBottom w:val="0"/>
      <w:divBdr>
        <w:top w:val="none" w:sz="0" w:space="0" w:color="auto"/>
        <w:left w:val="none" w:sz="0" w:space="0" w:color="auto"/>
        <w:bottom w:val="none" w:sz="0" w:space="0" w:color="auto"/>
        <w:right w:val="none" w:sz="0" w:space="0" w:color="auto"/>
      </w:divBdr>
    </w:div>
    <w:div w:id="1809125354">
      <w:bodyDiv w:val="1"/>
      <w:marLeft w:val="0"/>
      <w:marRight w:val="0"/>
      <w:marTop w:val="0"/>
      <w:marBottom w:val="0"/>
      <w:divBdr>
        <w:top w:val="none" w:sz="0" w:space="0" w:color="auto"/>
        <w:left w:val="none" w:sz="0" w:space="0" w:color="auto"/>
        <w:bottom w:val="none" w:sz="0" w:space="0" w:color="auto"/>
        <w:right w:val="none" w:sz="0" w:space="0" w:color="auto"/>
      </w:divBdr>
    </w:div>
    <w:div w:id="1829974105">
      <w:bodyDiv w:val="1"/>
      <w:marLeft w:val="0"/>
      <w:marRight w:val="0"/>
      <w:marTop w:val="0"/>
      <w:marBottom w:val="0"/>
      <w:divBdr>
        <w:top w:val="none" w:sz="0" w:space="0" w:color="auto"/>
        <w:left w:val="none" w:sz="0" w:space="0" w:color="auto"/>
        <w:bottom w:val="none" w:sz="0" w:space="0" w:color="auto"/>
        <w:right w:val="none" w:sz="0" w:space="0" w:color="auto"/>
      </w:divBdr>
    </w:div>
    <w:div w:id="1870558979">
      <w:bodyDiv w:val="1"/>
      <w:marLeft w:val="0"/>
      <w:marRight w:val="0"/>
      <w:marTop w:val="0"/>
      <w:marBottom w:val="0"/>
      <w:divBdr>
        <w:top w:val="none" w:sz="0" w:space="0" w:color="auto"/>
        <w:left w:val="none" w:sz="0" w:space="0" w:color="auto"/>
        <w:bottom w:val="none" w:sz="0" w:space="0" w:color="auto"/>
        <w:right w:val="none" w:sz="0" w:space="0" w:color="auto"/>
      </w:divBdr>
    </w:div>
    <w:div w:id="2015565440">
      <w:bodyDiv w:val="1"/>
      <w:marLeft w:val="0"/>
      <w:marRight w:val="0"/>
      <w:marTop w:val="0"/>
      <w:marBottom w:val="0"/>
      <w:divBdr>
        <w:top w:val="none" w:sz="0" w:space="0" w:color="auto"/>
        <w:left w:val="none" w:sz="0" w:space="0" w:color="auto"/>
        <w:bottom w:val="none" w:sz="0" w:space="0" w:color="auto"/>
        <w:right w:val="none" w:sz="0" w:space="0" w:color="auto"/>
      </w:divBdr>
    </w:div>
    <w:div w:id="2046907087">
      <w:bodyDiv w:val="1"/>
      <w:marLeft w:val="0"/>
      <w:marRight w:val="0"/>
      <w:marTop w:val="0"/>
      <w:marBottom w:val="0"/>
      <w:divBdr>
        <w:top w:val="none" w:sz="0" w:space="0" w:color="auto"/>
        <w:left w:val="none" w:sz="0" w:space="0" w:color="auto"/>
        <w:bottom w:val="none" w:sz="0" w:space="0" w:color="auto"/>
        <w:right w:val="none" w:sz="0" w:space="0" w:color="auto"/>
      </w:divBdr>
    </w:div>
    <w:div w:id="2073577328">
      <w:bodyDiv w:val="1"/>
      <w:marLeft w:val="0"/>
      <w:marRight w:val="0"/>
      <w:marTop w:val="0"/>
      <w:marBottom w:val="0"/>
      <w:divBdr>
        <w:top w:val="none" w:sz="0" w:space="0" w:color="auto"/>
        <w:left w:val="none" w:sz="0" w:space="0" w:color="auto"/>
        <w:bottom w:val="none" w:sz="0" w:space="0" w:color="auto"/>
        <w:right w:val="none" w:sz="0" w:space="0" w:color="auto"/>
      </w:divBdr>
    </w:div>
    <w:div w:id="2108309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84643-842F-184C-A3D6-B77F61DF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27</Pages>
  <Words>9763</Words>
  <Characters>54678</Characters>
  <Application>Microsoft Office Word</Application>
  <DocSecurity>0</DocSecurity>
  <Lines>729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Zanudo</cp:lastModifiedBy>
  <cp:revision>27</cp:revision>
  <cp:lastPrinted>2021-02-01T14:52:00Z</cp:lastPrinted>
  <dcterms:created xsi:type="dcterms:W3CDTF">2021-06-16T21:44:00Z</dcterms:created>
  <dcterms:modified xsi:type="dcterms:W3CDTF">2021-06-18T19:31:00Z</dcterms:modified>
</cp:coreProperties>
</file>