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27345" w14:textId="379FDA70" w:rsidR="00A801F7" w:rsidRDefault="00A801F7" w:rsidP="00C80C7E">
      <w:pPr>
        <w:spacing w:after="0" w:line="240" w:lineRule="auto"/>
        <w:rPr>
          <w:rFonts w:ascii="Arial" w:hAnsi="Arial" w:cs="Arial"/>
          <w:b/>
          <w:bCs/>
        </w:rPr>
      </w:pPr>
      <w:r>
        <w:rPr>
          <w:rFonts w:ascii="Arial" w:hAnsi="Arial" w:cs="Arial"/>
          <w:b/>
          <w:bCs/>
        </w:rPr>
        <w:t>Supplemental Information</w:t>
      </w:r>
    </w:p>
    <w:p w14:paraId="0A8BD31B" w14:textId="77777777" w:rsidR="00A801F7" w:rsidRDefault="00A801F7" w:rsidP="00C80C7E">
      <w:pPr>
        <w:spacing w:after="0" w:line="240" w:lineRule="auto"/>
        <w:rPr>
          <w:rFonts w:ascii="Arial" w:hAnsi="Arial" w:cs="Arial"/>
          <w:b/>
          <w:bCs/>
        </w:rPr>
      </w:pPr>
    </w:p>
    <w:p w14:paraId="1A618B1B" w14:textId="312E732C" w:rsidR="00C80C7E" w:rsidRDefault="00C80C7E" w:rsidP="00C80C7E">
      <w:pPr>
        <w:spacing w:after="0" w:line="240" w:lineRule="auto"/>
        <w:rPr>
          <w:rFonts w:ascii="Arial" w:hAnsi="Arial" w:cs="Arial"/>
          <w:b/>
          <w:bCs/>
        </w:rPr>
      </w:pPr>
      <w:r w:rsidRPr="00A226F3">
        <w:rPr>
          <w:rFonts w:ascii="Arial" w:hAnsi="Arial" w:cs="Arial"/>
          <w:b/>
          <w:bCs/>
        </w:rPr>
        <w:t>Fig</w:t>
      </w:r>
      <w:r>
        <w:rPr>
          <w:rFonts w:ascii="Arial" w:hAnsi="Arial" w:cs="Arial"/>
          <w:b/>
          <w:bCs/>
        </w:rPr>
        <w:t>ure</w:t>
      </w:r>
      <w:r w:rsidRPr="00A226F3">
        <w:rPr>
          <w:rFonts w:ascii="Arial" w:hAnsi="Arial" w:cs="Arial"/>
          <w:b/>
          <w:bCs/>
        </w:rPr>
        <w:t xml:space="preserve"> S1</w:t>
      </w:r>
      <w:r>
        <w:rPr>
          <w:rFonts w:ascii="Arial" w:hAnsi="Arial" w:cs="Arial"/>
          <w:b/>
          <w:bCs/>
        </w:rPr>
        <w:t>.</w:t>
      </w:r>
      <w:r w:rsidRPr="00A226F3">
        <w:rPr>
          <w:rFonts w:ascii="Arial" w:hAnsi="Arial" w:cs="Arial"/>
          <w:b/>
          <w:bCs/>
        </w:rPr>
        <w:t xml:space="preserve"> TAZ expression in clinical GBM specimens</w:t>
      </w:r>
      <w:r>
        <w:rPr>
          <w:rFonts w:ascii="Arial" w:hAnsi="Arial" w:cs="Arial"/>
          <w:b/>
          <w:bCs/>
        </w:rPr>
        <w:t xml:space="preserve"> (related to Figure 1)</w:t>
      </w:r>
      <w:r w:rsidRPr="00A226F3">
        <w:rPr>
          <w:rFonts w:ascii="Arial" w:hAnsi="Arial" w:cs="Arial"/>
          <w:b/>
          <w:bCs/>
        </w:rPr>
        <w:t xml:space="preserve">. </w:t>
      </w:r>
    </w:p>
    <w:p w14:paraId="5E0539F2" w14:textId="77777777" w:rsidR="00A801F7" w:rsidRPr="00A226F3" w:rsidRDefault="00A801F7" w:rsidP="00C80C7E">
      <w:pPr>
        <w:spacing w:after="0" w:line="240" w:lineRule="auto"/>
        <w:rPr>
          <w:rFonts w:ascii="Arial" w:hAnsi="Arial" w:cs="Arial"/>
          <w:b/>
          <w:bCs/>
        </w:rPr>
      </w:pPr>
    </w:p>
    <w:p w14:paraId="2B225045" w14:textId="77777777" w:rsidR="00C80C7E" w:rsidRPr="00A226F3" w:rsidRDefault="00C80C7E" w:rsidP="00C80C7E">
      <w:pPr>
        <w:spacing w:after="0" w:line="240" w:lineRule="auto"/>
        <w:rPr>
          <w:rFonts w:ascii="Arial" w:hAnsi="Arial" w:cs="Arial"/>
        </w:rPr>
      </w:pPr>
      <w:r w:rsidRPr="00A226F3">
        <w:rPr>
          <w:rFonts w:ascii="Arial" w:hAnsi="Arial" w:cs="Arial"/>
          <w:b/>
          <w:bCs/>
        </w:rPr>
        <w:t>A</w:t>
      </w:r>
      <w:r w:rsidRPr="00A226F3">
        <w:rPr>
          <w:rFonts w:ascii="Arial" w:hAnsi="Arial" w:cs="Arial"/>
        </w:rPr>
        <w:t>:</w:t>
      </w:r>
      <w:r w:rsidRPr="00A226F3">
        <w:rPr>
          <w:rFonts w:ascii="Arial" w:hAnsi="Arial" w:cs="Arial"/>
          <w:b/>
          <w:bCs/>
        </w:rPr>
        <w:t xml:space="preserve"> </w:t>
      </w:r>
      <w:r w:rsidRPr="00A226F3">
        <w:rPr>
          <w:rFonts w:ascii="Arial" w:hAnsi="Arial" w:cs="Arial"/>
        </w:rPr>
        <w:t xml:space="preserve">TAZ mRNA levels in normal brain, low-grade glioma and GBM specimens </w:t>
      </w:r>
      <w:r>
        <w:rPr>
          <w:rFonts w:ascii="Arial" w:hAnsi="Arial" w:cs="Arial"/>
        </w:rPr>
        <w:t>from</w:t>
      </w:r>
      <w:r w:rsidRPr="00A226F3">
        <w:rPr>
          <w:rFonts w:ascii="Arial" w:hAnsi="Arial" w:cs="Arial"/>
        </w:rPr>
        <w:t xml:space="preserve"> three glioma databases (*: </w:t>
      </w:r>
      <w:r w:rsidRPr="00A226F3">
        <w:rPr>
          <w:rFonts w:ascii="Arial" w:hAnsi="Arial" w:cs="Arial"/>
          <w:i/>
          <w:iCs/>
        </w:rPr>
        <w:t xml:space="preserve">p </w:t>
      </w:r>
      <w:r w:rsidRPr="00A226F3">
        <w:rPr>
          <w:rFonts w:ascii="Arial" w:hAnsi="Arial" w:cs="Arial"/>
        </w:rPr>
        <w:t xml:space="preserve">&lt; 0.01, the Tukey's honestly significant difference test). </w:t>
      </w:r>
    </w:p>
    <w:p w14:paraId="5E6E2927" w14:textId="2998DF6C" w:rsidR="00C80C7E" w:rsidRPr="00A226F3" w:rsidRDefault="00C80C7E" w:rsidP="00103A09">
      <w:pPr>
        <w:spacing w:after="0" w:line="240" w:lineRule="auto"/>
        <w:rPr>
          <w:rFonts w:ascii="Arial" w:hAnsi="Arial" w:cs="Arial"/>
        </w:rPr>
      </w:pPr>
      <w:r w:rsidRPr="00A226F3">
        <w:rPr>
          <w:rFonts w:ascii="Arial" w:hAnsi="Arial" w:cs="Arial"/>
          <w:b/>
          <w:bCs/>
        </w:rPr>
        <w:t>B</w:t>
      </w:r>
      <w:r w:rsidRPr="00A226F3">
        <w:rPr>
          <w:rFonts w:ascii="Arial" w:hAnsi="Arial" w:cs="Arial"/>
        </w:rPr>
        <w:t xml:space="preserve">: Kaplan-Meier curves of </w:t>
      </w:r>
      <w:r w:rsidR="0063168E">
        <w:rPr>
          <w:rFonts w:ascii="Arial" w:hAnsi="Arial" w:cs="Arial"/>
        </w:rPr>
        <w:t xml:space="preserve">different </w:t>
      </w:r>
      <w:r w:rsidRPr="00A226F3">
        <w:rPr>
          <w:rFonts w:ascii="Arial" w:hAnsi="Arial" w:cs="Arial"/>
        </w:rPr>
        <w:t>GBM patient</w:t>
      </w:r>
      <w:r w:rsidR="0063168E">
        <w:rPr>
          <w:rFonts w:ascii="Arial" w:hAnsi="Arial" w:cs="Arial"/>
        </w:rPr>
        <w:t xml:space="preserve"> groups</w:t>
      </w:r>
      <w:r w:rsidRPr="00A226F3">
        <w:rPr>
          <w:rFonts w:ascii="Arial" w:hAnsi="Arial" w:cs="Arial"/>
        </w:rPr>
        <w:t xml:space="preserve"> with high or low TAZ expression (Cutoff: median expression</w:t>
      </w:r>
      <w:r w:rsidR="00103A09">
        <w:rPr>
          <w:rFonts w:ascii="Arial" w:hAnsi="Arial" w:cs="Arial"/>
        </w:rPr>
        <w:t xml:space="preserve"> (top panel) or </w:t>
      </w:r>
      <w:r w:rsidR="002745A5">
        <w:rPr>
          <w:rFonts w:ascii="Arial" w:hAnsi="Arial" w:cs="Arial"/>
        </w:rPr>
        <w:t xml:space="preserve">TAZ-high/low </w:t>
      </w:r>
      <w:r w:rsidR="00103A09">
        <w:rPr>
          <w:rFonts w:ascii="Arial" w:hAnsi="Arial" w:cs="Arial"/>
        </w:rPr>
        <w:t>quartiles (bottom panel)</w:t>
      </w:r>
      <w:r w:rsidRPr="00A226F3">
        <w:rPr>
          <w:rFonts w:ascii="Arial" w:hAnsi="Arial" w:cs="Arial"/>
        </w:rPr>
        <w:t>) from the TCGA and CGGA database</w:t>
      </w:r>
      <w:r w:rsidR="0063168E">
        <w:rPr>
          <w:rFonts w:ascii="Arial" w:hAnsi="Arial" w:cs="Arial"/>
        </w:rPr>
        <w:t>. Patient survival was compared in all GBM patients, patients with wild-type or mutant IDH1</w:t>
      </w:r>
      <w:r w:rsidR="00DD2D3D">
        <w:rPr>
          <w:rFonts w:ascii="Arial" w:hAnsi="Arial" w:cs="Arial"/>
        </w:rPr>
        <w:t xml:space="preserve">. </w:t>
      </w:r>
      <w:r w:rsidR="0063168E">
        <w:rPr>
          <w:rFonts w:ascii="Arial" w:hAnsi="Arial" w:cs="Arial"/>
        </w:rPr>
        <w:t xml:space="preserve"> </w:t>
      </w:r>
      <w:r w:rsidR="00103A09" w:rsidRPr="00103A09">
        <w:rPr>
          <w:rFonts w:ascii="Arial" w:hAnsi="Arial" w:cs="Arial"/>
        </w:rPr>
        <w:t>Hazard ratio</w:t>
      </w:r>
      <w:r w:rsidR="00103A09">
        <w:rPr>
          <w:rFonts w:ascii="Arial" w:hAnsi="Arial" w:cs="Arial"/>
        </w:rPr>
        <w:t xml:space="preserve"> (HR) and </w:t>
      </w:r>
      <w:r w:rsidRPr="009C6B69">
        <w:rPr>
          <w:rFonts w:ascii="Arial" w:hAnsi="Arial" w:cs="Arial"/>
          <w:i/>
          <w:iCs/>
        </w:rPr>
        <w:t>p</w:t>
      </w:r>
      <w:r w:rsidRPr="00EF44A2">
        <w:rPr>
          <w:rFonts w:ascii="Arial" w:hAnsi="Arial" w:cs="Arial"/>
          <w:i/>
          <w:iCs/>
        </w:rPr>
        <w:t xml:space="preserve"> </w:t>
      </w:r>
      <w:r>
        <w:rPr>
          <w:rFonts w:ascii="Arial" w:hAnsi="Arial" w:cs="Arial"/>
        </w:rPr>
        <w:t xml:space="preserve">values were marked inside each panel. </w:t>
      </w:r>
      <w:r w:rsidRPr="00A226F3">
        <w:rPr>
          <w:rFonts w:ascii="Arial" w:hAnsi="Arial" w:cs="Arial"/>
        </w:rPr>
        <w:t xml:space="preserve"> </w:t>
      </w:r>
    </w:p>
    <w:p w14:paraId="432D9EF3" w14:textId="75E0B851" w:rsidR="00C80C7E" w:rsidRDefault="00C80C7E" w:rsidP="00C80C7E">
      <w:pPr>
        <w:spacing w:after="0" w:line="240" w:lineRule="auto"/>
        <w:rPr>
          <w:rFonts w:ascii="Arial" w:hAnsi="Arial" w:cs="Arial"/>
        </w:rPr>
      </w:pPr>
      <w:r w:rsidRPr="00A226F3">
        <w:rPr>
          <w:rFonts w:ascii="Arial" w:hAnsi="Arial" w:cs="Arial"/>
          <w:b/>
          <w:bCs/>
        </w:rPr>
        <w:t>C</w:t>
      </w:r>
      <w:r w:rsidRPr="001F6494">
        <w:rPr>
          <w:rFonts w:ascii="Arial" w:hAnsi="Arial" w:cs="Arial"/>
        </w:rPr>
        <w:t xml:space="preserve"> and </w:t>
      </w:r>
      <w:r>
        <w:rPr>
          <w:rFonts w:ascii="Arial" w:hAnsi="Arial" w:cs="Arial"/>
          <w:b/>
          <w:bCs/>
        </w:rPr>
        <w:t>D</w:t>
      </w:r>
      <w:r w:rsidRPr="00A226F3">
        <w:rPr>
          <w:rFonts w:ascii="Arial" w:hAnsi="Arial" w:cs="Arial"/>
        </w:rPr>
        <w:t xml:space="preserve">: Correlation analysis of mRNA levels of TAZ (WWTR1) and RTK ligands and receptors </w:t>
      </w:r>
      <w:r>
        <w:rPr>
          <w:rFonts w:ascii="Arial" w:hAnsi="Arial" w:cs="Arial"/>
        </w:rPr>
        <w:t xml:space="preserve">as marked </w:t>
      </w:r>
      <w:r w:rsidRPr="00A226F3">
        <w:rPr>
          <w:rFonts w:ascii="Arial" w:hAnsi="Arial" w:cs="Arial"/>
        </w:rPr>
        <w:t>in GBM specimens from the TCGA (n=454)</w:t>
      </w:r>
      <w:r>
        <w:rPr>
          <w:rFonts w:ascii="Arial" w:hAnsi="Arial" w:cs="Arial"/>
        </w:rPr>
        <w:t xml:space="preserve"> and CGGA </w:t>
      </w:r>
      <w:r w:rsidRPr="00A226F3">
        <w:rPr>
          <w:rFonts w:ascii="Arial" w:hAnsi="Arial" w:cs="Arial"/>
        </w:rPr>
        <w:t>(n=</w:t>
      </w:r>
      <w:r>
        <w:rPr>
          <w:rFonts w:ascii="Arial" w:hAnsi="Arial" w:cs="Arial"/>
        </w:rPr>
        <w:t>1,012</w:t>
      </w:r>
      <w:r w:rsidRPr="00A226F3">
        <w:rPr>
          <w:rFonts w:ascii="Arial" w:hAnsi="Arial" w:cs="Arial"/>
        </w:rPr>
        <w:t>)</w:t>
      </w:r>
      <w:r>
        <w:rPr>
          <w:rFonts w:ascii="Arial" w:hAnsi="Arial" w:cs="Arial"/>
        </w:rPr>
        <w:t xml:space="preserve"> </w:t>
      </w:r>
      <w:r w:rsidRPr="00A226F3">
        <w:rPr>
          <w:rFonts w:ascii="Arial" w:hAnsi="Arial" w:cs="Arial"/>
        </w:rPr>
        <w:t>data</w:t>
      </w:r>
      <w:r>
        <w:rPr>
          <w:rFonts w:ascii="Arial" w:hAnsi="Arial" w:cs="Arial"/>
        </w:rPr>
        <w:t>sets</w:t>
      </w:r>
      <w:r w:rsidRPr="00A226F3">
        <w:rPr>
          <w:rFonts w:ascii="Arial" w:hAnsi="Arial" w:cs="Arial"/>
        </w:rPr>
        <w:t>.</w:t>
      </w:r>
    </w:p>
    <w:p w14:paraId="490BFEED" w14:textId="77777777" w:rsidR="0003568E" w:rsidRDefault="0003568E" w:rsidP="00C80C7E">
      <w:pPr>
        <w:spacing w:after="0" w:line="240" w:lineRule="auto"/>
        <w:rPr>
          <w:rFonts w:ascii="Arial" w:hAnsi="Arial" w:cs="Arial"/>
        </w:rPr>
      </w:pPr>
    </w:p>
    <w:p w14:paraId="6E11AFB0" w14:textId="77777777" w:rsidR="00C80C7E" w:rsidRDefault="00C80C7E" w:rsidP="00C80C7E">
      <w:pPr>
        <w:spacing w:after="0" w:line="240" w:lineRule="auto"/>
        <w:rPr>
          <w:rFonts w:ascii="Arial" w:hAnsi="Arial" w:cs="Arial"/>
        </w:rPr>
      </w:pPr>
    </w:p>
    <w:p w14:paraId="03BD3824" w14:textId="42092E04" w:rsidR="0067223D" w:rsidRDefault="00932F27" w:rsidP="00D14987">
      <w:pPr>
        <w:jc w:val="center"/>
        <w:rPr>
          <w:b/>
          <w:bCs/>
          <w:sz w:val="32"/>
          <w:szCs w:val="32"/>
        </w:rPr>
      </w:pPr>
      <w:r>
        <w:rPr>
          <w:b/>
          <w:bCs/>
          <w:noProof/>
          <w:sz w:val="32"/>
          <w:szCs w:val="32"/>
        </w:rPr>
        <w:lastRenderedPageBreak/>
        <w:drawing>
          <wp:inline distT="0" distB="0" distL="0" distR="0" wp14:anchorId="7537180E" wp14:editId="73DA26F4">
            <wp:extent cx="5775325" cy="91440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75325" cy="9144000"/>
                    </a:xfrm>
                    <a:prstGeom prst="rect">
                      <a:avLst/>
                    </a:prstGeom>
                  </pic:spPr>
                </pic:pic>
              </a:graphicData>
            </a:graphic>
          </wp:inline>
        </w:drawing>
      </w:r>
    </w:p>
    <w:p w14:paraId="301C487E" w14:textId="098CE663" w:rsidR="00C80C7E" w:rsidRDefault="00C80C7E" w:rsidP="00C80C7E">
      <w:pPr>
        <w:spacing w:after="0" w:line="240" w:lineRule="auto"/>
        <w:rPr>
          <w:rFonts w:ascii="Arial" w:hAnsi="Arial" w:cs="Arial"/>
          <w:b/>
          <w:bCs/>
        </w:rPr>
      </w:pPr>
      <w:r w:rsidRPr="00A226F3">
        <w:rPr>
          <w:rFonts w:ascii="Arial" w:hAnsi="Arial" w:cs="Arial"/>
          <w:b/>
          <w:bCs/>
        </w:rPr>
        <w:lastRenderedPageBreak/>
        <w:t>Fig</w:t>
      </w:r>
      <w:r>
        <w:rPr>
          <w:rFonts w:ascii="Arial" w:hAnsi="Arial" w:cs="Arial"/>
          <w:b/>
          <w:bCs/>
        </w:rPr>
        <w:t>ure</w:t>
      </w:r>
      <w:r w:rsidRPr="00A226F3">
        <w:rPr>
          <w:rFonts w:ascii="Arial" w:hAnsi="Arial" w:cs="Arial"/>
          <w:b/>
          <w:bCs/>
        </w:rPr>
        <w:t xml:space="preserve"> S2</w:t>
      </w:r>
      <w:r>
        <w:rPr>
          <w:rFonts w:ascii="Arial" w:hAnsi="Arial" w:cs="Arial"/>
          <w:b/>
          <w:bCs/>
        </w:rPr>
        <w:t>.</w:t>
      </w:r>
      <w:r w:rsidRPr="00A226F3">
        <w:rPr>
          <w:rFonts w:ascii="Arial" w:hAnsi="Arial" w:cs="Arial"/>
        </w:rPr>
        <w:t xml:space="preserve"> </w:t>
      </w:r>
      <w:r w:rsidRPr="00A226F3">
        <w:rPr>
          <w:rFonts w:ascii="Arial" w:hAnsi="Arial" w:cs="Arial"/>
          <w:b/>
          <w:bCs/>
        </w:rPr>
        <w:t xml:space="preserve">YAP and LATS1 </w:t>
      </w:r>
      <w:r>
        <w:rPr>
          <w:rFonts w:ascii="Arial" w:hAnsi="Arial" w:cs="Arial"/>
          <w:b/>
          <w:bCs/>
        </w:rPr>
        <w:t>are</w:t>
      </w:r>
      <w:r w:rsidRPr="00A226F3">
        <w:rPr>
          <w:rFonts w:ascii="Arial" w:hAnsi="Arial" w:cs="Arial"/>
          <w:b/>
          <w:bCs/>
        </w:rPr>
        <w:t xml:space="preserve"> not modulated by EGF stimulation</w:t>
      </w:r>
      <w:r>
        <w:rPr>
          <w:rFonts w:ascii="Arial" w:hAnsi="Arial" w:cs="Arial"/>
          <w:b/>
          <w:bCs/>
        </w:rPr>
        <w:t xml:space="preserve"> (related to Figure 1)</w:t>
      </w:r>
      <w:r w:rsidRPr="00A226F3">
        <w:rPr>
          <w:rFonts w:ascii="Arial" w:hAnsi="Arial" w:cs="Arial"/>
          <w:b/>
          <w:bCs/>
        </w:rPr>
        <w:t>.</w:t>
      </w:r>
    </w:p>
    <w:p w14:paraId="7D6F25E6" w14:textId="77777777" w:rsidR="00A801F7" w:rsidRPr="00A226F3" w:rsidRDefault="00A801F7" w:rsidP="00C80C7E">
      <w:pPr>
        <w:spacing w:after="0" w:line="240" w:lineRule="auto"/>
        <w:rPr>
          <w:rFonts w:ascii="Arial" w:hAnsi="Arial" w:cs="Arial"/>
        </w:rPr>
      </w:pPr>
    </w:p>
    <w:p w14:paraId="4815E93B" w14:textId="74729355" w:rsidR="00C80C7E" w:rsidRDefault="00C80C7E" w:rsidP="00C80C7E">
      <w:pPr>
        <w:spacing w:after="0" w:line="240" w:lineRule="auto"/>
        <w:rPr>
          <w:rFonts w:ascii="Arial" w:hAnsi="Arial" w:cs="Arial"/>
        </w:rPr>
      </w:pPr>
      <w:r w:rsidRPr="00A226F3">
        <w:rPr>
          <w:rFonts w:ascii="Arial" w:hAnsi="Arial" w:cs="Arial"/>
          <w:b/>
          <w:bCs/>
        </w:rPr>
        <w:t xml:space="preserve">A </w:t>
      </w:r>
      <w:r w:rsidRPr="00A226F3">
        <w:rPr>
          <w:rFonts w:ascii="Arial" w:hAnsi="Arial" w:cs="Arial"/>
        </w:rPr>
        <w:t>and</w:t>
      </w:r>
      <w:r w:rsidRPr="00A226F3">
        <w:rPr>
          <w:rFonts w:ascii="Arial" w:hAnsi="Arial" w:cs="Arial"/>
          <w:b/>
          <w:bCs/>
        </w:rPr>
        <w:t xml:space="preserve"> B:</w:t>
      </w:r>
      <w:r w:rsidRPr="00A226F3">
        <w:rPr>
          <w:rFonts w:ascii="Arial" w:hAnsi="Arial" w:cs="Arial"/>
        </w:rPr>
        <w:t xml:space="preserve"> After growth factor depletion for 16 hours, GBM1B and A172 cells were treated with EGF for the indicated times (Con: untreated cells). </w:t>
      </w:r>
      <w:r>
        <w:rPr>
          <w:rFonts w:ascii="Arial" w:hAnsi="Arial" w:cs="Arial"/>
        </w:rPr>
        <w:t xml:space="preserve">The levels of </w:t>
      </w:r>
      <w:r w:rsidRPr="00A226F3">
        <w:rPr>
          <w:rFonts w:ascii="Arial" w:hAnsi="Arial" w:cs="Arial"/>
        </w:rPr>
        <w:t xml:space="preserve">YAP (A), phosphorylated and total LATS1 </w:t>
      </w:r>
      <w:r>
        <w:rPr>
          <w:rFonts w:ascii="Arial" w:hAnsi="Arial" w:cs="Arial"/>
        </w:rPr>
        <w:t xml:space="preserve">(B) </w:t>
      </w:r>
      <w:r w:rsidRPr="00A226F3">
        <w:rPr>
          <w:rFonts w:ascii="Arial" w:hAnsi="Arial" w:cs="Arial"/>
        </w:rPr>
        <w:t xml:space="preserve">were quantified by western blotting. Protein fold expression normalized to β-Actin or total LATS1 is shown below each lane. </w:t>
      </w:r>
    </w:p>
    <w:p w14:paraId="6A8B1E29" w14:textId="77777777" w:rsidR="00C80C7E" w:rsidRDefault="00C80C7E" w:rsidP="00C80C7E">
      <w:pPr>
        <w:spacing w:after="0" w:line="240" w:lineRule="auto"/>
        <w:rPr>
          <w:rFonts w:ascii="Arial" w:hAnsi="Arial" w:cs="Arial"/>
        </w:rPr>
      </w:pPr>
    </w:p>
    <w:p w14:paraId="770B8057" w14:textId="6B042CB1" w:rsidR="0067223D" w:rsidRDefault="00751A45" w:rsidP="00D14987">
      <w:pPr>
        <w:jc w:val="center"/>
        <w:rPr>
          <w:b/>
          <w:bCs/>
          <w:sz w:val="32"/>
          <w:szCs w:val="32"/>
        </w:rPr>
      </w:pPr>
      <w:r>
        <w:rPr>
          <w:b/>
          <w:bCs/>
          <w:noProof/>
          <w:sz w:val="32"/>
          <w:szCs w:val="32"/>
        </w:rPr>
        <w:drawing>
          <wp:inline distT="0" distB="0" distL="0" distR="0" wp14:anchorId="1A337206" wp14:editId="49335CF8">
            <wp:extent cx="6709558" cy="1033502"/>
            <wp:effectExtent l="0" t="0" r="0" b="0"/>
            <wp:docPr id="23" name="Picture 23"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S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41757" cy="1038462"/>
                    </a:xfrm>
                    <a:prstGeom prst="rect">
                      <a:avLst/>
                    </a:prstGeom>
                  </pic:spPr>
                </pic:pic>
              </a:graphicData>
            </a:graphic>
          </wp:inline>
        </w:drawing>
      </w:r>
    </w:p>
    <w:p w14:paraId="0D8A2F89" w14:textId="12F0E706" w:rsidR="0067223D" w:rsidRDefault="0067223D" w:rsidP="00244E67">
      <w:pPr>
        <w:rPr>
          <w:b/>
          <w:bCs/>
          <w:sz w:val="32"/>
          <w:szCs w:val="32"/>
        </w:rPr>
      </w:pPr>
    </w:p>
    <w:p w14:paraId="3EDB90F2" w14:textId="08545D7F" w:rsidR="00751A45" w:rsidRDefault="00751A45" w:rsidP="00244E67">
      <w:pPr>
        <w:rPr>
          <w:b/>
          <w:bCs/>
          <w:sz w:val="32"/>
          <w:szCs w:val="32"/>
        </w:rPr>
      </w:pPr>
    </w:p>
    <w:p w14:paraId="279392DA" w14:textId="25CCA53E" w:rsidR="00751A45" w:rsidRDefault="00751A45" w:rsidP="00244E67">
      <w:pPr>
        <w:rPr>
          <w:b/>
          <w:bCs/>
          <w:sz w:val="32"/>
          <w:szCs w:val="32"/>
        </w:rPr>
      </w:pPr>
    </w:p>
    <w:p w14:paraId="36EBF06C" w14:textId="14734238" w:rsidR="00C80C7E" w:rsidRDefault="00C80C7E" w:rsidP="00244E67">
      <w:pPr>
        <w:rPr>
          <w:b/>
          <w:bCs/>
          <w:sz w:val="32"/>
          <w:szCs w:val="32"/>
        </w:rPr>
      </w:pPr>
    </w:p>
    <w:p w14:paraId="24C00FCC" w14:textId="772ADA73" w:rsidR="00C80C7E" w:rsidRDefault="00C80C7E" w:rsidP="00244E67">
      <w:pPr>
        <w:rPr>
          <w:b/>
          <w:bCs/>
          <w:sz w:val="32"/>
          <w:szCs w:val="32"/>
        </w:rPr>
      </w:pPr>
    </w:p>
    <w:p w14:paraId="2BF52C5F" w14:textId="77B40130" w:rsidR="00751A45" w:rsidRDefault="00751A45" w:rsidP="00244E67">
      <w:pPr>
        <w:rPr>
          <w:b/>
          <w:bCs/>
          <w:sz w:val="32"/>
          <w:szCs w:val="32"/>
        </w:rPr>
      </w:pPr>
    </w:p>
    <w:p w14:paraId="53D79824" w14:textId="2C0DE2C4" w:rsidR="00C80C7E" w:rsidRDefault="00C80C7E" w:rsidP="00C80C7E">
      <w:pPr>
        <w:spacing w:after="0" w:line="240" w:lineRule="auto"/>
        <w:rPr>
          <w:rFonts w:ascii="Arial" w:hAnsi="Arial" w:cs="Arial"/>
          <w:b/>
          <w:bCs/>
        </w:rPr>
      </w:pPr>
      <w:r w:rsidRPr="00A226F3">
        <w:rPr>
          <w:rFonts w:ascii="Arial" w:hAnsi="Arial" w:cs="Arial"/>
          <w:b/>
          <w:bCs/>
        </w:rPr>
        <w:t>Fig</w:t>
      </w:r>
      <w:r>
        <w:rPr>
          <w:rFonts w:ascii="Arial" w:hAnsi="Arial" w:cs="Arial"/>
          <w:b/>
          <w:bCs/>
        </w:rPr>
        <w:t>ure</w:t>
      </w:r>
      <w:r w:rsidRPr="00A226F3">
        <w:rPr>
          <w:rFonts w:ascii="Arial" w:hAnsi="Arial" w:cs="Arial"/>
          <w:b/>
          <w:bCs/>
        </w:rPr>
        <w:t xml:space="preserve"> S3</w:t>
      </w:r>
      <w:r>
        <w:rPr>
          <w:rFonts w:ascii="Arial" w:hAnsi="Arial" w:cs="Arial"/>
          <w:b/>
          <w:bCs/>
        </w:rPr>
        <w:t>.</w:t>
      </w:r>
      <w:r w:rsidRPr="00A226F3">
        <w:rPr>
          <w:rFonts w:ascii="Arial" w:hAnsi="Arial" w:cs="Arial"/>
          <w:b/>
          <w:bCs/>
        </w:rPr>
        <w:t xml:space="preserve"> EGF-induced TAZ activation </w:t>
      </w:r>
      <w:r>
        <w:rPr>
          <w:rFonts w:ascii="Arial" w:hAnsi="Arial" w:cs="Arial"/>
          <w:b/>
          <w:bCs/>
        </w:rPr>
        <w:t>is</w:t>
      </w:r>
      <w:r w:rsidRPr="00A226F3">
        <w:rPr>
          <w:rFonts w:ascii="Arial" w:hAnsi="Arial" w:cs="Arial"/>
          <w:b/>
          <w:bCs/>
        </w:rPr>
        <w:t xml:space="preserve"> blocked by the STAT3 and ERK1/2 inhibitor</w:t>
      </w:r>
      <w:r>
        <w:rPr>
          <w:rFonts w:ascii="Arial" w:hAnsi="Arial" w:cs="Arial"/>
          <w:b/>
          <w:bCs/>
        </w:rPr>
        <w:t xml:space="preserve"> (related to Figure 2)</w:t>
      </w:r>
      <w:r w:rsidRPr="00A226F3">
        <w:rPr>
          <w:rFonts w:ascii="Arial" w:hAnsi="Arial" w:cs="Arial"/>
          <w:b/>
          <w:bCs/>
        </w:rPr>
        <w:t>.</w:t>
      </w:r>
    </w:p>
    <w:p w14:paraId="2BC13692" w14:textId="77777777" w:rsidR="00A801F7" w:rsidRPr="00A226F3" w:rsidRDefault="00A801F7" w:rsidP="00C80C7E">
      <w:pPr>
        <w:spacing w:after="0" w:line="240" w:lineRule="auto"/>
        <w:rPr>
          <w:rFonts w:ascii="Arial" w:hAnsi="Arial" w:cs="Arial"/>
          <w:b/>
          <w:bCs/>
        </w:rPr>
      </w:pPr>
    </w:p>
    <w:p w14:paraId="10F48070" w14:textId="77777777" w:rsidR="00C80C7E" w:rsidRDefault="00C80C7E" w:rsidP="00C80C7E">
      <w:pPr>
        <w:spacing w:after="0" w:line="240" w:lineRule="auto"/>
        <w:rPr>
          <w:rFonts w:ascii="Arial" w:hAnsi="Arial" w:cs="Arial"/>
        </w:rPr>
      </w:pPr>
      <w:r w:rsidRPr="00A226F3">
        <w:rPr>
          <w:rFonts w:ascii="Arial" w:hAnsi="Arial" w:cs="Arial"/>
          <w:b/>
          <w:bCs/>
        </w:rPr>
        <w:t>A</w:t>
      </w:r>
      <w:r w:rsidRPr="00A226F3">
        <w:rPr>
          <w:rFonts w:ascii="Arial" w:hAnsi="Arial" w:cs="Arial"/>
        </w:rPr>
        <w:t xml:space="preserve"> and </w:t>
      </w:r>
      <w:r w:rsidRPr="00A226F3">
        <w:rPr>
          <w:rFonts w:ascii="Arial" w:hAnsi="Arial" w:cs="Arial"/>
          <w:b/>
          <w:bCs/>
        </w:rPr>
        <w:t>B</w:t>
      </w:r>
      <w:r w:rsidRPr="00A226F3">
        <w:rPr>
          <w:rFonts w:ascii="Arial" w:hAnsi="Arial" w:cs="Arial"/>
        </w:rPr>
        <w:t xml:space="preserve">: GBM1B cells were first depleted of growth factors and treated with +/- STAT3 (A) or ERK1/2 (B) inhibitors </w:t>
      </w:r>
      <w:r>
        <w:rPr>
          <w:rFonts w:ascii="Arial" w:hAnsi="Arial" w:cs="Arial"/>
        </w:rPr>
        <w:t xml:space="preserve">as marked for </w:t>
      </w:r>
      <w:r w:rsidRPr="00A226F3">
        <w:rPr>
          <w:rFonts w:ascii="Arial" w:hAnsi="Arial" w:cs="Arial"/>
        </w:rPr>
        <w:t>16 hours</w:t>
      </w:r>
      <w:r>
        <w:rPr>
          <w:rFonts w:ascii="Arial" w:hAnsi="Arial" w:cs="Arial"/>
        </w:rPr>
        <w:t xml:space="preserve"> (</w:t>
      </w:r>
      <w:proofErr w:type="spellStart"/>
      <w:r>
        <w:rPr>
          <w:rFonts w:ascii="Arial" w:hAnsi="Arial" w:cs="Arial"/>
        </w:rPr>
        <w:t>Stattic</w:t>
      </w:r>
      <w:proofErr w:type="spellEnd"/>
      <w:r>
        <w:rPr>
          <w:rFonts w:ascii="Arial" w:hAnsi="Arial" w:cs="Arial"/>
        </w:rPr>
        <w:t>: 5 µM; FR180204: 50</w:t>
      </w:r>
      <w:r w:rsidRPr="00D0453D">
        <w:rPr>
          <w:rFonts w:ascii="Arial" w:hAnsi="Arial" w:cs="Arial"/>
        </w:rPr>
        <w:t xml:space="preserve"> </w:t>
      </w:r>
      <w:r>
        <w:rPr>
          <w:rFonts w:ascii="Arial" w:hAnsi="Arial" w:cs="Arial"/>
        </w:rPr>
        <w:t>µM)</w:t>
      </w:r>
      <w:r w:rsidRPr="00A226F3">
        <w:rPr>
          <w:rFonts w:ascii="Arial" w:hAnsi="Arial" w:cs="Arial"/>
        </w:rPr>
        <w:t xml:space="preserve">. Cells receiving 4-hour EGF treatment were subjected to western blotting using total protein lysates. Protein fold expression normalized to β-Actin is shown below each lane. </w:t>
      </w:r>
    </w:p>
    <w:p w14:paraId="43AFFC47" w14:textId="362E35A4" w:rsidR="0067223D" w:rsidRDefault="0067223D" w:rsidP="00244E67">
      <w:pPr>
        <w:rPr>
          <w:b/>
          <w:bCs/>
          <w:sz w:val="32"/>
          <w:szCs w:val="32"/>
        </w:rPr>
      </w:pPr>
    </w:p>
    <w:p w14:paraId="7841931B" w14:textId="0CEFBE66" w:rsidR="0067223D" w:rsidRDefault="00751A45" w:rsidP="00C80C7E">
      <w:pPr>
        <w:jc w:val="center"/>
        <w:rPr>
          <w:b/>
          <w:bCs/>
          <w:sz w:val="32"/>
          <w:szCs w:val="32"/>
        </w:rPr>
      </w:pPr>
      <w:r>
        <w:rPr>
          <w:b/>
          <w:bCs/>
          <w:noProof/>
          <w:sz w:val="32"/>
          <w:szCs w:val="32"/>
        </w:rPr>
        <w:drawing>
          <wp:inline distT="0" distB="0" distL="0" distR="0" wp14:anchorId="646803BA" wp14:editId="3F8FD5B0">
            <wp:extent cx="4153683" cy="1175657"/>
            <wp:effectExtent l="0" t="0" r="0" b="5715"/>
            <wp:docPr id="24" name="Picture 24"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S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7371" cy="1182362"/>
                    </a:xfrm>
                    <a:prstGeom prst="rect">
                      <a:avLst/>
                    </a:prstGeom>
                  </pic:spPr>
                </pic:pic>
              </a:graphicData>
            </a:graphic>
          </wp:inline>
        </w:drawing>
      </w:r>
    </w:p>
    <w:p w14:paraId="2A07D802" w14:textId="77777777" w:rsidR="0067223D" w:rsidRDefault="0067223D" w:rsidP="00244E67">
      <w:pPr>
        <w:rPr>
          <w:b/>
          <w:bCs/>
          <w:sz w:val="32"/>
          <w:szCs w:val="32"/>
        </w:rPr>
      </w:pPr>
    </w:p>
    <w:p w14:paraId="3FF508CC" w14:textId="77777777" w:rsidR="00751A45" w:rsidRDefault="00751A45" w:rsidP="00244E67">
      <w:pPr>
        <w:rPr>
          <w:b/>
          <w:bCs/>
          <w:sz w:val="32"/>
          <w:szCs w:val="32"/>
        </w:rPr>
      </w:pPr>
    </w:p>
    <w:p w14:paraId="7F8980F3" w14:textId="77777777" w:rsidR="00751A45" w:rsidRDefault="00751A45" w:rsidP="00244E67">
      <w:pPr>
        <w:rPr>
          <w:b/>
          <w:bCs/>
          <w:sz w:val="32"/>
          <w:szCs w:val="32"/>
        </w:rPr>
      </w:pPr>
    </w:p>
    <w:p w14:paraId="77C00860" w14:textId="77777777" w:rsidR="00751A45" w:rsidRDefault="00751A45" w:rsidP="00244E67">
      <w:pPr>
        <w:rPr>
          <w:b/>
          <w:bCs/>
          <w:sz w:val="32"/>
          <w:szCs w:val="32"/>
        </w:rPr>
      </w:pPr>
    </w:p>
    <w:p w14:paraId="4906E891" w14:textId="77777777" w:rsidR="00751A45" w:rsidRDefault="00751A45" w:rsidP="00244E67">
      <w:pPr>
        <w:rPr>
          <w:b/>
          <w:bCs/>
          <w:sz w:val="32"/>
          <w:szCs w:val="32"/>
        </w:rPr>
      </w:pPr>
    </w:p>
    <w:p w14:paraId="089D61ED" w14:textId="1F0248F3" w:rsidR="00C80C7E" w:rsidRDefault="00C80C7E" w:rsidP="00C80C7E">
      <w:pPr>
        <w:spacing w:after="0" w:line="240" w:lineRule="auto"/>
        <w:rPr>
          <w:rFonts w:ascii="Arial" w:hAnsi="Arial" w:cs="Arial"/>
          <w:b/>
          <w:bCs/>
        </w:rPr>
      </w:pPr>
      <w:r w:rsidRPr="00C80C7E">
        <w:rPr>
          <w:rFonts w:ascii="Arial" w:hAnsi="Arial" w:cs="Arial"/>
          <w:b/>
          <w:bCs/>
        </w:rPr>
        <w:lastRenderedPageBreak/>
        <w:t xml:space="preserve">Figure S4. A </w:t>
      </w:r>
      <w:proofErr w:type="spellStart"/>
      <w:r w:rsidRPr="00C80C7E">
        <w:rPr>
          <w:rFonts w:ascii="Arial" w:hAnsi="Arial" w:cs="Arial"/>
          <w:b/>
          <w:bCs/>
        </w:rPr>
        <w:t>clustergram</w:t>
      </w:r>
      <w:proofErr w:type="spellEnd"/>
      <w:r w:rsidRPr="00C80C7E">
        <w:rPr>
          <w:rFonts w:ascii="Arial" w:hAnsi="Arial" w:cs="Arial"/>
          <w:b/>
          <w:bCs/>
        </w:rPr>
        <w:t xml:space="preserve"> graph shows the enrichment of TAZ-Up genes in the top 20 KEGG pathways as described in Fig. 5A. The top-ranked 60 genes are shown (related to Figure 4).</w:t>
      </w:r>
    </w:p>
    <w:p w14:paraId="35B560F4" w14:textId="77777777" w:rsidR="00C80C7E" w:rsidRPr="00C80C7E" w:rsidRDefault="00C80C7E" w:rsidP="00C80C7E">
      <w:pPr>
        <w:spacing w:after="0" w:line="240" w:lineRule="auto"/>
        <w:rPr>
          <w:rFonts w:ascii="Arial" w:hAnsi="Arial" w:cs="Arial"/>
          <w:b/>
          <w:bCs/>
        </w:rPr>
      </w:pPr>
    </w:p>
    <w:p w14:paraId="0C8DD374" w14:textId="0C36ACB6" w:rsidR="0067223D" w:rsidRDefault="00751A45" w:rsidP="00D14987">
      <w:pPr>
        <w:jc w:val="center"/>
        <w:rPr>
          <w:b/>
          <w:bCs/>
          <w:sz w:val="32"/>
          <w:szCs w:val="32"/>
        </w:rPr>
      </w:pPr>
      <w:r>
        <w:rPr>
          <w:b/>
          <w:bCs/>
          <w:noProof/>
          <w:sz w:val="32"/>
          <w:szCs w:val="32"/>
        </w:rPr>
        <w:drawing>
          <wp:inline distT="0" distB="0" distL="0" distR="0" wp14:anchorId="288C7705" wp14:editId="67DCDC74">
            <wp:extent cx="3143250" cy="8631349"/>
            <wp:effectExtent l="0" t="0" r="0" b="0"/>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S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8559" cy="8645929"/>
                    </a:xfrm>
                    <a:prstGeom prst="rect">
                      <a:avLst/>
                    </a:prstGeom>
                  </pic:spPr>
                </pic:pic>
              </a:graphicData>
            </a:graphic>
          </wp:inline>
        </w:drawing>
      </w:r>
    </w:p>
    <w:p w14:paraId="387F19FA" w14:textId="2E574FD0" w:rsidR="00C80C7E" w:rsidRDefault="00C80C7E" w:rsidP="00C80C7E">
      <w:pPr>
        <w:spacing w:after="0" w:line="240" w:lineRule="auto"/>
        <w:rPr>
          <w:rFonts w:ascii="Arial" w:hAnsi="Arial" w:cs="Arial"/>
          <w:b/>
          <w:bCs/>
        </w:rPr>
      </w:pPr>
      <w:r w:rsidRPr="006D6D7F">
        <w:rPr>
          <w:rFonts w:ascii="Arial" w:hAnsi="Arial" w:cs="Arial"/>
          <w:b/>
          <w:bCs/>
        </w:rPr>
        <w:lastRenderedPageBreak/>
        <w:t>Fig</w:t>
      </w:r>
      <w:r>
        <w:rPr>
          <w:rFonts w:ascii="Arial" w:hAnsi="Arial" w:cs="Arial"/>
          <w:b/>
          <w:bCs/>
        </w:rPr>
        <w:t>ure</w:t>
      </w:r>
      <w:r w:rsidRPr="006D6D7F">
        <w:rPr>
          <w:rFonts w:ascii="Arial" w:hAnsi="Arial" w:cs="Arial"/>
          <w:b/>
          <w:bCs/>
        </w:rPr>
        <w:t xml:space="preserve"> S5</w:t>
      </w:r>
      <w:r>
        <w:rPr>
          <w:rFonts w:ascii="Arial" w:hAnsi="Arial" w:cs="Arial"/>
          <w:b/>
          <w:bCs/>
        </w:rPr>
        <w:t>.</w:t>
      </w:r>
      <w:r w:rsidRPr="006D6D7F">
        <w:rPr>
          <w:rFonts w:ascii="Arial" w:hAnsi="Arial" w:cs="Arial"/>
          <w:b/>
          <w:bCs/>
        </w:rPr>
        <w:t xml:space="preserve"> TAZ binding peaks proximal to validated TAZ-Up genes</w:t>
      </w:r>
      <w:r>
        <w:rPr>
          <w:rFonts w:ascii="Arial" w:hAnsi="Arial" w:cs="Arial"/>
          <w:b/>
          <w:bCs/>
        </w:rPr>
        <w:t xml:space="preserve"> as marked (related to Figure 5)</w:t>
      </w:r>
      <w:r w:rsidRPr="006D6D7F">
        <w:rPr>
          <w:rFonts w:ascii="Arial" w:hAnsi="Arial" w:cs="Arial"/>
          <w:b/>
          <w:bCs/>
        </w:rPr>
        <w:t xml:space="preserve">.  </w:t>
      </w:r>
    </w:p>
    <w:p w14:paraId="669DB10E" w14:textId="77777777" w:rsidR="00A801F7" w:rsidRDefault="00A801F7" w:rsidP="00C80C7E">
      <w:pPr>
        <w:spacing w:after="0" w:line="240" w:lineRule="auto"/>
        <w:rPr>
          <w:rFonts w:ascii="Arial" w:hAnsi="Arial" w:cs="Arial"/>
          <w:b/>
          <w:bCs/>
        </w:rPr>
      </w:pPr>
    </w:p>
    <w:p w14:paraId="7F144B35" w14:textId="2E0E3CC4" w:rsidR="00C80C7E" w:rsidRDefault="00C80C7E" w:rsidP="00C80C7E">
      <w:pPr>
        <w:spacing w:after="0" w:line="240" w:lineRule="auto"/>
        <w:rPr>
          <w:rFonts w:ascii="Arial" w:hAnsi="Arial" w:cs="Arial"/>
        </w:rPr>
      </w:pPr>
      <w:r w:rsidRPr="006D6D7F">
        <w:rPr>
          <w:rFonts w:ascii="Arial" w:hAnsi="Arial" w:cs="Arial"/>
        </w:rPr>
        <w:t xml:space="preserve">The orientation of each transcript is marked by </w:t>
      </w:r>
      <w:r>
        <w:rPr>
          <w:rFonts w:ascii="Arial" w:hAnsi="Arial" w:cs="Arial"/>
        </w:rPr>
        <w:t>the</w:t>
      </w:r>
      <w:r w:rsidRPr="006D6D7F">
        <w:rPr>
          <w:rFonts w:ascii="Arial" w:hAnsi="Arial" w:cs="Arial"/>
        </w:rPr>
        <w:t xml:space="preserve"> arrow.</w:t>
      </w:r>
      <w:r>
        <w:rPr>
          <w:rFonts w:ascii="Arial" w:hAnsi="Arial" w:cs="Arial"/>
        </w:rPr>
        <w:t xml:space="preserve"> Arrowheads mark peaks for validation in </w:t>
      </w:r>
      <w:proofErr w:type="spellStart"/>
      <w:r>
        <w:rPr>
          <w:rFonts w:ascii="Arial" w:hAnsi="Arial" w:cs="Arial"/>
        </w:rPr>
        <w:t>ChIP</w:t>
      </w:r>
      <w:proofErr w:type="spellEnd"/>
      <w:r>
        <w:rPr>
          <w:rFonts w:ascii="Arial" w:hAnsi="Arial" w:cs="Arial"/>
        </w:rPr>
        <w:t>-PCR. (T:</w:t>
      </w:r>
      <w:r w:rsidRPr="006D6D7F">
        <w:rPr>
          <w:rFonts w:ascii="Arial" w:hAnsi="Arial" w:cs="Arial"/>
        </w:rPr>
        <w:t xml:space="preserve"> </w:t>
      </w:r>
      <w:r>
        <w:rPr>
          <w:rFonts w:ascii="Arial" w:hAnsi="Arial" w:cs="Arial"/>
        </w:rPr>
        <w:t>the transcription start site, TSS)</w:t>
      </w:r>
    </w:p>
    <w:p w14:paraId="733E0677" w14:textId="2D8AE636" w:rsidR="00C80C7E" w:rsidRDefault="00C80C7E" w:rsidP="00C80C7E">
      <w:pPr>
        <w:spacing w:after="0" w:line="240" w:lineRule="auto"/>
        <w:rPr>
          <w:rFonts w:ascii="Arial" w:hAnsi="Arial" w:cs="Arial"/>
        </w:rPr>
      </w:pPr>
    </w:p>
    <w:p w14:paraId="44AE7D82" w14:textId="77777777" w:rsidR="00C80C7E" w:rsidRDefault="00C80C7E" w:rsidP="00C80C7E">
      <w:pPr>
        <w:spacing w:after="0" w:line="240" w:lineRule="auto"/>
        <w:rPr>
          <w:rFonts w:ascii="Arial" w:hAnsi="Arial" w:cs="Arial"/>
        </w:rPr>
      </w:pPr>
    </w:p>
    <w:p w14:paraId="2E5A6F6D" w14:textId="008E1865" w:rsidR="0067223D" w:rsidRDefault="006F6C56" w:rsidP="0067223D">
      <w:pPr>
        <w:jc w:val="center"/>
        <w:rPr>
          <w:b/>
          <w:bCs/>
          <w:sz w:val="32"/>
          <w:szCs w:val="32"/>
        </w:rPr>
      </w:pPr>
      <w:r>
        <w:rPr>
          <w:b/>
          <w:bCs/>
          <w:noProof/>
          <w:sz w:val="32"/>
          <w:szCs w:val="32"/>
        </w:rPr>
        <w:drawing>
          <wp:inline distT="0" distB="0" distL="0" distR="0" wp14:anchorId="2AF74298" wp14:editId="7EEEC02E">
            <wp:extent cx="5401799" cy="6981825"/>
            <wp:effectExtent l="0" t="0" r="8890" b="0"/>
            <wp:docPr id="26" name="Picture 26" descr="A picture containing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S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6677" cy="6988130"/>
                    </a:xfrm>
                    <a:prstGeom prst="rect">
                      <a:avLst/>
                    </a:prstGeom>
                  </pic:spPr>
                </pic:pic>
              </a:graphicData>
            </a:graphic>
          </wp:inline>
        </w:drawing>
      </w:r>
    </w:p>
    <w:p w14:paraId="664A9356" w14:textId="13732E02" w:rsidR="006F6C56" w:rsidRDefault="006F6C56" w:rsidP="006F6C56">
      <w:pPr>
        <w:rPr>
          <w:sz w:val="32"/>
          <w:szCs w:val="32"/>
        </w:rPr>
      </w:pPr>
    </w:p>
    <w:p w14:paraId="44B8BD52" w14:textId="284F8FEF" w:rsidR="00C80C7E" w:rsidRDefault="00C80C7E" w:rsidP="006F6C56">
      <w:pPr>
        <w:rPr>
          <w:sz w:val="32"/>
          <w:szCs w:val="32"/>
        </w:rPr>
      </w:pPr>
    </w:p>
    <w:p w14:paraId="0F519AF8" w14:textId="77777777" w:rsidR="00415AD6" w:rsidRPr="006F6C56" w:rsidRDefault="00415AD6" w:rsidP="006F6C56">
      <w:pPr>
        <w:rPr>
          <w:sz w:val="32"/>
          <w:szCs w:val="32"/>
        </w:rPr>
      </w:pPr>
    </w:p>
    <w:p w14:paraId="09F34007" w14:textId="4A9E65C3" w:rsidR="00C80C7E" w:rsidRDefault="00C80C7E" w:rsidP="00C80C7E">
      <w:pPr>
        <w:spacing w:after="0" w:line="240" w:lineRule="auto"/>
        <w:rPr>
          <w:rFonts w:ascii="Arial" w:hAnsi="Arial" w:cs="Arial"/>
          <w:b/>
          <w:bCs/>
        </w:rPr>
      </w:pPr>
      <w:r w:rsidRPr="00A226F3">
        <w:rPr>
          <w:rFonts w:ascii="Arial" w:hAnsi="Arial" w:cs="Arial"/>
          <w:b/>
          <w:bCs/>
        </w:rPr>
        <w:lastRenderedPageBreak/>
        <w:t>Fig</w:t>
      </w:r>
      <w:r>
        <w:rPr>
          <w:rFonts w:ascii="Arial" w:hAnsi="Arial" w:cs="Arial"/>
          <w:b/>
          <w:bCs/>
        </w:rPr>
        <w:t>ure</w:t>
      </w:r>
      <w:r w:rsidRPr="00A226F3">
        <w:rPr>
          <w:rFonts w:ascii="Arial" w:hAnsi="Arial" w:cs="Arial"/>
          <w:b/>
          <w:bCs/>
        </w:rPr>
        <w:t xml:space="preserve"> S</w:t>
      </w:r>
      <w:r>
        <w:rPr>
          <w:rFonts w:ascii="Arial" w:hAnsi="Arial" w:cs="Arial"/>
          <w:b/>
          <w:bCs/>
        </w:rPr>
        <w:t>6.</w:t>
      </w:r>
      <w:r w:rsidRPr="00A226F3">
        <w:rPr>
          <w:rFonts w:ascii="Arial" w:hAnsi="Arial" w:cs="Arial"/>
          <w:b/>
          <w:bCs/>
        </w:rPr>
        <w:t xml:space="preserve"> </w:t>
      </w:r>
      <w:r>
        <w:rPr>
          <w:rFonts w:ascii="Arial" w:hAnsi="Arial" w:cs="Arial"/>
          <w:b/>
          <w:bCs/>
        </w:rPr>
        <w:t xml:space="preserve">Correlation between </w:t>
      </w:r>
      <w:r w:rsidRPr="00A226F3">
        <w:rPr>
          <w:rFonts w:ascii="Arial" w:hAnsi="Arial" w:cs="Arial"/>
          <w:b/>
          <w:bCs/>
        </w:rPr>
        <w:t xml:space="preserve">TAZ </w:t>
      </w:r>
      <w:r>
        <w:rPr>
          <w:rFonts w:ascii="Arial" w:hAnsi="Arial" w:cs="Arial"/>
          <w:b/>
          <w:bCs/>
        </w:rPr>
        <w:t xml:space="preserve">and validated </w:t>
      </w:r>
      <w:r w:rsidRPr="00A226F3">
        <w:rPr>
          <w:rFonts w:ascii="Arial" w:hAnsi="Arial" w:cs="Arial"/>
          <w:b/>
          <w:bCs/>
        </w:rPr>
        <w:t>TAZ-Up gene</w:t>
      </w:r>
      <w:r>
        <w:rPr>
          <w:rFonts w:ascii="Arial" w:hAnsi="Arial" w:cs="Arial"/>
          <w:b/>
          <w:bCs/>
        </w:rPr>
        <w:t>s (related to Figure 5)</w:t>
      </w:r>
      <w:r w:rsidRPr="00A226F3">
        <w:rPr>
          <w:rFonts w:ascii="Arial" w:hAnsi="Arial" w:cs="Arial"/>
          <w:b/>
          <w:bCs/>
        </w:rPr>
        <w:t>.</w:t>
      </w:r>
    </w:p>
    <w:p w14:paraId="39B2D776" w14:textId="77777777" w:rsidR="00A801F7" w:rsidRPr="00A226F3" w:rsidRDefault="00A801F7" w:rsidP="00C80C7E">
      <w:pPr>
        <w:spacing w:after="0" w:line="240" w:lineRule="auto"/>
        <w:rPr>
          <w:rFonts w:ascii="Arial" w:hAnsi="Arial" w:cs="Arial"/>
          <w:b/>
          <w:bCs/>
        </w:rPr>
      </w:pPr>
    </w:p>
    <w:p w14:paraId="53EBF00F" w14:textId="77777777" w:rsidR="00C80C7E" w:rsidRDefault="00C80C7E" w:rsidP="00C80C7E">
      <w:pPr>
        <w:spacing w:after="0" w:line="240" w:lineRule="auto"/>
        <w:rPr>
          <w:rFonts w:ascii="Arial" w:hAnsi="Arial" w:cs="Arial"/>
        </w:rPr>
      </w:pPr>
      <w:r w:rsidRPr="00A226F3">
        <w:rPr>
          <w:rFonts w:ascii="Arial" w:hAnsi="Arial" w:cs="Arial"/>
        </w:rPr>
        <w:t>Correlation analysis of mRNA levels of TAZ (WWTR1) and TAZ-Up gene targets in GBM specimens from the TCGA database (n=454, Pearson’s r value is marked inside each panel).</w:t>
      </w:r>
    </w:p>
    <w:p w14:paraId="36B50289" w14:textId="341F0460" w:rsidR="006F6C56" w:rsidRDefault="006F6C56" w:rsidP="006F6C56">
      <w:pPr>
        <w:rPr>
          <w:b/>
          <w:bCs/>
          <w:sz w:val="32"/>
          <w:szCs w:val="32"/>
        </w:rPr>
      </w:pPr>
    </w:p>
    <w:p w14:paraId="7F59CEEA" w14:textId="7053E6EC" w:rsidR="006F6C56" w:rsidRDefault="00F80E66" w:rsidP="006F6C56">
      <w:pPr>
        <w:jc w:val="center"/>
        <w:rPr>
          <w:b/>
          <w:bCs/>
          <w:sz w:val="32"/>
          <w:szCs w:val="32"/>
        </w:rPr>
      </w:pPr>
      <w:r>
        <w:rPr>
          <w:b/>
          <w:bCs/>
          <w:noProof/>
          <w:sz w:val="32"/>
          <w:szCs w:val="32"/>
        </w:rPr>
        <w:drawing>
          <wp:inline distT="0" distB="0" distL="0" distR="0" wp14:anchorId="5DCED2E9" wp14:editId="640C28FE">
            <wp:extent cx="6305550" cy="7430784"/>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6.jpg"/>
                    <pic:cNvPicPr/>
                  </pic:nvPicPr>
                  <pic:blipFill>
                    <a:blip r:embed="rId9">
                      <a:extLst>
                        <a:ext uri="{28A0092B-C50C-407E-A947-70E740481C1C}">
                          <a14:useLocalDpi xmlns:a14="http://schemas.microsoft.com/office/drawing/2010/main" val="0"/>
                        </a:ext>
                      </a:extLst>
                    </a:blip>
                    <a:stretch>
                      <a:fillRect/>
                    </a:stretch>
                  </pic:blipFill>
                  <pic:spPr>
                    <a:xfrm>
                      <a:off x="0" y="0"/>
                      <a:ext cx="6332017" cy="7461974"/>
                    </a:xfrm>
                    <a:prstGeom prst="rect">
                      <a:avLst/>
                    </a:prstGeom>
                  </pic:spPr>
                </pic:pic>
              </a:graphicData>
            </a:graphic>
          </wp:inline>
        </w:drawing>
      </w:r>
    </w:p>
    <w:p w14:paraId="7D6EEE9B" w14:textId="77777777" w:rsidR="00423362" w:rsidRDefault="00423362" w:rsidP="006F6C56">
      <w:pPr>
        <w:rPr>
          <w:b/>
          <w:bCs/>
          <w:sz w:val="32"/>
          <w:szCs w:val="32"/>
        </w:rPr>
      </w:pPr>
    </w:p>
    <w:p w14:paraId="340A6925" w14:textId="1D0099BE" w:rsidR="00C80C7E" w:rsidRDefault="00C80C7E" w:rsidP="00C80C7E">
      <w:pPr>
        <w:spacing w:after="0" w:line="240" w:lineRule="auto"/>
        <w:rPr>
          <w:rFonts w:ascii="Arial" w:hAnsi="Arial" w:cs="Arial"/>
          <w:b/>
          <w:bCs/>
        </w:rPr>
      </w:pPr>
      <w:r w:rsidRPr="00A226F3">
        <w:rPr>
          <w:rFonts w:ascii="Arial" w:hAnsi="Arial" w:cs="Arial"/>
          <w:b/>
          <w:bCs/>
        </w:rPr>
        <w:lastRenderedPageBreak/>
        <w:t>Fig</w:t>
      </w:r>
      <w:r>
        <w:rPr>
          <w:rFonts w:ascii="Arial" w:hAnsi="Arial" w:cs="Arial"/>
          <w:b/>
          <w:bCs/>
        </w:rPr>
        <w:t>ure</w:t>
      </w:r>
      <w:r w:rsidRPr="00A226F3">
        <w:rPr>
          <w:rFonts w:ascii="Arial" w:hAnsi="Arial" w:cs="Arial"/>
          <w:b/>
          <w:bCs/>
        </w:rPr>
        <w:t xml:space="preserve"> S</w:t>
      </w:r>
      <w:r>
        <w:rPr>
          <w:rFonts w:ascii="Arial" w:hAnsi="Arial" w:cs="Arial"/>
          <w:b/>
          <w:bCs/>
        </w:rPr>
        <w:t>7.</w:t>
      </w:r>
      <w:r w:rsidRPr="009C6B69">
        <w:rPr>
          <w:rFonts w:ascii="Arial" w:hAnsi="Arial" w:cs="Arial"/>
          <w:b/>
          <w:bCs/>
        </w:rPr>
        <w:t xml:space="preserve"> </w:t>
      </w:r>
      <w:r>
        <w:rPr>
          <w:rFonts w:ascii="Arial" w:hAnsi="Arial" w:cs="Arial"/>
          <w:b/>
          <w:bCs/>
        </w:rPr>
        <w:t>E</w:t>
      </w:r>
      <w:r w:rsidRPr="009C6B69">
        <w:rPr>
          <w:rFonts w:ascii="Arial" w:hAnsi="Arial" w:cs="Arial"/>
          <w:b/>
          <w:bCs/>
        </w:rPr>
        <w:t xml:space="preserve">nforced TAZ expression </w:t>
      </w:r>
      <w:r>
        <w:rPr>
          <w:rFonts w:ascii="Arial" w:hAnsi="Arial" w:cs="Arial"/>
          <w:b/>
          <w:bCs/>
        </w:rPr>
        <w:t xml:space="preserve">promotes the </w:t>
      </w:r>
      <w:r w:rsidRPr="009C6B69">
        <w:rPr>
          <w:rFonts w:ascii="Arial" w:hAnsi="Arial" w:cs="Arial"/>
          <w:b/>
          <w:bCs/>
        </w:rPr>
        <w:t xml:space="preserve">migration capability </w:t>
      </w:r>
      <w:r>
        <w:rPr>
          <w:rFonts w:ascii="Arial" w:hAnsi="Arial" w:cs="Arial"/>
          <w:b/>
          <w:bCs/>
        </w:rPr>
        <w:t xml:space="preserve">of GBM cells (related to Figure 6). </w:t>
      </w:r>
    </w:p>
    <w:p w14:paraId="3B16D9A0" w14:textId="77777777" w:rsidR="00A801F7" w:rsidRPr="00A226F3" w:rsidRDefault="00A801F7" w:rsidP="00C80C7E">
      <w:pPr>
        <w:spacing w:after="0" w:line="240" w:lineRule="auto"/>
        <w:rPr>
          <w:rFonts w:ascii="Arial" w:hAnsi="Arial" w:cs="Arial"/>
          <w:b/>
          <w:bCs/>
        </w:rPr>
      </w:pPr>
    </w:p>
    <w:p w14:paraId="0E7092D3" w14:textId="639864BC" w:rsidR="00C80C7E" w:rsidRDefault="00C80C7E" w:rsidP="00C80C7E">
      <w:pPr>
        <w:spacing w:after="0" w:line="240" w:lineRule="auto"/>
        <w:rPr>
          <w:rFonts w:ascii="Arial" w:hAnsi="Arial" w:cs="Arial"/>
        </w:rPr>
      </w:pPr>
      <w:r w:rsidRPr="00A226F3">
        <w:rPr>
          <w:rFonts w:ascii="Arial" w:hAnsi="Arial" w:cs="Arial"/>
        </w:rPr>
        <w:t xml:space="preserve">A172 and A172-TAZ cells were subjected to </w:t>
      </w:r>
      <w:r>
        <w:rPr>
          <w:rFonts w:ascii="Arial" w:hAnsi="Arial" w:cs="Arial"/>
        </w:rPr>
        <w:t xml:space="preserve">the </w:t>
      </w:r>
      <w:r w:rsidRPr="00A226F3">
        <w:rPr>
          <w:rFonts w:ascii="Arial" w:hAnsi="Arial" w:cs="Arial"/>
        </w:rPr>
        <w:t xml:space="preserve">scratch wound healing assay </w:t>
      </w:r>
      <w:r>
        <w:rPr>
          <w:rFonts w:ascii="Arial" w:hAnsi="Arial" w:cs="Arial"/>
        </w:rPr>
        <w:t xml:space="preserve">as described in Fig. 6I. Representative images showed </w:t>
      </w:r>
      <w:r w:rsidRPr="00A226F3">
        <w:rPr>
          <w:rFonts w:ascii="Arial" w:hAnsi="Arial" w:cs="Arial"/>
        </w:rPr>
        <w:t xml:space="preserve">migrating cells in the scratch area </w:t>
      </w:r>
      <w:r>
        <w:rPr>
          <w:rFonts w:ascii="Arial" w:hAnsi="Arial" w:cs="Arial"/>
        </w:rPr>
        <w:t>at three time points (Bar = 10 µm). M</w:t>
      </w:r>
      <w:r w:rsidRPr="00A226F3">
        <w:rPr>
          <w:rFonts w:ascii="Arial" w:hAnsi="Arial" w:cs="Arial"/>
        </w:rPr>
        <w:t xml:space="preserve">igrating cells </w:t>
      </w:r>
      <w:r>
        <w:rPr>
          <w:rFonts w:ascii="Arial" w:hAnsi="Arial" w:cs="Arial"/>
        </w:rPr>
        <w:t xml:space="preserve">in the regions </w:t>
      </w:r>
      <w:r w:rsidRPr="00A226F3">
        <w:rPr>
          <w:rFonts w:ascii="Arial" w:hAnsi="Arial" w:cs="Arial"/>
        </w:rPr>
        <w:t>marked by the red line</w:t>
      </w:r>
      <w:r>
        <w:rPr>
          <w:rFonts w:ascii="Arial" w:hAnsi="Arial" w:cs="Arial"/>
        </w:rPr>
        <w:t xml:space="preserve"> were quantified in Fig. 6I.</w:t>
      </w:r>
    </w:p>
    <w:p w14:paraId="685D6EAA" w14:textId="636B5EF3" w:rsidR="00C80C7E" w:rsidRDefault="00C80C7E" w:rsidP="00C80C7E">
      <w:pPr>
        <w:spacing w:after="0" w:line="240" w:lineRule="auto"/>
        <w:rPr>
          <w:rFonts w:ascii="Arial" w:hAnsi="Arial" w:cs="Arial"/>
        </w:rPr>
      </w:pPr>
    </w:p>
    <w:p w14:paraId="29267F66" w14:textId="77777777" w:rsidR="00C80C7E" w:rsidRDefault="00C80C7E" w:rsidP="00C80C7E">
      <w:pPr>
        <w:spacing w:after="0" w:line="240" w:lineRule="auto"/>
        <w:rPr>
          <w:rFonts w:ascii="Arial" w:hAnsi="Arial" w:cs="Arial"/>
        </w:rPr>
      </w:pPr>
    </w:p>
    <w:p w14:paraId="05672C7D" w14:textId="7903C54E" w:rsidR="006F6C56" w:rsidRDefault="00423362" w:rsidP="00423362">
      <w:pPr>
        <w:jc w:val="center"/>
        <w:rPr>
          <w:sz w:val="32"/>
          <w:szCs w:val="32"/>
        </w:rPr>
      </w:pPr>
      <w:r>
        <w:rPr>
          <w:noProof/>
          <w:sz w:val="32"/>
          <w:szCs w:val="32"/>
        </w:rPr>
        <w:drawing>
          <wp:inline distT="0" distB="0" distL="0" distR="0" wp14:anchorId="002E77DE" wp14:editId="66377802">
            <wp:extent cx="4591079" cy="2363189"/>
            <wp:effectExtent l="0" t="0" r="0" b="0"/>
            <wp:docPr id="28" name="Picture 28"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S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8115" cy="2366811"/>
                    </a:xfrm>
                    <a:prstGeom prst="rect">
                      <a:avLst/>
                    </a:prstGeom>
                  </pic:spPr>
                </pic:pic>
              </a:graphicData>
            </a:graphic>
          </wp:inline>
        </w:drawing>
      </w:r>
    </w:p>
    <w:p w14:paraId="7C83EF5A" w14:textId="77777777" w:rsidR="00C80C7E" w:rsidRPr="00C80C7E" w:rsidRDefault="00C80C7E" w:rsidP="00423362">
      <w:pPr>
        <w:rPr>
          <w:sz w:val="16"/>
          <w:szCs w:val="16"/>
        </w:rPr>
      </w:pPr>
    </w:p>
    <w:p w14:paraId="6CF9855F" w14:textId="77777777" w:rsidR="00540407" w:rsidRDefault="00540407" w:rsidP="00C80C7E">
      <w:pPr>
        <w:spacing w:after="0" w:line="240" w:lineRule="auto"/>
        <w:rPr>
          <w:rFonts w:ascii="Arial" w:hAnsi="Arial" w:cs="Arial"/>
          <w:b/>
          <w:bCs/>
        </w:rPr>
      </w:pPr>
    </w:p>
    <w:p w14:paraId="7FF2E3F4" w14:textId="77777777" w:rsidR="00540407" w:rsidRDefault="00540407" w:rsidP="00C80C7E">
      <w:pPr>
        <w:spacing w:after="0" w:line="240" w:lineRule="auto"/>
        <w:rPr>
          <w:rFonts w:ascii="Arial" w:hAnsi="Arial" w:cs="Arial"/>
          <w:b/>
          <w:bCs/>
        </w:rPr>
      </w:pPr>
    </w:p>
    <w:p w14:paraId="79AEF43F" w14:textId="77777777" w:rsidR="00540407" w:rsidRDefault="00540407" w:rsidP="00C80C7E">
      <w:pPr>
        <w:spacing w:after="0" w:line="240" w:lineRule="auto"/>
        <w:rPr>
          <w:rFonts w:ascii="Arial" w:hAnsi="Arial" w:cs="Arial"/>
          <w:b/>
          <w:bCs/>
        </w:rPr>
      </w:pPr>
    </w:p>
    <w:p w14:paraId="07FA7F9F" w14:textId="77777777" w:rsidR="00540407" w:rsidRDefault="00540407" w:rsidP="00C80C7E">
      <w:pPr>
        <w:spacing w:after="0" w:line="240" w:lineRule="auto"/>
        <w:rPr>
          <w:rFonts w:ascii="Arial" w:hAnsi="Arial" w:cs="Arial"/>
          <w:b/>
          <w:bCs/>
        </w:rPr>
      </w:pPr>
    </w:p>
    <w:p w14:paraId="564BE98C" w14:textId="77777777" w:rsidR="00540407" w:rsidRDefault="00540407" w:rsidP="00C80C7E">
      <w:pPr>
        <w:spacing w:after="0" w:line="240" w:lineRule="auto"/>
        <w:rPr>
          <w:rFonts w:ascii="Arial" w:hAnsi="Arial" w:cs="Arial"/>
          <w:b/>
          <w:bCs/>
        </w:rPr>
      </w:pPr>
    </w:p>
    <w:p w14:paraId="23964B04" w14:textId="77777777" w:rsidR="00540407" w:rsidRDefault="00540407" w:rsidP="00C80C7E">
      <w:pPr>
        <w:spacing w:after="0" w:line="240" w:lineRule="auto"/>
        <w:rPr>
          <w:rFonts w:ascii="Arial" w:hAnsi="Arial" w:cs="Arial"/>
          <w:b/>
          <w:bCs/>
        </w:rPr>
      </w:pPr>
    </w:p>
    <w:p w14:paraId="44E08D4C" w14:textId="77777777" w:rsidR="00540407" w:rsidRDefault="00540407" w:rsidP="00C80C7E">
      <w:pPr>
        <w:spacing w:after="0" w:line="240" w:lineRule="auto"/>
        <w:rPr>
          <w:rFonts w:ascii="Arial" w:hAnsi="Arial" w:cs="Arial"/>
          <w:b/>
          <w:bCs/>
        </w:rPr>
      </w:pPr>
    </w:p>
    <w:p w14:paraId="18796CF3" w14:textId="77777777" w:rsidR="00540407" w:rsidRDefault="00540407" w:rsidP="00C80C7E">
      <w:pPr>
        <w:spacing w:after="0" w:line="240" w:lineRule="auto"/>
        <w:rPr>
          <w:rFonts w:ascii="Arial" w:hAnsi="Arial" w:cs="Arial"/>
          <w:b/>
          <w:bCs/>
        </w:rPr>
      </w:pPr>
    </w:p>
    <w:p w14:paraId="354D1F34" w14:textId="77777777" w:rsidR="00540407" w:rsidRDefault="00540407" w:rsidP="00C80C7E">
      <w:pPr>
        <w:spacing w:after="0" w:line="240" w:lineRule="auto"/>
        <w:rPr>
          <w:rFonts w:ascii="Arial" w:hAnsi="Arial" w:cs="Arial"/>
          <w:b/>
          <w:bCs/>
        </w:rPr>
      </w:pPr>
    </w:p>
    <w:p w14:paraId="686BB0E7" w14:textId="77777777" w:rsidR="00540407" w:rsidRDefault="00540407" w:rsidP="00C80C7E">
      <w:pPr>
        <w:spacing w:after="0" w:line="240" w:lineRule="auto"/>
        <w:rPr>
          <w:rFonts w:ascii="Arial" w:hAnsi="Arial" w:cs="Arial"/>
          <w:b/>
          <w:bCs/>
        </w:rPr>
      </w:pPr>
    </w:p>
    <w:p w14:paraId="571EB1A9" w14:textId="77777777" w:rsidR="00540407" w:rsidRDefault="00540407" w:rsidP="00C80C7E">
      <w:pPr>
        <w:spacing w:after="0" w:line="240" w:lineRule="auto"/>
        <w:rPr>
          <w:rFonts w:ascii="Arial" w:hAnsi="Arial" w:cs="Arial"/>
          <w:b/>
          <w:bCs/>
        </w:rPr>
      </w:pPr>
    </w:p>
    <w:p w14:paraId="4442409F" w14:textId="77777777" w:rsidR="00540407" w:rsidRDefault="00540407" w:rsidP="00C80C7E">
      <w:pPr>
        <w:spacing w:after="0" w:line="240" w:lineRule="auto"/>
        <w:rPr>
          <w:rFonts w:ascii="Arial" w:hAnsi="Arial" w:cs="Arial"/>
          <w:b/>
          <w:bCs/>
        </w:rPr>
      </w:pPr>
    </w:p>
    <w:p w14:paraId="28B41247" w14:textId="77777777" w:rsidR="00540407" w:rsidRDefault="00540407" w:rsidP="00C80C7E">
      <w:pPr>
        <w:spacing w:after="0" w:line="240" w:lineRule="auto"/>
        <w:rPr>
          <w:rFonts w:ascii="Arial" w:hAnsi="Arial" w:cs="Arial"/>
          <w:b/>
          <w:bCs/>
        </w:rPr>
      </w:pPr>
    </w:p>
    <w:p w14:paraId="3FF990CA" w14:textId="77777777" w:rsidR="00540407" w:rsidRDefault="00540407" w:rsidP="00C80C7E">
      <w:pPr>
        <w:spacing w:after="0" w:line="240" w:lineRule="auto"/>
        <w:rPr>
          <w:rFonts w:ascii="Arial" w:hAnsi="Arial" w:cs="Arial"/>
          <w:b/>
          <w:bCs/>
        </w:rPr>
      </w:pPr>
    </w:p>
    <w:p w14:paraId="483A4ACC" w14:textId="77777777" w:rsidR="00540407" w:rsidRDefault="00540407" w:rsidP="00C80C7E">
      <w:pPr>
        <w:spacing w:after="0" w:line="240" w:lineRule="auto"/>
        <w:rPr>
          <w:rFonts w:ascii="Arial" w:hAnsi="Arial" w:cs="Arial"/>
          <w:b/>
          <w:bCs/>
        </w:rPr>
      </w:pPr>
    </w:p>
    <w:p w14:paraId="5EE084BA" w14:textId="77777777" w:rsidR="00540407" w:rsidRDefault="00540407" w:rsidP="00C80C7E">
      <w:pPr>
        <w:spacing w:after="0" w:line="240" w:lineRule="auto"/>
        <w:rPr>
          <w:rFonts w:ascii="Arial" w:hAnsi="Arial" w:cs="Arial"/>
          <w:b/>
          <w:bCs/>
        </w:rPr>
      </w:pPr>
    </w:p>
    <w:p w14:paraId="40A3609C" w14:textId="77777777" w:rsidR="00540407" w:rsidRDefault="00540407" w:rsidP="00C80C7E">
      <w:pPr>
        <w:spacing w:after="0" w:line="240" w:lineRule="auto"/>
        <w:rPr>
          <w:rFonts w:ascii="Arial" w:hAnsi="Arial" w:cs="Arial"/>
          <w:b/>
          <w:bCs/>
        </w:rPr>
      </w:pPr>
    </w:p>
    <w:p w14:paraId="5514B062" w14:textId="77777777" w:rsidR="00540407" w:rsidRDefault="00540407" w:rsidP="00C80C7E">
      <w:pPr>
        <w:spacing w:after="0" w:line="240" w:lineRule="auto"/>
        <w:rPr>
          <w:rFonts w:ascii="Arial" w:hAnsi="Arial" w:cs="Arial"/>
          <w:b/>
          <w:bCs/>
        </w:rPr>
      </w:pPr>
    </w:p>
    <w:p w14:paraId="6EF026B8" w14:textId="77777777" w:rsidR="00540407" w:rsidRDefault="00540407" w:rsidP="00C80C7E">
      <w:pPr>
        <w:spacing w:after="0" w:line="240" w:lineRule="auto"/>
        <w:rPr>
          <w:rFonts w:ascii="Arial" w:hAnsi="Arial" w:cs="Arial"/>
          <w:b/>
          <w:bCs/>
        </w:rPr>
      </w:pPr>
    </w:p>
    <w:p w14:paraId="3C823A67" w14:textId="77777777" w:rsidR="00540407" w:rsidRDefault="00540407" w:rsidP="00C80C7E">
      <w:pPr>
        <w:spacing w:after="0" w:line="240" w:lineRule="auto"/>
        <w:rPr>
          <w:rFonts w:ascii="Arial" w:hAnsi="Arial" w:cs="Arial"/>
          <w:b/>
          <w:bCs/>
        </w:rPr>
      </w:pPr>
    </w:p>
    <w:p w14:paraId="153919A9" w14:textId="77777777" w:rsidR="00540407" w:rsidRDefault="00540407" w:rsidP="00C80C7E">
      <w:pPr>
        <w:spacing w:after="0" w:line="240" w:lineRule="auto"/>
        <w:rPr>
          <w:rFonts w:ascii="Arial" w:hAnsi="Arial" w:cs="Arial"/>
          <w:b/>
          <w:bCs/>
        </w:rPr>
      </w:pPr>
    </w:p>
    <w:p w14:paraId="145D14FF" w14:textId="77777777" w:rsidR="00540407" w:rsidRDefault="00540407" w:rsidP="00C80C7E">
      <w:pPr>
        <w:spacing w:after="0" w:line="240" w:lineRule="auto"/>
        <w:rPr>
          <w:rFonts w:ascii="Arial" w:hAnsi="Arial" w:cs="Arial"/>
          <w:b/>
          <w:bCs/>
        </w:rPr>
      </w:pPr>
    </w:p>
    <w:p w14:paraId="304C705C" w14:textId="77777777" w:rsidR="00540407" w:rsidRDefault="00540407" w:rsidP="00C80C7E">
      <w:pPr>
        <w:spacing w:after="0" w:line="240" w:lineRule="auto"/>
        <w:rPr>
          <w:rFonts w:ascii="Arial" w:hAnsi="Arial" w:cs="Arial"/>
          <w:b/>
          <w:bCs/>
        </w:rPr>
      </w:pPr>
    </w:p>
    <w:p w14:paraId="4E4EB531" w14:textId="77777777" w:rsidR="00540407" w:rsidRDefault="00540407" w:rsidP="00C80C7E">
      <w:pPr>
        <w:spacing w:after="0" w:line="240" w:lineRule="auto"/>
        <w:rPr>
          <w:rFonts w:ascii="Arial" w:hAnsi="Arial" w:cs="Arial"/>
          <w:b/>
          <w:bCs/>
        </w:rPr>
      </w:pPr>
    </w:p>
    <w:p w14:paraId="114B64FB" w14:textId="77777777" w:rsidR="00540407" w:rsidRDefault="00540407" w:rsidP="00C80C7E">
      <w:pPr>
        <w:spacing w:after="0" w:line="240" w:lineRule="auto"/>
        <w:rPr>
          <w:rFonts w:ascii="Arial" w:hAnsi="Arial" w:cs="Arial"/>
          <w:b/>
          <w:bCs/>
        </w:rPr>
      </w:pPr>
    </w:p>
    <w:p w14:paraId="4D8676BD" w14:textId="77777777" w:rsidR="00540407" w:rsidRDefault="00540407" w:rsidP="00C80C7E">
      <w:pPr>
        <w:spacing w:after="0" w:line="240" w:lineRule="auto"/>
        <w:rPr>
          <w:rFonts w:ascii="Arial" w:hAnsi="Arial" w:cs="Arial"/>
          <w:b/>
          <w:bCs/>
        </w:rPr>
      </w:pPr>
    </w:p>
    <w:p w14:paraId="439E1E8D" w14:textId="77777777" w:rsidR="00540407" w:rsidRDefault="00540407" w:rsidP="00C80C7E">
      <w:pPr>
        <w:spacing w:after="0" w:line="240" w:lineRule="auto"/>
        <w:rPr>
          <w:rFonts w:ascii="Arial" w:hAnsi="Arial" w:cs="Arial"/>
          <w:b/>
          <w:bCs/>
        </w:rPr>
      </w:pPr>
    </w:p>
    <w:p w14:paraId="36D835C7" w14:textId="77777777" w:rsidR="00540407" w:rsidRDefault="00540407" w:rsidP="00C80C7E">
      <w:pPr>
        <w:spacing w:after="0" w:line="240" w:lineRule="auto"/>
        <w:rPr>
          <w:rFonts w:ascii="Arial" w:hAnsi="Arial" w:cs="Arial"/>
          <w:b/>
          <w:bCs/>
        </w:rPr>
      </w:pPr>
    </w:p>
    <w:p w14:paraId="0958FEE3" w14:textId="77777777" w:rsidR="00540407" w:rsidRDefault="00540407" w:rsidP="00C80C7E">
      <w:pPr>
        <w:spacing w:after="0" w:line="240" w:lineRule="auto"/>
        <w:rPr>
          <w:rFonts w:ascii="Arial" w:hAnsi="Arial" w:cs="Arial"/>
          <w:b/>
          <w:bCs/>
        </w:rPr>
      </w:pPr>
    </w:p>
    <w:p w14:paraId="79E373C0" w14:textId="77777777" w:rsidR="00540407" w:rsidRDefault="00540407" w:rsidP="00C80C7E">
      <w:pPr>
        <w:spacing w:after="0" w:line="240" w:lineRule="auto"/>
        <w:rPr>
          <w:rFonts w:ascii="Arial" w:hAnsi="Arial" w:cs="Arial"/>
          <w:b/>
          <w:bCs/>
        </w:rPr>
      </w:pPr>
    </w:p>
    <w:p w14:paraId="1757D291" w14:textId="77777777" w:rsidR="00540407" w:rsidRDefault="00540407" w:rsidP="00C80C7E">
      <w:pPr>
        <w:spacing w:after="0" w:line="240" w:lineRule="auto"/>
        <w:rPr>
          <w:rFonts w:ascii="Arial" w:hAnsi="Arial" w:cs="Arial"/>
          <w:b/>
          <w:bCs/>
        </w:rPr>
      </w:pPr>
    </w:p>
    <w:p w14:paraId="48462DD7" w14:textId="25DC8144" w:rsidR="00C80C7E" w:rsidRDefault="00C80C7E" w:rsidP="00C80C7E">
      <w:pPr>
        <w:spacing w:after="0" w:line="240" w:lineRule="auto"/>
        <w:rPr>
          <w:rFonts w:ascii="Arial" w:hAnsi="Arial" w:cs="Arial"/>
          <w:b/>
          <w:bCs/>
        </w:rPr>
      </w:pPr>
      <w:r w:rsidRPr="00A226F3">
        <w:rPr>
          <w:rFonts w:ascii="Arial" w:hAnsi="Arial" w:cs="Arial"/>
          <w:b/>
          <w:bCs/>
        </w:rPr>
        <w:lastRenderedPageBreak/>
        <w:t>Fig</w:t>
      </w:r>
      <w:r>
        <w:rPr>
          <w:rFonts w:ascii="Arial" w:hAnsi="Arial" w:cs="Arial"/>
          <w:b/>
          <w:bCs/>
        </w:rPr>
        <w:t>ure</w:t>
      </w:r>
      <w:r w:rsidRPr="00A226F3">
        <w:rPr>
          <w:rFonts w:ascii="Arial" w:hAnsi="Arial" w:cs="Arial"/>
          <w:b/>
          <w:bCs/>
        </w:rPr>
        <w:t xml:space="preserve"> S</w:t>
      </w:r>
      <w:r>
        <w:rPr>
          <w:rFonts w:ascii="Arial" w:hAnsi="Arial" w:cs="Arial"/>
          <w:b/>
          <w:bCs/>
        </w:rPr>
        <w:t>8.</w:t>
      </w:r>
      <w:r w:rsidRPr="00A226F3">
        <w:rPr>
          <w:rFonts w:ascii="Arial" w:hAnsi="Arial" w:cs="Arial"/>
          <w:b/>
          <w:bCs/>
        </w:rPr>
        <w:t xml:space="preserve">  Ki67</w:t>
      </w:r>
      <w:r w:rsidR="00CD66FD">
        <w:rPr>
          <w:rFonts w:ascii="Arial" w:hAnsi="Arial" w:cs="Arial"/>
          <w:b/>
          <w:bCs/>
        </w:rPr>
        <w:t xml:space="preserve"> and TAZ</w:t>
      </w:r>
      <w:r w:rsidRPr="00A226F3">
        <w:rPr>
          <w:rFonts w:ascii="Arial" w:hAnsi="Arial" w:cs="Arial"/>
          <w:b/>
          <w:bCs/>
        </w:rPr>
        <w:t xml:space="preserve"> immunohistochemistry </w:t>
      </w:r>
      <w:r w:rsidR="00CD66FD">
        <w:rPr>
          <w:rFonts w:ascii="Arial" w:hAnsi="Arial" w:cs="Arial"/>
          <w:b/>
          <w:bCs/>
        </w:rPr>
        <w:t xml:space="preserve">(IHC) </w:t>
      </w:r>
      <w:r w:rsidRPr="00A226F3">
        <w:rPr>
          <w:rFonts w:ascii="Arial" w:hAnsi="Arial" w:cs="Arial"/>
          <w:b/>
          <w:bCs/>
        </w:rPr>
        <w:t xml:space="preserve">staining in OS-treated </w:t>
      </w:r>
      <w:r>
        <w:rPr>
          <w:rFonts w:ascii="Arial" w:hAnsi="Arial" w:cs="Arial"/>
          <w:b/>
          <w:bCs/>
        </w:rPr>
        <w:t>tumor xenografts (related to Figure 7)</w:t>
      </w:r>
      <w:r w:rsidRPr="00A226F3">
        <w:rPr>
          <w:rFonts w:ascii="Arial" w:hAnsi="Arial" w:cs="Arial"/>
          <w:b/>
          <w:bCs/>
        </w:rPr>
        <w:t>.</w:t>
      </w:r>
    </w:p>
    <w:p w14:paraId="1A9F2B2C" w14:textId="77777777" w:rsidR="00A801F7" w:rsidRPr="00A226F3" w:rsidRDefault="00A801F7" w:rsidP="00C80C7E">
      <w:pPr>
        <w:spacing w:after="0" w:line="240" w:lineRule="auto"/>
        <w:rPr>
          <w:rFonts w:ascii="Arial" w:hAnsi="Arial" w:cs="Arial"/>
          <w:b/>
          <w:bCs/>
        </w:rPr>
      </w:pPr>
    </w:p>
    <w:p w14:paraId="0C4409EE" w14:textId="0C455753" w:rsidR="00540407" w:rsidRPr="00973363" w:rsidRDefault="00540407" w:rsidP="00540407">
      <w:pPr>
        <w:spacing w:after="0" w:line="240" w:lineRule="auto"/>
        <w:rPr>
          <w:rFonts w:ascii="Arial" w:hAnsi="Arial" w:cs="Arial"/>
        </w:rPr>
      </w:pPr>
      <w:r w:rsidRPr="00973363">
        <w:rPr>
          <w:rFonts w:ascii="Arial" w:hAnsi="Arial" w:cs="Arial"/>
          <w:b/>
          <w:bCs/>
        </w:rPr>
        <w:t xml:space="preserve">(A) </w:t>
      </w:r>
      <w:r w:rsidRPr="00973363">
        <w:rPr>
          <w:rFonts w:ascii="Arial" w:hAnsi="Arial" w:cs="Arial"/>
        </w:rPr>
        <w:t xml:space="preserve">After growth factor depletion for 16 hours, GBM1B cells were stimulated by EGF for the indicated times. The levels of phosphorylated and total ERK, STAT3 and AKT were quantified by western blotting. Fold expression of the phosphorylated proteins was normalized to the </w:t>
      </w:r>
      <w:r w:rsidR="00A250EC" w:rsidRPr="00973363">
        <w:rPr>
          <w:rFonts w:ascii="Arial" w:hAnsi="Arial" w:cs="Arial"/>
        </w:rPr>
        <w:t xml:space="preserve">levels of </w:t>
      </w:r>
      <w:r w:rsidRPr="00973363">
        <w:rPr>
          <w:rFonts w:ascii="Arial" w:hAnsi="Arial" w:cs="Arial"/>
        </w:rPr>
        <w:t xml:space="preserve">total proteins and shown below each lane (EGF untreated control = 1.0). </w:t>
      </w:r>
    </w:p>
    <w:p w14:paraId="021A41BB" w14:textId="6141FF7A" w:rsidR="00CD66FD" w:rsidRDefault="002060E8" w:rsidP="00C80C7E">
      <w:pPr>
        <w:spacing w:after="0" w:line="240" w:lineRule="auto"/>
        <w:rPr>
          <w:rFonts w:ascii="Arial" w:hAnsi="Arial" w:cs="Arial"/>
        </w:rPr>
      </w:pPr>
      <w:r>
        <w:rPr>
          <w:rFonts w:ascii="Arial" w:hAnsi="Arial" w:cs="Arial"/>
          <w:b/>
          <w:bCs/>
        </w:rPr>
        <w:t>(</w:t>
      </w:r>
      <w:r w:rsidRPr="002060E8">
        <w:rPr>
          <w:rFonts w:ascii="Arial" w:hAnsi="Arial" w:cs="Arial"/>
          <w:b/>
          <w:bCs/>
        </w:rPr>
        <w:t>B</w:t>
      </w:r>
      <w:r>
        <w:rPr>
          <w:rFonts w:ascii="Arial" w:hAnsi="Arial" w:cs="Arial"/>
          <w:b/>
          <w:bCs/>
        </w:rPr>
        <w:t xml:space="preserve">) </w:t>
      </w:r>
      <w:r w:rsidR="00CD66FD" w:rsidRPr="00CD66FD">
        <w:rPr>
          <w:rFonts w:ascii="Arial" w:hAnsi="Arial" w:cs="Arial"/>
        </w:rPr>
        <w:t>Representative results of Ki67</w:t>
      </w:r>
      <w:r w:rsidR="00CD66FD">
        <w:rPr>
          <w:rFonts w:ascii="Arial" w:hAnsi="Arial" w:cs="Arial"/>
          <w:b/>
          <w:bCs/>
        </w:rPr>
        <w:t xml:space="preserve"> </w:t>
      </w:r>
      <w:r w:rsidR="00CD66FD">
        <w:rPr>
          <w:rFonts w:ascii="Arial" w:hAnsi="Arial" w:cs="Arial"/>
        </w:rPr>
        <w:t xml:space="preserve">IHC staining in M1123 and GBM1B xenografts with +/- </w:t>
      </w:r>
      <w:r w:rsidR="00C80C7E" w:rsidRPr="00556948">
        <w:rPr>
          <w:rFonts w:ascii="Arial" w:hAnsi="Arial" w:cs="Arial"/>
        </w:rPr>
        <w:t>OS</w:t>
      </w:r>
      <w:r w:rsidR="00CD66FD">
        <w:rPr>
          <w:rFonts w:ascii="Arial" w:hAnsi="Arial" w:cs="Arial"/>
        </w:rPr>
        <w:t xml:space="preserve"> </w:t>
      </w:r>
      <w:r w:rsidR="00C80C7E" w:rsidRPr="00556948">
        <w:rPr>
          <w:rFonts w:ascii="Arial" w:hAnsi="Arial" w:cs="Arial"/>
        </w:rPr>
        <w:t>treat</w:t>
      </w:r>
      <w:r w:rsidR="00CD66FD">
        <w:rPr>
          <w:rFonts w:ascii="Arial" w:hAnsi="Arial" w:cs="Arial"/>
        </w:rPr>
        <w:t>ment. The percentage of Ki67+ cells were quantified</w:t>
      </w:r>
      <w:r w:rsidR="00C80C7E">
        <w:rPr>
          <w:rFonts w:ascii="Arial" w:hAnsi="Arial" w:cs="Arial"/>
        </w:rPr>
        <w:t xml:space="preserve">. </w:t>
      </w:r>
    </w:p>
    <w:p w14:paraId="546A6ED3" w14:textId="16353351" w:rsidR="00A440AA" w:rsidRPr="00973363" w:rsidRDefault="00CD66FD" w:rsidP="00A440AA">
      <w:pPr>
        <w:spacing w:after="0" w:line="240" w:lineRule="auto"/>
        <w:rPr>
          <w:rFonts w:ascii="Arial" w:hAnsi="Arial" w:cs="Arial"/>
        </w:rPr>
      </w:pPr>
      <w:r w:rsidRPr="00973363">
        <w:rPr>
          <w:rFonts w:ascii="Arial" w:hAnsi="Arial" w:cs="Arial"/>
          <w:b/>
          <w:bCs/>
        </w:rPr>
        <w:t>(C)</w:t>
      </w:r>
      <w:r w:rsidRPr="00973363">
        <w:rPr>
          <w:rFonts w:ascii="Arial" w:hAnsi="Arial" w:cs="Arial"/>
        </w:rPr>
        <w:t xml:space="preserve"> Representative results of TAZ</w:t>
      </w:r>
      <w:r w:rsidRPr="00973363">
        <w:rPr>
          <w:rFonts w:ascii="Arial" w:hAnsi="Arial" w:cs="Arial"/>
          <w:b/>
          <w:bCs/>
        </w:rPr>
        <w:t xml:space="preserve"> </w:t>
      </w:r>
      <w:r w:rsidRPr="00973363">
        <w:rPr>
          <w:rFonts w:ascii="Arial" w:hAnsi="Arial" w:cs="Arial"/>
        </w:rPr>
        <w:t>IHC staining in M1123 and GBM1B xenografts with +/- OS treatment.</w:t>
      </w:r>
      <w:r w:rsidR="00A440AA" w:rsidRPr="00973363">
        <w:rPr>
          <w:rFonts w:ascii="Arial" w:hAnsi="Arial" w:cs="Arial"/>
        </w:rPr>
        <w:t xml:space="preserve"> IHC staining was quantified base on the integrated optical density (IOD) using the Image</w:t>
      </w:r>
      <w:r w:rsidR="00A250EC" w:rsidRPr="00973363">
        <w:rPr>
          <w:rFonts w:ascii="Arial" w:hAnsi="Arial" w:cs="Arial"/>
        </w:rPr>
        <w:t>J</w:t>
      </w:r>
      <w:r w:rsidR="00A440AA" w:rsidRPr="00973363">
        <w:rPr>
          <w:rFonts w:ascii="Arial" w:hAnsi="Arial" w:cs="Arial"/>
        </w:rPr>
        <w:t xml:space="preserve"> software. </w:t>
      </w:r>
    </w:p>
    <w:p w14:paraId="6CC2E589" w14:textId="77777777" w:rsidR="00A250EC" w:rsidRPr="00973363" w:rsidRDefault="00C80C7E" w:rsidP="00CD66FD">
      <w:pPr>
        <w:spacing w:after="0" w:line="240" w:lineRule="auto"/>
        <w:rPr>
          <w:rFonts w:ascii="Arial" w:hAnsi="Arial" w:cs="Arial"/>
        </w:rPr>
      </w:pPr>
      <w:r w:rsidRPr="00973363">
        <w:rPr>
          <w:rFonts w:ascii="Arial" w:hAnsi="Arial" w:cs="Arial"/>
        </w:rPr>
        <w:t xml:space="preserve">Bar = 50 µm. </w:t>
      </w:r>
    </w:p>
    <w:p w14:paraId="47596C11" w14:textId="5B33C96B" w:rsidR="00C80C7E" w:rsidRPr="00973363" w:rsidRDefault="00C80C7E" w:rsidP="00CD66FD">
      <w:pPr>
        <w:spacing w:after="0" w:line="240" w:lineRule="auto"/>
        <w:rPr>
          <w:rFonts w:ascii="Arial" w:hAnsi="Arial" w:cs="Arial"/>
        </w:rPr>
      </w:pPr>
      <w:r w:rsidRPr="00973363">
        <w:rPr>
          <w:rFonts w:ascii="Arial" w:hAnsi="Arial" w:cs="Arial"/>
        </w:rPr>
        <w:t>Data are represented as mean ± SEM (</w:t>
      </w:r>
      <w:r w:rsidR="00A440AA" w:rsidRPr="00973363">
        <w:rPr>
          <w:rFonts w:ascii="Arial" w:hAnsi="Arial" w:cs="Arial"/>
        </w:rPr>
        <w:t xml:space="preserve">n=5; </w:t>
      </w:r>
      <w:r w:rsidRPr="00973363">
        <w:rPr>
          <w:rFonts w:ascii="Arial" w:hAnsi="Arial" w:cs="Arial"/>
        </w:rPr>
        <w:t xml:space="preserve">*: </w:t>
      </w:r>
      <w:r w:rsidRPr="00973363">
        <w:rPr>
          <w:rFonts w:ascii="Arial" w:hAnsi="Arial" w:cs="Arial"/>
          <w:i/>
          <w:iCs/>
        </w:rPr>
        <w:t xml:space="preserve">p </w:t>
      </w:r>
      <w:r w:rsidRPr="00973363">
        <w:rPr>
          <w:rFonts w:ascii="Arial" w:hAnsi="Arial" w:cs="Arial"/>
        </w:rPr>
        <w:t>&lt; 0.01).</w:t>
      </w:r>
    </w:p>
    <w:p w14:paraId="61AF3E7C" w14:textId="77777777" w:rsidR="00273FA4" w:rsidRPr="00540407" w:rsidRDefault="00273FA4" w:rsidP="00CD66FD">
      <w:pPr>
        <w:spacing w:after="0" w:line="240" w:lineRule="auto"/>
        <w:rPr>
          <w:rFonts w:ascii="Arial" w:hAnsi="Arial" w:cs="Arial"/>
          <w:color w:val="C00000"/>
        </w:rPr>
      </w:pPr>
    </w:p>
    <w:p w14:paraId="534660B5" w14:textId="77777777" w:rsidR="00F62543" w:rsidRDefault="00F62543" w:rsidP="00CD66FD">
      <w:pPr>
        <w:spacing w:after="0" w:line="240" w:lineRule="auto"/>
        <w:rPr>
          <w:rFonts w:ascii="Arial" w:hAnsi="Arial" w:cs="Arial"/>
        </w:rPr>
      </w:pPr>
    </w:p>
    <w:p w14:paraId="4D7D84DE" w14:textId="6A7C269F" w:rsidR="00F62543" w:rsidRDefault="00540407" w:rsidP="00273FA4">
      <w:pPr>
        <w:spacing w:after="0" w:line="240" w:lineRule="auto"/>
        <w:jc w:val="center"/>
        <w:rPr>
          <w:rFonts w:ascii="Arial" w:hAnsi="Arial" w:cs="Arial"/>
        </w:rPr>
      </w:pPr>
      <w:r>
        <w:rPr>
          <w:rFonts w:ascii="Arial" w:hAnsi="Arial" w:cs="Arial"/>
          <w:noProof/>
        </w:rPr>
        <w:drawing>
          <wp:inline distT="0" distB="0" distL="0" distR="0" wp14:anchorId="37E2A08B" wp14:editId="0AE68ADF">
            <wp:extent cx="6202393" cy="5795679"/>
            <wp:effectExtent l="0" t="0" r="8255" b="0"/>
            <wp:docPr id="3" name="Picture 3"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qr co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5708" cy="5808121"/>
                    </a:xfrm>
                    <a:prstGeom prst="rect">
                      <a:avLst/>
                    </a:prstGeom>
                  </pic:spPr>
                </pic:pic>
              </a:graphicData>
            </a:graphic>
          </wp:inline>
        </w:drawing>
      </w:r>
    </w:p>
    <w:p w14:paraId="2A015165" w14:textId="752C756D" w:rsidR="00C80C7E" w:rsidRPr="00A226F3" w:rsidRDefault="00C80C7E" w:rsidP="00A440AA">
      <w:pPr>
        <w:spacing w:after="0" w:line="240" w:lineRule="auto"/>
        <w:jc w:val="center"/>
        <w:rPr>
          <w:rFonts w:ascii="Arial" w:hAnsi="Arial" w:cs="Arial"/>
        </w:rPr>
      </w:pPr>
    </w:p>
    <w:p w14:paraId="6806480B" w14:textId="783CF48A" w:rsidR="00711510" w:rsidRDefault="00711510" w:rsidP="00711510">
      <w:pPr>
        <w:tabs>
          <w:tab w:val="left" w:pos="199"/>
          <w:tab w:val="center" w:pos="5400"/>
        </w:tabs>
        <w:rPr>
          <w:sz w:val="32"/>
          <w:szCs w:val="32"/>
        </w:rPr>
      </w:pPr>
      <w:r>
        <w:rPr>
          <w:sz w:val="32"/>
          <w:szCs w:val="32"/>
        </w:rPr>
        <w:tab/>
      </w:r>
    </w:p>
    <w:p w14:paraId="0E0E3B1D" w14:textId="52FE89D9" w:rsidR="00540407" w:rsidRDefault="00540407" w:rsidP="00711510">
      <w:pPr>
        <w:tabs>
          <w:tab w:val="left" w:pos="199"/>
          <w:tab w:val="center" w:pos="5400"/>
        </w:tabs>
        <w:rPr>
          <w:sz w:val="32"/>
          <w:szCs w:val="32"/>
        </w:rPr>
      </w:pPr>
    </w:p>
    <w:p w14:paraId="1D26B37A" w14:textId="496A4475" w:rsidR="00A40B5F" w:rsidRPr="00A226F3" w:rsidRDefault="00A40B5F" w:rsidP="00F62543">
      <w:pPr>
        <w:tabs>
          <w:tab w:val="left" w:pos="199"/>
          <w:tab w:val="center" w:pos="5400"/>
        </w:tabs>
        <w:rPr>
          <w:rFonts w:ascii="Arial" w:hAnsi="Arial" w:cs="Arial"/>
        </w:rPr>
      </w:pPr>
      <w:r w:rsidRPr="00A226F3">
        <w:rPr>
          <w:rFonts w:ascii="Arial" w:hAnsi="Arial" w:cs="Arial"/>
          <w:b/>
          <w:bCs/>
        </w:rPr>
        <w:lastRenderedPageBreak/>
        <w:t>Table S</w:t>
      </w:r>
      <w:r>
        <w:rPr>
          <w:rFonts w:ascii="Arial" w:hAnsi="Arial" w:cs="Arial"/>
          <w:b/>
          <w:bCs/>
        </w:rPr>
        <w:t>1</w:t>
      </w:r>
      <w:r w:rsidRPr="00A226F3">
        <w:rPr>
          <w:rFonts w:ascii="Arial" w:hAnsi="Arial" w:cs="Arial"/>
          <w:b/>
          <w:bCs/>
        </w:rPr>
        <w:t xml:space="preserve">: </w:t>
      </w:r>
      <w:r w:rsidRPr="00A226F3">
        <w:rPr>
          <w:rFonts w:ascii="Arial" w:hAnsi="Arial" w:cs="Arial"/>
        </w:rPr>
        <w:t>RNA-Seq results</w:t>
      </w:r>
      <w:r>
        <w:rPr>
          <w:rFonts w:ascii="Arial" w:hAnsi="Arial" w:cs="Arial"/>
        </w:rPr>
        <w:t>:</w:t>
      </w:r>
      <w:r w:rsidRPr="00A226F3">
        <w:rPr>
          <w:rFonts w:ascii="Arial" w:hAnsi="Arial" w:cs="Arial"/>
        </w:rPr>
        <w:t xml:space="preserve"> DE genes in GBM1B cells </w:t>
      </w:r>
      <w:r>
        <w:rPr>
          <w:rFonts w:ascii="Arial" w:hAnsi="Arial" w:cs="Arial" w:hint="eastAsia"/>
        </w:rPr>
        <w:t>with</w:t>
      </w:r>
      <w:r>
        <w:rPr>
          <w:rFonts w:ascii="Arial" w:hAnsi="Arial" w:cs="Arial"/>
        </w:rPr>
        <w:t xml:space="preserve"> +/-</w:t>
      </w:r>
      <w:r w:rsidRPr="00A226F3">
        <w:rPr>
          <w:rFonts w:ascii="Arial" w:hAnsi="Arial" w:cs="Arial"/>
        </w:rPr>
        <w:t xml:space="preserve"> 4-hour EGF</w:t>
      </w:r>
      <w:r>
        <w:rPr>
          <w:rFonts w:ascii="Arial" w:hAnsi="Arial" w:cs="Arial"/>
        </w:rPr>
        <w:t xml:space="preserve"> treatment (related to Figure 4)</w:t>
      </w:r>
      <w:r w:rsidRPr="00A226F3">
        <w:rPr>
          <w:rFonts w:ascii="Arial" w:hAnsi="Arial" w:cs="Arial"/>
        </w:rPr>
        <w:t>.</w:t>
      </w:r>
      <w:r w:rsidRPr="00A226F3">
        <w:rPr>
          <w:rFonts w:ascii="Arial" w:hAnsi="Arial" w:cs="Arial"/>
          <w:b/>
          <w:bCs/>
        </w:rPr>
        <w:t xml:space="preserve"> </w:t>
      </w:r>
    </w:p>
    <w:p w14:paraId="70C000D8" w14:textId="77777777" w:rsidR="00A40B5F" w:rsidRPr="00A226F3" w:rsidRDefault="00A40B5F" w:rsidP="00A40B5F">
      <w:pPr>
        <w:spacing w:after="0" w:line="480" w:lineRule="auto"/>
        <w:rPr>
          <w:rFonts w:ascii="Arial" w:hAnsi="Arial" w:cs="Arial"/>
        </w:rPr>
      </w:pPr>
      <w:r w:rsidRPr="00A226F3">
        <w:rPr>
          <w:rFonts w:ascii="Arial" w:hAnsi="Arial" w:cs="Arial"/>
          <w:b/>
          <w:bCs/>
        </w:rPr>
        <w:t>Table S</w:t>
      </w:r>
      <w:r>
        <w:rPr>
          <w:rFonts w:ascii="Arial" w:hAnsi="Arial" w:cs="Arial"/>
          <w:b/>
          <w:bCs/>
        </w:rPr>
        <w:t>2</w:t>
      </w:r>
      <w:r w:rsidRPr="00A226F3">
        <w:rPr>
          <w:rFonts w:ascii="Arial" w:hAnsi="Arial" w:cs="Arial"/>
          <w:b/>
          <w:bCs/>
        </w:rPr>
        <w:t xml:space="preserve">: </w:t>
      </w:r>
      <w:r w:rsidRPr="00A226F3">
        <w:rPr>
          <w:rFonts w:ascii="Arial" w:hAnsi="Arial" w:cs="Arial"/>
        </w:rPr>
        <w:t>RNA-Seq results</w:t>
      </w:r>
      <w:r>
        <w:rPr>
          <w:rFonts w:ascii="Arial" w:hAnsi="Arial" w:cs="Arial"/>
        </w:rPr>
        <w:t>:</w:t>
      </w:r>
      <w:r w:rsidRPr="00A226F3">
        <w:rPr>
          <w:rFonts w:ascii="Arial" w:hAnsi="Arial" w:cs="Arial"/>
        </w:rPr>
        <w:t xml:space="preserve"> DE genes in GBM1B cells </w:t>
      </w:r>
      <w:r>
        <w:rPr>
          <w:rFonts w:ascii="Arial" w:hAnsi="Arial" w:cs="Arial"/>
        </w:rPr>
        <w:t>with +/- 24h EGF treatment (related to Figure 4)</w:t>
      </w:r>
      <w:r w:rsidRPr="00A226F3">
        <w:rPr>
          <w:rFonts w:ascii="Arial" w:hAnsi="Arial" w:cs="Arial"/>
        </w:rPr>
        <w:t>.</w:t>
      </w:r>
    </w:p>
    <w:p w14:paraId="10ED6126" w14:textId="77777777" w:rsidR="00A40B5F" w:rsidRPr="00A226F3" w:rsidRDefault="00A40B5F" w:rsidP="00A40B5F">
      <w:pPr>
        <w:spacing w:after="0" w:line="480" w:lineRule="auto"/>
        <w:rPr>
          <w:rFonts w:ascii="Arial" w:hAnsi="Arial" w:cs="Arial"/>
          <w:b/>
          <w:bCs/>
        </w:rPr>
      </w:pPr>
      <w:r w:rsidRPr="00A226F3">
        <w:rPr>
          <w:rFonts w:ascii="Arial" w:hAnsi="Arial" w:cs="Arial"/>
          <w:b/>
          <w:bCs/>
        </w:rPr>
        <w:t>Table S</w:t>
      </w:r>
      <w:r>
        <w:rPr>
          <w:rFonts w:ascii="Arial" w:hAnsi="Arial" w:cs="Arial"/>
          <w:b/>
          <w:bCs/>
        </w:rPr>
        <w:t>3</w:t>
      </w:r>
      <w:r w:rsidRPr="00A226F3">
        <w:rPr>
          <w:rFonts w:ascii="Arial" w:hAnsi="Arial" w:cs="Arial"/>
          <w:b/>
          <w:bCs/>
        </w:rPr>
        <w:t xml:space="preserve">: </w:t>
      </w:r>
      <w:r>
        <w:rPr>
          <w:rFonts w:ascii="Arial" w:hAnsi="Arial" w:cs="Arial"/>
        </w:rPr>
        <w:t>Merged</w:t>
      </w:r>
      <w:r w:rsidRPr="00A226F3">
        <w:rPr>
          <w:rFonts w:ascii="Arial" w:hAnsi="Arial" w:cs="Arial"/>
        </w:rPr>
        <w:t xml:space="preserve"> DE genes that were altered by either 4-hour or 24-hour EGF treatment</w:t>
      </w:r>
      <w:r w:rsidRPr="00A226F3">
        <w:rPr>
          <w:rFonts w:ascii="Arial" w:hAnsi="Arial" w:cs="Arial"/>
          <w:b/>
          <w:bCs/>
        </w:rPr>
        <w:t xml:space="preserve"> </w:t>
      </w:r>
      <w:r>
        <w:rPr>
          <w:rFonts w:ascii="Arial" w:hAnsi="Arial" w:cs="Arial"/>
        </w:rPr>
        <w:t>(related to Figure 4).</w:t>
      </w:r>
    </w:p>
    <w:p w14:paraId="7DB499E3" w14:textId="77777777" w:rsidR="00A40B5F" w:rsidRPr="00A226F3" w:rsidRDefault="00A40B5F" w:rsidP="00A40B5F">
      <w:pPr>
        <w:spacing w:after="0" w:line="480" w:lineRule="auto"/>
        <w:rPr>
          <w:rFonts w:ascii="Arial" w:hAnsi="Arial" w:cs="Arial"/>
          <w:b/>
          <w:bCs/>
        </w:rPr>
      </w:pPr>
      <w:r w:rsidRPr="00A226F3">
        <w:rPr>
          <w:rFonts w:ascii="Arial" w:hAnsi="Arial" w:cs="Arial"/>
          <w:b/>
          <w:bCs/>
        </w:rPr>
        <w:t>Table S</w:t>
      </w:r>
      <w:r>
        <w:rPr>
          <w:rFonts w:ascii="Arial" w:hAnsi="Arial" w:cs="Arial"/>
          <w:b/>
          <w:bCs/>
        </w:rPr>
        <w:t>4</w:t>
      </w:r>
      <w:r w:rsidRPr="00A226F3">
        <w:rPr>
          <w:rFonts w:ascii="Arial" w:hAnsi="Arial" w:cs="Arial"/>
          <w:b/>
          <w:bCs/>
        </w:rPr>
        <w:t xml:space="preserve">: </w:t>
      </w:r>
      <w:r w:rsidRPr="00A226F3">
        <w:rPr>
          <w:rFonts w:ascii="Arial" w:hAnsi="Arial" w:cs="Arial"/>
        </w:rPr>
        <w:t>TAZ binding peak</w:t>
      </w:r>
      <w:r>
        <w:rPr>
          <w:rFonts w:ascii="Arial" w:hAnsi="Arial" w:cs="Arial"/>
        </w:rPr>
        <w:t>s</w:t>
      </w:r>
      <w:r w:rsidRPr="00A226F3">
        <w:rPr>
          <w:rFonts w:ascii="Arial" w:hAnsi="Arial" w:cs="Arial"/>
        </w:rPr>
        <w:t xml:space="preserve"> </w:t>
      </w:r>
      <w:r>
        <w:rPr>
          <w:rFonts w:ascii="Arial" w:hAnsi="Arial" w:cs="Arial"/>
        </w:rPr>
        <w:t>and genes as i</w:t>
      </w:r>
      <w:r w:rsidRPr="00A226F3">
        <w:rPr>
          <w:rFonts w:ascii="Arial" w:hAnsi="Arial" w:cs="Arial"/>
        </w:rPr>
        <w:t xml:space="preserve">dentified by </w:t>
      </w:r>
      <w:proofErr w:type="spellStart"/>
      <w:r w:rsidRPr="00A226F3">
        <w:rPr>
          <w:rFonts w:ascii="Arial" w:hAnsi="Arial" w:cs="Arial"/>
        </w:rPr>
        <w:t>ChIP</w:t>
      </w:r>
      <w:proofErr w:type="spellEnd"/>
      <w:r w:rsidRPr="00A226F3">
        <w:rPr>
          <w:rFonts w:ascii="Arial" w:hAnsi="Arial" w:cs="Arial"/>
        </w:rPr>
        <w:t>-Seq</w:t>
      </w:r>
      <w:r>
        <w:rPr>
          <w:rFonts w:ascii="Arial" w:hAnsi="Arial" w:cs="Arial"/>
        </w:rPr>
        <w:t xml:space="preserve"> (related to Figure 4)</w:t>
      </w:r>
      <w:r w:rsidRPr="00A226F3">
        <w:rPr>
          <w:rFonts w:ascii="Arial" w:hAnsi="Arial" w:cs="Arial"/>
        </w:rPr>
        <w:t>.</w:t>
      </w:r>
    </w:p>
    <w:p w14:paraId="14808451" w14:textId="77777777" w:rsidR="00A40B5F" w:rsidRPr="00A226F3" w:rsidRDefault="00A40B5F" w:rsidP="00A40B5F">
      <w:pPr>
        <w:spacing w:after="0" w:line="480" w:lineRule="auto"/>
        <w:rPr>
          <w:rFonts w:ascii="Arial" w:hAnsi="Arial" w:cs="Arial"/>
        </w:rPr>
      </w:pPr>
      <w:r w:rsidRPr="00A226F3">
        <w:rPr>
          <w:rFonts w:ascii="Arial" w:hAnsi="Arial" w:cs="Arial"/>
          <w:b/>
          <w:bCs/>
        </w:rPr>
        <w:t>Table S</w:t>
      </w:r>
      <w:r>
        <w:rPr>
          <w:rFonts w:ascii="Arial" w:hAnsi="Arial" w:cs="Arial"/>
          <w:b/>
          <w:bCs/>
        </w:rPr>
        <w:t>5</w:t>
      </w:r>
      <w:r w:rsidRPr="00A226F3">
        <w:rPr>
          <w:rFonts w:ascii="Arial" w:hAnsi="Arial" w:cs="Arial"/>
          <w:b/>
          <w:bCs/>
        </w:rPr>
        <w:t xml:space="preserve">: </w:t>
      </w:r>
      <w:r>
        <w:rPr>
          <w:rFonts w:ascii="Arial" w:hAnsi="Arial" w:cs="Arial"/>
        </w:rPr>
        <w:t>Transcription factor</w:t>
      </w:r>
      <w:r w:rsidRPr="00A226F3">
        <w:rPr>
          <w:rFonts w:ascii="Arial" w:hAnsi="Arial" w:cs="Arial"/>
        </w:rPr>
        <w:t xml:space="preserve"> motifs with high similarity to the TAZ binding motif</w:t>
      </w:r>
      <w:r>
        <w:rPr>
          <w:rFonts w:ascii="Arial" w:hAnsi="Arial" w:cs="Arial"/>
        </w:rPr>
        <w:t xml:space="preserve"> (related to Figure 4)</w:t>
      </w:r>
      <w:r w:rsidRPr="00A226F3">
        <w:rPr>
          <w:rFonts w:ascii="Arial" w:hAnsi="Arial" w:cs="Arial"/>
        </w:rPr>
        <w:t>.</w:t>
      </w:r>
      <w:r w:rsidRPr="00A226F3">
        <w:rPr>
          <w:rFonts w:ascii="Arial" w:hAnsi="Arial" w:cs="Arial"/>
          <w:b/>
          <w:bCs/>
        </w:rPr>
        <w:t xml:space="preserve"> </w:t>
      </w:r>
    </w:p>
    <w:p w14:paraId="2160CBCE" w14:textId="77777777" w:rsidR="00A40B5F" w:rsidRPr="00A226F3" w:rsidRDefault="00A40B5F" w:rsidP="00A40B5F">
      <w:pPr>
        <w:spacing w:after="0" w:line="480" w:lineRule="auto"/>
        <w:rPr>
          <w:rFonts w:ascii="Arial" w:hAnsi="Arial" w:cs="Arial"/>
          <w:b/>
          <w:bCs/>
        </w:rPr>
      </w:pPr>
      <w:r w:rsidRPr="00A226F3">
        <w:rPr>
          <w:rFonts w:ascii="Arial" w:hAnsi="Arial" w:cs="Arial"/>
          <w:b/>
          <w:bCs/>
        </w:rPr>
        <w:t>Table S</w:t>
      </w:r>
      <w:r>
        <w:rPr>
          <w:rFonts w:ascii="Arial" w:hAnsi="Arial" w:cs="Arial"/>
          <w:b/>
          <w:bCs/>
        </w:rPr>
        <w:t>6</w:t>
      </w:r>
      <w:r w:rsidRPr="00A226F3">
        <w:rPr>
          <w:rFonts w:ascii="Arial" w:hAnsi="Arial" w:cs="Arial"/>
          <w:b/>
          <w:bCs/>
        </w:rPr>
        <w:t xml:space="preserve">: </w:t>
      </w:r>
      <w:r w:rsidRPr="00A226F3">
        <w:rPr>
          <w:rFonts w:ascii="Arial" w:hAnsi="Arial" w:cs="Arial"/>
        </w:rPr>
        <w:t xml:space="preserve">TAZ-Up </w:t>
      </w:r>
      <w:r>
        <w:rPr>
          <w:rFonts w:ascii="Arial" w:hAnsi="Arial" w:cs="Arial"/>
        </w:rPr>
        <w:t xml:space="preserve">and TAZ-Down </w:t>
      </w:r>
      <w:r w:rsidRPr="00A226F3">
        <w:rPr>
          <w:rFonts w:ascii="Arial" w:hAnsi="Arial" w:cs="Arial"/>
        </w:rPr>
        <w:t>gene</w:t>
      </w:r>
      <w:r>
        <w:rPr>
          <w:rFonts w:ascii="Arial" w:hAnsi="Arial" w:cs="Arial"/>
        </w:rPr>
        <w:t>s (related to Figure 4)</w:t>
      </w:r>
      <w:r w:rsidRPr="00A226F3">
        <w:rPr>
          <w:rFonts w:ascii="Arial" w:hAnsi="Arial" w:cs="Arial"/>
        </w:rPr>
        <w:t>.</w:t>
      </w:r>
    </w:p>
    <w:p w14:paraId="1977500A" w14:textId="60EAD9C6" w:rsidR="00A40B5F" w:rsidRDefault="00A40B5F" w:rsidP="00A40B5F">
      <w:pPr>
        <w:spacing w:after="0" w:line="480" w:lineRule="auto"/>
        <w:rPr>
          <w:rFonts w:ascii="Arial" w:hAnsi="Arial" w:cs="Arial"/>
        </w:rPr>
      </w:pPr>
      <w:r w:rsidRPr="00A226F3">
        <w:rPr>
          <w:rFonts w:ascii="Arial" w:hAnsi="Arial" w:cs="Arial"/>
          <w:b/>
          <w:bCs/>
        </w:rPr>
        <w:t>Table S</w:t>
      </w:r>
      <w:r>
        <w:rPr>
          <w:rFonts w:ascii="Arial" w:hAnsi="Arial" w:cs="Arial"/>
          <w:b/>
          <w:bCs/>
        </w:rPr>
        <w:t>7</w:t>
      </w:r>
      <w:r w:rsidRPr="00A226F3">
        <w:rPr>
          <w:rFonts w:ascii="Arial" w:hAnsi="Arial" w:cs="Arial"/>
          <w:b/>
          <w:bCs/>
        </w:rPr>
        <w:t xml:space="preserve">: </w:t>
      </w:r>
      <w:r w:rsidRPr="00A226F3">
        <w:rPr>
          <w:rFonts w:ascii="Arial" w:hAnsi="Arial" w:cs="Arial"/>
        </w:rPr>
        <w:t xml:space="preserve">KEGG pathways enriched in TAZ-Up </w:t>
      </w:r>
      <w:r>
        <w:rPr>
          <w:rFonts w:ascii="Arial" w:hAnsi="Arial" w:cs="Arial"/>
        </w:rPr>
        <w:t xml:space="preserve">and TAZ-Down </w:t>
      </w:r>
      <w:r w:rsidRPr="00A226F3">
        <w:rPr>
          <w:rFonts w:ascii="Arial" w:hAnsi="Arial" w:cs="Arial"/>
        </w:rPr>
        <w:t>genes</w:t>
      </w:r>
      <w:r>
        <w:rPr>
          <w:rFonts w:ascii="Arial" w:hAnsi="Arial" w:cs="Arial"/>
        </w:rPr>
        <w:t xml:space="preserve"> (related to Figure 5)</w:t>
      </w:r>
      <w:r w:rsidRPr="00A226F3">
        <w:rPr>
          <w:rFonts w:ascii="Arial" w:hAnsi="Arial" w:cs="Arial"/>
        </w:rPr>
        <w:t>.</w:t>
      </w:r>
    </w:p>
    <w:p w14:paraId="2CB1797E" w14:textId="4BDDB607" w:rsidR="0016553F" w:rsidRPr="00A226F3" w:rsidRDefault="0016553F" w:rsidP="00A40B5F">
      <w:pPr>
        <w:spacing w:after="0" w:line="480" w:lineRule="auto"/>
        <w:rPr>
          <w:rFonts w:ascii="Arial" w:hAnsi="Arial" w:cs="Arial"/>
        </w:rPr>
      </w:pPr>
      <w:bookmarkStart w:id="0" w:name="_Hlk47028555"/>
      <w:r w:rsidRPr="0016553F">
        <w:rPr>
          <w:rFonts w:ascii="Arial" w:hAnsi="Arial" w:cs="Arial"/>
          <w:b/>
          <w:bCs/>
        </w:rPr>
        <w:t>Table S8:</w:t>
      </w:r>
      <w:r>
        <w:rPr>
          <w:rFonts w:ascii="Arial" w:hAnsi="Arial" w:cs="Arial"/>
        </w:rPr>
        <w:t xml:space="preserve"> Key resources.</w:t>
      </w:r>
    </w:p>
    <w:bookmarkEnd w:id="0"/>
    <w:p w14:paraId="7604470D" w14:textId="77777777" w:rsidR="00A40B5F" w:rsidRDefault="00A40B5F" w:rsidP="00711510">
      <w:pPr>
        <w:tabs>
          <w:tab w:val="left" w:pos="199"/>
          <w:tab w:val="center" w:pos="5400"/>
        </w:tabs>
        <w:rPr>
          <w:sz w:val="32"/>
          <w:szCs w:val="32"/>
        </w:rPr>
      </w:pPr>
    </w:p>
    <w:sectPr w:rsidR="00A40B5F" w:rsidSect="0067223D">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E67"/>
    <w:rsid w:val="0003568E"/>
    <w:rsid w:val="00103A09"/>
    <w:rsid w:val="0016553F"/>
    <w:rsid w:val="002060E8"/>
    <w:rsid w:val="00244E67"/>
    <w:rsid w:val="00273FA4"/>
    <w:rsid w:val="002745A5"/>
    <w:rsid w:val="0035569D"/>
    <w:rsid w:val="00415AD6"/>
    <w:rsid w:val="00421479"/>
    <w:rsid w:val="00423362"/>
    <w:rsid w:val="00540407"/>
    <w:rsid w:val="0063168E"/>
    <w:rsid w:val="0067223D"/>
    <w:rsid w:val="006B07B6"/>
    <w:rsid w:val="006F6C56"/>
    <w:rsid w:val="00711510"/>
    <w:rsid w:val="00751A45"/>
    <w:rsid w:val="00836BD6"/>
    <w:rsid w:val="0085722C"/>
    <w:rsid w:val="00932F27"/>
    <w:rsid w:val="00973363"/>
    <w:rsid w:val="00976119"/>
    <w:rsid w:val="009B65FB"/>
    <w:rsid w:val="00A250EC"/>
    <w:rsid w:val="00A40B5F"/>
    <w:rsid w:val="00A440AA"/>
    <w:rsid w:val="00A801F7"/>
    <w:rsid w:val="00C24984"/>
    <w:rsid w:val="00C519DD"/>
    <w:rsid w:val="00C72AC9"/>
    <w:rsid w:val="00C80C7E"/>
    <w:rsid w:val="00CD66FD"/>
    <w:rsid w:val="00D14987"/>
    <w:rsid w:val="00D17845"/>
    <w:rsid w:val="00D53559"/>
    <w:rsid w:val="00DD2D3D"/>
    <w:rsid w:val="00DE2A7F"/>
    <w:rsid w:val="00F62543"/>
    <w:rsid w:val="00F80E66"/>
    <w:rsid w:val="00FD5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6CEFF"/>
  <w15:chartTrackingRefBased/>
  <w15:docId w15:val="{41281939-5975-43B2-BFB8-827E77706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5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tiff"/><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tiff"/><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MIngyaoy Ying</dc:creator>
  <cp:keywords/>
  <dc:description/>
  <cp:lastModifiedBy>MIngyaoy Ying</cp:lastModifiedBy>
  <cp:revision>5</cp:revision>
  <cp:lastPrinted>2020-06-22T16:43:00Z</cp:lastPrinted>
  <dcterms:created xsi:type="dcterms:W3CDTF">2021-04-07T22:04:00Z</dcterms:created>
  <dcterms:modified xsi:type="dcterms:W3CDTF">2021-04-12T21:41:00Z</dcterms:modified>
</cp:coreProperties>
</file>