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13E0" w14:textId="77777777" w:rsidR="000906F2" w:rsidRDefault="0022711E">
      <w:r>
        <w:rPr>
          <w:noProof/>
        </w:rPr>
        <w:drawing>
          <wp:inline distT="0" distB="0" distL="0" distR="0" wp14:anchorId="7000F180" wp14:editId="6F3DC1C5">
            <wp:extent cx="7076049" cy="2975569"/>
            <wp:effectExtent l="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8.tiff"/>
                    <pic:cNvPicPr/>
                  </pic:nvPicPr>
                  <pic:blipFill>
                    <a:blip r:embed="rId4">
                      <a:extLst>
                        <a:ext uri="{28A0092B-C50C-407E-A947-70E740481C1C}">
                          <a14:useLocalDpi xmlns:a14="http://schemas.microsoft.com/office/drawing/2010/main" val="0"/>
                        </a:ext>
                      </a:extLst>
                    </a:blip>
                    <a:stretch>
                      <a:fillRect/>
                    </a:stretch>
                  </pic:blipFill>
                  <pic:spPr>
                    <a:xfrm>
                      <a:off x="0" y="0"/>
                      <a:ext cx="7088753" cy="2980911"/>
                    </a:xfrm>
                    <a:prstGeom prst="rect">
                      <a:avLst/>
                    </a:prstGeom>
                  </pic:spPr>
                </pic:pic>
              </a:graphicData>
            </a:graphic>
          </wp:inline>
        </w:drawing>
      </w:r>
    </w:p>
    <w:p w14:paraId="26E06519" w14:textId="1E1520A7" w:rsidR="008440BF" w:rsidRPr="00873021" w:rsidRDefault="002C144A" w:rsidP="008440BF">
      <w:pPr>
        <w:rPr>
          <w:rFonts w:ascii="Calibri" w:eastAsia="Times New Roman" w:hAnsi="Calibri" w:cs="Calibri"/>
          <w:color w:val="000000"/>
        </w:rPr>
      </w:pPr>
      <w:r>
        <w:rPr>
          <w:b/>
          <w:bCs/>
        </w:rPr>
        <w:t>Supplementary Figure S</w:t>
      </w:r>
      <w:r w:rsidR="009B2F91">
        <w:rPr>
          <w:b/>
          <w:bCs/>
        </w:rPr>
        <w:t>3</w:t>
      </w:r>
      <w:bookmarkStart w:id="0" w:name="_GoBack"/>
      <w:bookmarkEnd w:id="0"/>
      <w:r w:rsidR="008440BF" w:rsidRPr="00B92DA7">
        <w:rPr>
          <w:b/>
          <w:bCs/>
        </w:rPr>
        <w:t>:</w:t>
      </w:r>
      <w:r w:rsidR="008440BF">
        <w:t xml:space="preserve"> Segregation of potential causal variants in </w:t>
      </w:r>
      <w:r w:rsidR="008440BF" w:rsidRPr="007131A6">
        <w:rPr>
          <w:i/>
          <w:iCs/>
        </w:rPr>
        <w:t>ARID1B</w:t>
      </w:r>
      <w:r w:rsidR="008440BF">
        <w:t xml:space="preserve"> in families 47 and 59.  In both pedigrees, gray symbols represent non-affected individuals (coded as missing in the analysis) and black symbol represent affected individuals.  The diagonal slash through the symbol represents a deceased individual and brackets around an individual’s ID represents individuals who were sequenced.  A) Family 47 pedigree with the first two letters underneath the individual ID represents the individual’s genotype at </w:t>
      </w:r>
      <w:r w:rsidR="008440BF" w:rsidRPr="00873021">
        <w:rPr>
          <w:rFonts w:ascii="Calibri" w:eastAsia="Times New Roman" w:hAnsi="Calibri" w:cs="Calibri"/>
          <w:color w:val="000000"/>
        </w:rPr>
        <w:t>rs564982701</w:t>
      </w:r>
      <w:r w:rsidR="008440BF">
        <w:rPr>
          <w:rFonts w:ascii="Calibri" w:eastAsia="Times New Roman" w:hAnsi="Calibri" w:cs="Calibri"/>
          <w:color w:val="000000"/>
        </w:rPr>
        <w:t xml:space="preserve"> (major allele = T, minor allele = C) and the second two letters underneath the individual ID represents the individual’s genotype at </w:t>
      </w:r>
      <w:r w:rsidR="008440BF" w:rsidRPr="00873021">
        <w:rPr>
          <w:rFonts w:ascii="Calibri" w:eastAsia="Times New Roman" w:hAnsi="Calibri" w:cs="Calibri"/>
          <w:color w:val="000000"/>
        </w:rPr>
        <w:t>rs150018283</w:t>
      </w:r>
      <w:r w:rsidR="008440BF">
        <w:rPr>
          <w:rFonts w:ascii="Calibri" w:eastAsia="Times New Roman" w:hAnsi="Calibri" w:cs="Calibri"/>
          <w:color w:val="000000"/>
        </w:rPr>
        <w:t xml:space="preserve"> (major allele = T, minor allele = A).  B) Family 59 pedigree with the </w:t>
      </w:r>
      <w:r w:rsidR="008440BF">
        <w:t xml:space="preserve">two letters underneath the individual ID represents the individual’s genotype at </w:t>
      </w:r>
      <w:r w:rsidR="008440BF" w:rsidRPr="00873021">
        <w:rPr>
          <w:rFonts w:ascii="Calibri" w:eastAsia="Times New Roman" w:hAnsi="Calibri" w:cs="Calibri"/>
          <w:color w:val="000000"/>
        </w:rPr>
        <w:t>rs187390535</w:t>
      </w:r>
      <w:r w:rsidR="008440BF">
        <w:rPr>
          <w:rFonts w:ascii="Calibri" w:eastAsia="Times New Roman" w:hAnsi="Calibri" w:cs="Calibri"/>
          <w:color w:val="000000"/>
        </w:rPr>
        <w:t xml:space="preserve"> (major allele = C, minor allele = G)</w:t>
      </w:r>
    </w:p>
    <w:p w14:paraId="09933911" w14:textId="77777777" w:rsidR="0022711E" w:rsidRDefault="0022711E"/>
    <w:sectPr w:rsidR="0022711E" w:rsidSect="00844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1E"/>
    <w:rsid w:val="000906F2"/>
    <w:rsid w:val="0022711E"/>
    <w:rsid w:val="002C144A"/>
    <w:rsid w:val="008440BF"/>
    <w:rsid w:val="009B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526C"/>
  <w15:chartTrackingRefBased/>
  <w15:docId w15:val="{D525DA12-14A0-4EDF-9F91-6E303DF5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Musolf, Anthony (NIH/NHGRI) [E]</dc:creator>
  <cp:keywords/>
  <dc:description/>
  <cp:lastModifiedBy>Musolf, Anthony (NIH/NHGRI) [E]</cp:lastModifiedBy>
  <cp:revision>4</cp:revision>
  <dcterms:created xsi:type="dcterms:W3CDTF">2020-09-19T00:23:00Z</dcterms:created>
  <dcterms:modified xsi:type="dcterms:W3CDTF">2021-01-21T21:41:00Z</dcterms:modified>
</cp:coreProperties>
</file>