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45" w:rsidRDefault="00D96510">
      <w:r>
        <w:rPr>
          <w:noProof/>
        </w:rPr>
        <w:drawing>
          <wp:inline distT="0" distB="0" distL="0" distR="0" wp14:anchorId="03A2918F" wp14:editId="163C7BB8">
            <wp:extent cx="5943600" cy="231013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10" w:rsidRPr="006E3C4A" w:rsidRDefault="006E3C4A">
      <w:r>
        <w:rPr>
          <w:b/>
          <w:bCs/>
        </w:rPr>
        <w:t>Supplementary Figure S</w:t>
      </w:r>
      <w:r w:rsidR="005610CB"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 xml:space="preserve">: </w:t>
      </w:r>
      <w:r>
        <w:t>Collapsed haplotype pattern (CHP) analysis across all 9 families.  The heterogeneity LOD (HLOD) scores of the regional CHP analysis.  The line at 3.3 represents the line for genome-wide significance based on Lander and Kruglyak.</w:t>
      </w:r>
    </w:p>
    <w:sectPr w:rsidR="00D96510" w:rsidRPr="006E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10"/>
    <w:rsid w:val="003B3345"/>
    <w:rsid w:val="005610CB"/>
    <w:rsid w:val="006E3C4A"/>
    <w:rsid w:val="00D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8E3F"/>
  <w15:chartTrackingRefBased/>
  <w15:docId w15:val="{DF16D70E-4107-4823-A8F6-BC4856A3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Musolf, Anthony (NIH/NHGRI) [E]</dc:creator>
  <cp:keywords/>
  <dc:description/>
  <cp:lastModifiedBy>Musolf, Anthony (NIH/NHGRI) [E]</cp:lastModifiedBy>
  <cp:revision>3</cp:revision>
  <dcterms:created xsi:type="dcterms:W3CDTF">2021-01-21T19:10:00Z</dcterms:created>
  <dcterms:modified xsi:type="dcterms:W3CDTF">2021-01-21T21:40:00Z</dcterms:modified>
</cp:coreProperties>
</file>