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A0CC" w14:textId="77777777" w:rsidR="0099211B" w:rsidRDefault="0099211B" w:rsidP="0099211B">
      <w:pPr>
        <w:rPr>
          <w:rFonts w:ascii="Times" w:eastAsia="Times New Roman" w:hAnsi="Times" w:cs="Times New Roman"/>
          <w:color w:val="222222"/>
          <w:shd w:val="clear" w:color="auto" w:fill="FFFFFF"/>
        </w:rPr>
      </w:pPr>
    </w:p>
    <w:p w14:paraId="0E7DA055" w14:textId="77777777" w:rsidR="0099211B" w:rsidRDefault="0099211B" w:rsidP="0099211B">
      <w:r w:rsidRPr="00F129BD">
        <w:rPr>
          <w:b/>
          <w:color w:val="000000" w:themeColor="text1"/>
        </w:rPr>
        <w:t xml:space="preserve">Supplemental figure </w:t>
      </w:r>
      <w:r>
        <w:rPr>
          <w:b/>
          <w:color w:val="000000" w:themeColor="text1"/>
        </w:rPr>
        <w:t>1</w:t>
      </w:r>
      <w:r w:rsidRPr="00F129BD">
        <w:rPr>
          <w:color w:val="000000" w:themeColor="text1"/>
        </w:rPr>
        <w:t xml:space="preserve">. </w:t>
      </w:r>
      <w:r w:rsidRPr="00E560A8">
        <w:rPr>
          <w:b/>
          <w:bCs/>
          <w:i/>
          <w:iCs/>
          <w:color w:val="000000" w:themeColor="text1"/>
        </w:rPr>
        <w:t>AGRN</w:t>
      </w:r>
      <w:r w:rsidRPr="00E560A8">
        <w:rPr>
          <w:b/>
          <w:bCs/>
          <w:color w:val="000000" w:themeColor="text1"/>
        </w:rPr>
        <w:t xml:space="preserve">, </w:t>
      </w:r>
      <w:r w:rsidRPr="00E560A8">
        <w:rPr>
          <w:b/>
          <w:bCs/>
          <w:i/>
          <w:iCs/>
          <w:color w:val="000000" w:themeColor="text1"/>
        </w:rPr>
        <w:t>SERPINB5</w:t>
      </w:r>
      <w:r w:rsidRPr="00E560A8">
        <w:rPr>
          <w:b/>
          <w:bCs/>
          <w:color w:val="000000" w:themeColor="text1"/>
        </w:rPr>
        <w:t xml:space="preserve">, and </w:t>
      </w:r>
      <w:r w:rsidRPr="00E560A8">
        <w:rPr>
          <w:b/>
          <w:bCs/>
          <w:i/>
          <w:iCs/>
          <w:color w:val="000000" w:themeColor="text1"/>
        </w:rPr>
        <w:t>CSTB</w:t>
      </w:r>
      <w:r w:rsidRPr="00E560A8">
        <w:rPr>
          <w:b/>
          <w:bCs/>
          <w:color w:val="000000" w:themeColor="text1"/>
        </w:rPr>
        <w:t xml:space="preserve"> gene expression in a panel of PDAC cell lines.</w:t>
      </w:r>
      <w:r w:rsidRPr="00F129BD">
        <w:rPr>
          <w:color w:val="000000" w:themeColor="text1"/>
        </w:rPr>
        <w:t xml:space="preserve"> </w:t>
      </w:r>
      <w:r>
        <w:rPr>
          <w:color w:val="000000" w:themeColor="text1"/>
        </w:rPr>
        <w:t xml:space="preserve">Expression data come from the </w:t>
      </w:r>
      <w:r w:rsidRPr="00F129BD">
        <w:rPr>
          <w:color w:val="000000" w:themeColor="text1"/>
        </w:rPr>
        <w:t>Cancer Cell Line Encyclopedia</w:t>
      </w:r>
      <w:r>
        <w:rPr>
          <w:color w:val="000000" w:themeColor="text1"/>
        </w:rPr>
        <w:t xml:space="preserve"> (</w:t>
      </w:r>
    </w:p>
    <w:p w14:paraId="047C97C7" w14:textId="77777777" w:rsidR="0099211B" w:rsidRPr="003316B7" w:rsidRDefault="00911FFB" w:rsidP="0099211B">
      <w:hyperlink r:id="rId4" w:history="1">
        <w:r w:rsidR="0099211B">
          <w:rPr>
            <w:rStyle w:val="Hyperlink"/>
          </w:rPr>
          <w:t>https://portals.broadinstitute.org/ccle</w:t>
        </w:r>
      </w:hyperlink>
      <w:r w:rsidR="0099211B">
        <w:rPr>
          <w:color w:val="000000" w:themeColor="text1"/>
        </w:rPr>
        <w:t>)</w:t>
      </w:r>
      <w:r w:rsidR="0099211B" w:rsidRPr="00F129BD">
        <w:rPr>
          <w:color w:val="000000" w:themeColor="text1"/>
        </w:rPr>
        <w:t xml:space="preserve">. </w:t>
      </w:r>
      <w:r w:rsidR="0099211B">
        <w:rPr>
          <w:color w:val="000000" w:themeColor="text1"/>
        </w:rPr>
        <w:t xml:space="preserve">Among all the cell lines, </w:t>
      </w:r>
      <w:r w:rsidR="0099211B" w:rsidRPr="00F129BD">
        <w:rPr>
          <w:color w:val="000000" w:themeColor="text1"/>
        </w:rPr>
        <w:t>AsPC1 expresses intermediate level</w:t>
      </w:r>
      <w:r w:rsidR="0099211B">
        <w:rPr>
          <w:color w:val="000000" w:themeColor="text1"/>
        </w:rPr>
        <w:t>s</w:t>
      </w:r>
      <w:r w:rsidR="0099211B" w:rsidRPr="00F129BD">
        <w:rPr>
          <w:color w:val="000000" w:themeColor="text1"/>
        </w:rPr>
        <w:t xml:space="preserve"> of </w:t>
      </w:r>
      <w:r w:rsidR="0099211B" w:rsidRPr="001E5276">
        <w:rPr>
          <w:i/>
          <w:iCs/>
          <w:color w:val="000000" w:themeColor="text1"/>
        </w:rPr>
        <w:t>AGRN</w:t>
      </w:r>
      <w:r w:rsidR="0099211B" w:rsidRPr="00F129BD">
        <w:rPr>
          <w:color w:val="000000" w:themeColor="text1"/>
        </w:rPr>
        <w:t xml:space="preserve"> (A), </w:t>
      </w:r>
      <w:r w:rsidR="0099211B" w:rsidRPr="001E5276">
        <w:rPr>
          <w:i/>
          <w:iCs/>
          <w:color w:val="000000" w:themeColor="text1"/>
        </w:rPr>
        <w:t>SERPINB5</w:t>
      </w:r>
      <w:r w:rsidR="0099211B" w:rsidRPr="00F129BD">
        <w:rPr>
          <w:color w:val="000000" w:themeColor="text1"/>
        </w:rPr>
        <w:t xml:space="preserve"> (B), and </w:t>
      </w:r>
      <w:r w:rsidR="0099211B" w:rsidRPr="001E5276">
        <w:rPr>
          <w:i/>
          <w:iCs/>
          <w:color w:val="000000" w:themeColor="text1"/>
        </w:rPr>
        <w:t>CSTB</w:t>
      </w:r>
      <w:r w:rsidR="0099211B" w:rsidRPr="00F129BD">
        <w:rPr>
          <w:color w:val="000000" w:themeColor="text1"/>
        </w:rPr>
        <w:t xml:space="preserve"> (C), while BxPC3 expresses high level</w:t>
      </w:r>
      <w:r w:rsidR="0099211B">
        <w:rPr>
          <w:color w:val="000000" w:themeColor="text1"/>
        </w:rPr>
        <w:t>s</w:t>
      </w:r>
      <w:r w:rsidR="0099211B" w:rsidRPr="00F129BD">
        <w:rPr>
          <w:color w:val="000000" w:themeColor="text1"/>
        </w:rPr>
        <w:t xml:space="preserve"> of </w:t>
      </w:r>
      <w:r w:rsidR="0099211B" w:rsidRPr="001E5276">
        <w:rPr>
          <w:i/>
          <w:iCs/>
          <w:color w:val="000000" w:themeColor="text1"/>
        </w:rPr>
        <w:t>AGRN</w:t>
      </w:r>
      <w:r w:rsidR="0099211B" w:rsidRPr="00F129BD">
        <w:rPr>
          <w:color w:val="000000" w:themeColor="text1"/>
        </w:rPr>
        <w:t xml:space="preserve"> (A), </w:t>
      </w:r>
      <w:r w:rsidR="0099211B" w:rsidRPr="001E5276">
        <w:rPr>
          <w:i/>
          <w:iCs/>
          <w:color w:val="000000" w:themeColor="text1"/>
        </w:rPr>
        <w:t>SERPINB5</w:t>
      </w:r>
      <w:r w:rsidR="0099211B" w:rsidRPr="00F129BD">
        <w:rPr>
          <w:color w:val="000000" w:themeColor="text1"/>
        </w:rPr>
        <w:t xml:space="preserve"> (B), and </w:t>
      </w:r>
      <w:r w:rsidR="0099211B" w:rsidRPr="001E5276">
        <w:rPr>
          <w:i/>
          <w:iCs/>
          <w:color w:val="000000" w:themeColor="text1"/>
        </w:rPr>
        <w:t>CSTB</w:t>
      </w:r>
      <w:r w:rsidR="0099211B" w:rsidRPr="00F129BD">
        <w:rPr>
          <w:color w:val="000000" w:themeColor="text1"/>
        </w:rPr>
        <w:t xml:space="preserve"> (C).</w:t>
      </w:r>
      <w:r w:rsidR="0099211B">
        <w:rPr>
          <w:color w:val="000000" w:themeColor="text1"/>
        </w:rPr>
        <w:t xml:space="preserve"> These differences in expression by the two cell lines were exploited in subsequent experiments allowing tests for increased expression (in AsPC1) or decreased expression (in BxPC3).</w:t>
      </w:r>
    </w:p>
    <w:p w14:paraId="31494B1A" w14:textId="3AD757EE" w:rsidR="004C188D" w:rsidRDefault="00911FFB"/>
    <w:p w14:paraId="37192CDC" w14:textId="77777777" w:rsidR="0099211B" w:rsidRDefault="0099211B" w:rsidP="0099211B">
      <w:pPr>
        <w:rPr>
          <w:b/>
          <w:bCs/>
          <w:color w:val="000000" w:themeColor="text1"/>
        </w:rPr>
      </w:pPr>
      <w:r w:rsidRPr="00C404FF">
        <w:rPr>
          <w:b/>
          <w:bCs/>
          <w:color w:val="000000" w:themeColor="text1"/>
        </w:rPr>
        <w:t xml:space="preserve">Supplemental </w:t>
      </w:r>
      <w:r>
        <w:rPr>
          <w:b/>
          <w:bCs/>
          <w:color w:val="000000" w:themeColor="text1"/>
        </w:rPr>
        <w:t>F</w:t>
      </w:r>
      <w:r w:rsidRPr="00C404FF">
        <w:rPr>
          <w:b/>
          <w:bCs/>
          <w:color w:val="000000" w:themeColor="text1"/>
        </w:rPr>
        <w:t>igure</w:t>
      </w:r>
      <w:r>
        <w:rPr>
          <w:b/>
          <w:bCs/>
          <w:color w:val="000000" w:themeColor="text1"/>
        </w:rPr>
        <w:t xml:space="preserve"> 2</w:t>
      </w:r>
      <w:r w:rsidRPr="00C404FF">
        <w:rPr>
          <w:b/>
          <w:bCs/>
          <w:color w:val="000000" w:themeColor="text1"/>
        </w:rPr>
        <w:t>.</w:t>
      </w:r>
      <w:r>
        <w:rPr>
          <w:b/>
          <w:bCs/>
          <w:color w:val="000000" w:themeColor="text1"/>
        </w:rPr>
        <w:t xml:space="preserve"> In vitro proliferation assay for the overexpression and knockdown sets of cells. </w:t>
      </w:r>
    </w:p>
    <w:p w14:paraId="5BDACA50" w14:textId="77777777" w:rsidR="0099211B" w:rsidRDefault="0099211B" w:rsidP="0099211B">
      <w:r>
        <w:rPr>
          <w:color w:val="000000" w:themeColor="text1"/>
        </w:rPr>
        <w:t xml:space="preserve">In vitro proliferation curves of the knockdown (A) and overexpression (B) set of cells. </w:t>
      </w:r>
      <w:r>
        <w:t xml:space="preserve">P values were individually calculated by student t test for the last 12 hours (last four time points), and then were corrected for the multiple testing using the </w:t>
      </w:r>
      <w:proofErr w:type="spellStart"/>
      <w:r>
        <w:t>Benjamini</w:t>
      </w:r>
      <w:proofErr w:type="spellEnd"/>
      <w:r>
        <w:t>-Hochberg method. The highest adjusted p value among the four points for each cell line were represented by star(s).</w:t>
      </w:r>
      <w:r w:rsidRPr="00784DA7">
        <w:rPr>
          <w:color w:val="000000" w:themeColor="text1"/>
        </w:rPr>
        <w:t xml:space="preserve"> </w:t>
      </w:r>
      <w:r w:rsidRPr="00F129BD">
        <w:rPr>
          <w:color w:val="000000" w:themeColor="text1"/>
        </w:rPr>
        <w:t xml:space="preserve">*, p&lt;0.05; **, p&lt;0.01; ***, p&lt;0.001; </w:t>
      </w:r>
      <w:r>
        <w:rPr>
          <w:color w:val="000000" w:themeColor="text1"/>
        </w:rPr>
        <w:t>****, p&lt;0.0001. ns</w:t>
      </w:r>
      <w:r w:rsidRPr="00F129BD">
        <w:rPr>
          <w:color w:val="000000" w:themeColor="text1"/>
        </w:rPr>
        <w:t xml:space="preserve">, not </w:t>
      </w:r>
      <w:r>
        <w:rPr>
          <w:color w:val="000000" w:themeColor="text1"/>
        </w:rPr>
        <w:t>significant.</w:t>
      </w:r>
    </w:p>
    <w:p w14:paraId="76C74994" w14:textId="77777777" w:rsidR="0099211B" w:rsidRDefault="0099211B" w:rsidP="0099211B">
      <w:pPr>
        <w:rPr>
          <w:color w:val="000000" w:themeColor="text1"/>
        </w:rPr>
      </w:pPr>
    </w:p>
    <w:p w14:paraId="565E9B4A" w14:textId="3D64FC05" w:rsidR="0099211B" w:rsidRPr="00C404FF" w:rsidRDefault="0099211B" w:rsidP="0099211B">
      <w:pPr>
        <w:rPr>
          <w:b/>
          <w:bCs/>
          <w:color w:val="000000" w:themeColor="text1"/>
        </w:rPr>
      </w:pPr>
      <w:r w:rsidRPr="00C404FF">
        <w:rPr>
          <w:b/>
          <w:bCs/>
          <w:color w:val="000000" w:themeColor="text1"/>
        </w:rPr>
        <w:t>Supplemental figure</w:t>
      </w:r>
      <w:r>
        <w:rPr>
          <w:b/>
          <w:bCs/>
          <w:color w:val="000000" w:themeColor="text1"/>
        </w:rPr>
        <w:t xml:space="preserve"> 3</w:t>
      </w:r>
      <w:r w:rsidRPr="00C404FF">
        <w:rPr>
          <w:b/>
          <w:bCs/>
          <w:color w:val="000000" w:themeColor="text1"/>
        </w:rPr>
        <w:t xml:space="preserve">. </w:t>
      </w:r>
      <w:r>
        <w:rPr>
          <w:b/>
          <w:bCs/>
          <w:color w:val="000000" w:themeColor="text1"/>
        </w:rPr>
        <w:t>X</w:t>
      </w:r>
      <w:r w:rsidRPr="00C404FF">
        <w:rPr>
          <w:b/>
          <w:bCs/>
          <w:color w:val="000000" w:themeColor="text1"/>
        </w:rPr>
        <w:t xml:space="preserve">enograft tumors </w:t>
      </w:r>
      <w:r>
        <w:rPr>
          <w:b/>
          <w:bCs/>
          <w:color w:val="000000" w:themeColor="text1"/>
        </w:rPr>
        <w:t>knocked down and overexpressing</w:t>
      </w:r>
      <w:r w:rsidRPr="00C404FF">
        <w:rPr>
          <w:b/>
          <w:bCs/>
          <w:color w:val="000000" w:themeColor="text1"/>
        </w:rPr>
        <w:t xml:space="preserve"> AGRN, SERPINB</w:t>
      </w:r>
      <w:r w:rsidR="00A75607">
        <w:rPr>
          <w:b/>
          <w:bCs/>
          <w:color w:val="000000" w:themeColor="text1"/>
        </w:rPr>
        <w:t>5</w:t>
      </w:r>
      <w:r w:rsidRPr="00C404FF">
        <w:rPr>
          <w:b/>
          <w:bCs/>
          <w:color w:val="000000" w:themeColor="text1"/>
        </w:rPr>
        <w:t xml:space="preserve">, and CSTB </w:t>
      </w:r>
      <w:r>
        <w:rPr>
          <w:b/>
          <w:bCs/>
          <w:color w:val="000000" w:themeColor="text1"/>
        </w:rPr>
        <w:t>show</w:t>
      </w:r>
      <w:r w:rsidRPr="00C404FF">
        <w:rPr>
          <w:b/>
          <w:bCs/>
          <w:color w:val="000000" w:themeColor="text1"/>
        </w:rPr>
        <w:t xml:space="preserve"> expected protein </w:t>
      </w:r>
      <w:r>
        <w:rPr>
          <w:b/>
          <w:bCs/>
          <w:color w:val="000000" w:themeColor="text1"/>
        </w:rPr>
        <w:t>expression changes</w:t>
      </w:r>
      <w:r w:rsidRPr="00C404FF">
        <w:rPr>
          <w:b/>
          <w:bCs/>
          <w:color w:val="000000" w:themeColor="text1"/>
        </w:rPr>
        <w:t>.</w:t>
      </w:r>
    </w:p>
    <w:p w14:paraId="06784EB6" w14:textId="78CF770E" w:rsidR="0099211B" w:rsidRDefault="0099211B" w:rsidP="0099211B">
      <w:pPr>
        <w:rPr>
          <w:color w:val="000000" w:themeColor="text1"/>
        </w:rPr>
      </w:pPr>
      <w:proofErr w:type="gramStart"/>
      <w:r>
        <w:rPr>
          <w:color w:val="000000" w:themeColor="text1"/>
        </w:rPr>
        <w:t>A,</w:t>
      </w:r>
      <w:r w:rsidR="00D92876">
        <w:rPr>
          <w:color w:val="000000" w:themeColor="text1"/>
        </w:rPr>
        <w:t>B</w:t>
      </w:r>
      <w:proofErr w:type="gramEnd"/>
      <w:r>
        <w:rPr>
          <w:color w:val="000000" w:themeColor="text1"/>
        </w:rPr>
        <w:t>, kd1 (A) and oe1 (</w:t>
      </w:r>
      <w:r w:rsidR="00D92876">
        <w:rPr>
          <w:color w:val="000000" w:themeColor="text1"/>
        </w:rPr>
        <w:t>B</w:t>
      </w:r>
      <w:r>
        <w:rPr>
          <w:color w:val="000000" w:themeColor="text1"/>
        </w:rPr>
        <w:t xml:space="preserve">) of </w:t>
      </w:r>
      <w:r w:rsidRPr="00616F43">
        <w:rPr>
          <w:color w:val="000000" w:themeColor="text1"/>
        </w:rPr>
        <w:t>AGRN, SERPIN</w:t>
      </w:r>
      <w:r>
        <w:rPr>
          <w:color w:val="000000" w:themeColor="text1"/>
        </w:rPr>
        <w:t>B5</w:t>
      </w:r>
      <w:r w:rsidRPr="00616F43">
        <w:rPr>
          <w:color w:val="000000" w:themeColor="text1"/>
        </w:rPr>
        <w:t>, and CSTB</w:t>
      </w:r>
      <w:r>
        <w:rPr>
          <w:color w:val="000000" w:themeColor="text1"/>
        </w:rPr>
        <w:t xml:space="preserve"> xenograft tumors have the expected knockdown and overexpression, respectively, of the protein expression detected by IHC. </w:t>
      </w:r>
    </w:p>
    <w:p w14:paraId="50705403" w14:textId="7A40611D" w:rsidR="0099211B" w:rsidRDefault="00D92876" w:rsidP="0099211B">
      <w:pPr>
        <w:rPr>
          <w:color w:val="000000" w:themeColor="text1"/>
        </w:rPr>
      </w:pPr>
      <w:r>
        <w:rPr>
          <w:color w:val="000000" w:themeColor="text1"/>
        </w:rPr>
        <w:t>C</w:t>
      </w:r>
      <w:r w:rsidR="0099211B">
        <w:rPr>
          <w:color w:val="000000" w:themeColor="text1"/>
        </w:rPr>
        <w:t xml:space="preserve">, human-specific qPCR primers only amplified AGRN, CSTB, and SERPINB5 in human cDNA (BxPC3) but not in mouse cDNA (KPC PDACs). ACTB_1 is a control that can amplify in both species. ACTB_2 only amplifies the human gene/cDNA. </w:t>
      </w:r>
    </w:p>
    <w:p w14:paraId="0053E444" w14:textId="4EA44438" w:rsidR="0099211B" w:rsidRDefault="00D92876" w:rsidP="0099211B">
      <w:pPr>
        <w:rPr>
          <w:color w:val="000000" w:themeColor="text1"/>
        </w:rPr>
      </w:pPr>
      <w:proofErr w:type="gramStart"/>
      <w:r>
        <w:rPr>
          <w:color w:val="000000" w:themeColor="text1"/>
        </w:rPr>
        <w:t>D</w:t>
      </w:r>
      <w:r w:rsidR="0099211B">
        <w:rPr>
          <w:color w:val="000000" w:themeColor="text1"/>
        </w:rPr>
        <w:t>,E</w:t>
      </w:r>
      <w:proofErr w:type="gramEnd"/>
      <w:r w:rsidR="0099211B">
        <w:rPr>
          <w:color w:val="000000" w:themeColor="text1"/>
        </w:rPr>
        <w:t>, qPCR on xenograft tumor lysates shows expected knockdown (</w:t>
      </w:r>
      <w:r>
        <w:rPr>
          <w:color w:val="000000" w:themeColor="text1"/>
        </w:rPr>
        <w:t>D</w:t>
      </w:r>
      <w:r w:rsidR="0099211B">
        <w:rPr>
          <w:color w:val="000000" w:themeColor="text1"/>
        </w:rPr>
        <w:t>) and overexpression (E) of AGRN, SERPINB5, and CSTB transcripts. Human-specific qPCR primers for AGRN, CSTB, and SERPINB5 were used; ACTB_2 was used as an internal loading control.</w:t>
      </w:r>
    </w:p>
    <w:p w14:paraId="058FB547" w14:textId="77777777" w:rsidR="0099211B" w:rsidRDefault="0099211B" w:rsidP="0099211B">
      <w:pPr>
        <w:rPr>
          <w:rFonts w:ascii="Times" w:eastAsia="Times New Roman" w:hAnsi="Times" w:cs="Times New Roman"/>
          <w:color w:val="222222"/>
          <w:shd w:val="clear" w:color="auto" w:fill="FFFFFF"/>
        </w:rPr>
      </w:pPr>
    </w:p>
    <w:p w14:paraId="752A083B" w14:textId="77777777" w:rsidR="0099211B" w:rsidRDefault="0099211B" w:rsidP="0099211B">
      <w:pPr>
        <w:rPr>
          <w:rFonts w:ascii="Times" w:eastAsia="Times New Roman" w:hAnsi="Times" w:cs="Times New Roman"/>
          <w:color w:val="222222"/>
          <w:shd w:val="clear" w:color="auto" w:fill="FFFFFF"/>
        </w:rPr>
      </w:pPr>
      <w:r w:rsidRPr="00C404FF">
        <w:rPr>
          <w:b/>
          <w:bCs/>
          <w:color w:val="000000" w:themeColor="text1"/>
        </w:rPr>
        <w:t>Supplemental figure</w:t>
      </w:r>
      <w:r>
        <w:rPr>
          <w:b/>
          <w:bCs/>
          <w:color w:val="000000" w:themeColor="text1"/>
        </w:rPr>
        <w:t xml:space="preserve"> 4</w:t>
      </w:r>
      <w:r w:rsidRPr="00C404FF">
        <w:rPr>
          <w:b/>
          <w:bCs/>
          <w:color w:val="000000" w:themeColor="text1"/>
        </w:rPr>
        <w:t>.</w:t>
      </w:r>
      <w:r>
        <w:rPr>
          <w:b/>
          <w:bCs/>
          <w:color w:val="000000" w:themeColor="text1"/>
        </w:rPr>
        <w:t xml:space="preserve"> QPCR with human-specific primers shows that AGRN promotes EMT in primary tumors. </w:t>
      </w:r>
    </w:p>
    <w:p w14:paraId="688ABC69" w14:textId="77777777" w:rsidR="0099211B" w:rsidRDefault="0099211B" w:rsidP="0099211B">
      <w:pPr>
        <w:rPr>
          <w:color w:val="000000" w:themeColor="text1"/>
        </w:rPr>
      </w:pPr>
      <w:r>
        <w:rPr>
          <w:color w:val="000000" w:themeColor="text1"/>
        </w:rPr>
        <w:t>A, human-specific qPCR primers only amplified from human cDNA (BxPC3, hT1CAF) but not from mouse cDNA (KPC PDACs). ACTB_1 is a control that can amplify in both species. ACTB_2 only amplifies the human gene.</w:t>
      </w:r>
    </w:p>
    <w:p w14:paraId="2D6B0773" w14:textId="77777777" w:rsidR="0099211B" w:rsidRDefault="0099211B" w:rsidP="0099211B">
      <w:pPr>
        <w:rPr>
          <w:color w:val="000000" w:themeColor="text1"/>
        </w:rPr>
      </w:pPr>
      <w:r>
        <w:rPr>
          <w:color w:val="000000" w:themeColor="text1"/>
        </w:rPr>
        <w:t xml:space="preserve">B, qPCR shows that AGRN </w:t>
      </w:r>
      <w:proofErr w:type="spellStart"/>
      <w:r>
        <w:rPr>
          <w:color w:val="000000" w:themeColor="text1"/>
        </w:rPr>
        <w:t>kd</w:t>
      </w:r>
      <w:proofErr w:type="spellEnd"/>
      <w:r>
        <w:rPr>
          <w:color w:val="000000" w:themeColor="text1"/>
        </w:rPr>
        <w:t xml:space="preserve"> cancer cells have significantly reduced TWIST1, SNAI1, and FN1 expression. To quantify changes specifically in cancer cells (that are human), human-specific qPCR primers for TWIST1, SNAI1, and FN1 were used, and ACTB_2 was used as an internal loading control. FN1 primers could not amplify in AsPC1 sets of </w:t>
      </w:r>
      <w:proofErr w:type="spellStart"/>
      <w:r>
        <w:rPr>
          <w:color w:val="000000" w:themeColor="text1"/>
        </w:rPr>
        <w:t>oe</w:t>
      </w:r>
      <w:proofErr w:type="spellEnd"/>
      <w:r>
        <w:rPr>
          <w:color w:val="000000" w:themeColor="text1"/>
        </w:rPr>
        <w:t xml:space="preserve"> cells because AsPC1 cells express very little FN.</w:t>
      </w:r>
    </w:p>
    <w:p w14:paraId="52E82934" w14:textId="77777777" w:rsidR="0090052A" w:rsidRPr="00D30311" w:rsidRDefault="0090052A" w:rsidP="0090052A">
      <w:pPr>
        <w:rPr>
          <w:rFonts w:eastAsia="Times New Roman" w:cstheme="minorHAnsi"/>
          <w:color w:val="222222"/>
          <w:shd w:val="clear" w:color="auto" w:fill="FFFFFF"/>
        </w:rPr>
      </w:pPr>
    </w:p>
    <w:p w14:paraId="2F8197E4" w14:textId="77777777" w:rsidR="0090052A" w:rsidRPr="00D30311" w:rsidRDefault="0090052A" w:rsidP="0090052A">
      <w:pPr>
        <w:rPr>
          <w:rFonts w:eastAsia="Times New Roman" w:cstheme="minorHAnsi"/>
          <w:b/>
          <w:bCs/>
          <w:color w:val="222222"/>
          <w:shd w:val="clear" w:color="auto" w:fill="FFFFFF"/>
        </w:rPr>
      </w:pPr>
      <w:r w:rsidRPr="00D30311">
        <w:rPr>
          <w:rFonts w:eastAsia="Times New Roman" w:cstheme="minorHAnsi"/>
          <w:b/>
          <w:bCs/>
          <w:color w:val="222222"/>
          <w:shd w:val="clear" w:color="auto" w:fill="FFFFFF"/>
        </w:rPr>
        <w:t xml:space="preserve">Supplemental figure </w:t>
      </w:r>
      <w:r>
        <w:rPr>
          <w:rFonts w:eastAsia="Times New Roman" w:cstheme="minorHAnsi"/>
          <w:b/>
          <w:bCs/>
          <w:color w:val="222222"/>
          <w:shd w:val="clear" w:color="auto" w:fill="FFFFFF"/>
        </w:rPr>
        <w:t>5</w:t>
      </w:r>
      <w:r w:rsidRPr="00D30311">
        <w:rPr>
          <w:rFonts w:eastAsia="Times New Roman" w:cstheme="minorHAnsi"/>
          <w:b/>
          <w:bCs/>
          <w:color w:val="222222"/>
          <w:shd w:val="clear" w:color="auto" w:fill="FFFFFF"/>
        </w:rPr>
        <w:t xml:space="preserve">. Example images for </w:t>
      </w:r>
      <w:r>
        <w:rPr>
          <w:rFonts w:eastAsia="Times New Roman" w:cstheme="minorHAnsi"/>
          <w:b/>
          <w:bCs/>
          <w:color w:val="222222"/>
          <w:shd w:val="clear" w:color="auto" w:fill="FFFFFF"/>
        </w:rPr>
        <w:t>lungs after tail-vein injection and cells with TKS5 immunofluorescence staining</w:t>
      </w:r>
      <w:r w:rsidRPr="00D30311">
        <w:rPr>
          <w:rFonts w:eastAsia="Times New Roman" w:cstheme="minorHAnsi"/>
          <w:b/>
          <w:bCs/>
          <w:color w:val="222222"/>
          <w:shd w:val="clear" w:color="auto" w:fill="FFFFFF"/>
        </w:rPr>
        <w:t xml:space="preserve">. </w:t>
      </w:r>
    </w:p>
    <w:p w14:paraId="19ACE42A" w14:textId="77777777" w:rsidR="0090052A" w:rsidRDefault="0090052A" w:rsidP="0090052A">
      <w:pPr>
        <w:rPr>
          <w:color w:val="000000" w:themeColor="text1"/>
        </w:rPr>
      </w:pPr>
      <w:proofErr w:type="gramStart"/>
      <w:r>
        <w:rPr>
          <w:rFonts w:eastAsia="Times New Roman" w:cstheme="minorHAnsi"/>
          <w:color w:val="222222"/>
          <w:shd w:val="clear" w:color="auto" w:fill="FFFFFF"/>
        </w:rPr>
        <w:t>A,B</w:t>
      </w:r>
      <w:proofErr w:type="gramEnd"/>
      <w:r>
        <w:rPr>
          <w:rFonts w:eastAsia="Times New Roman" w:cstheme="minorHAnsi"/>
          <w:color w:val="222222"/>
          <w:shd w:val="clear" w:color="auto" w:fill="FFFFFF"/>
        </w:rPr>
        <w:t>, e</w:t>
      </w:r>
      <w:r w:rsidRPr="00D30311">
        <w:rPr>
          <w:rFonts w:eastAsia="Times New Roman" w:cstheme="minorHAnsi"/>
          <w:color w:val="222222"/>
          <w:shd w:val="clear" w:color="auto" w:fill="FFFFFF"/>
        </w:rPr>
        <w:t xml:space="preserve">xample lung images for mice that were injected with BxPC3 G1.1 cells knocked down </w:t>
      </w:r>
      <w:r>
        <w:rPr>
          <w:rFonts w:eastAsia="Times New Roman" w:cstheme="minorHAnsi"/>
          <w:color w:val="222222"/>
          <w:shd w:val="clear" w:color="auto" w:fill="FFFFFF"/>
        </w:rPr>
        <w:t xml:space="preserve">for each of </w:t>
      </w:r>
      <w:r w:rsidRPr="00D30311">
        <w:rPr>
          <w:rFonts w:eastAsia="Times New Roman" w:cstheme="minorHAnsi"/>
          <w:color w:val="222222"/>
          <w:shd w:val="clear" w:color="auto" w:fill="FFFFFF"/>
        </w:rPr>
        <w:t>the three genes (A) and AsPC1 cells that overexpressed the three genes (B).</w:t>
      </w:r>
      <w:r>
        <w:rPr>
          <w:rFonts w:eastAsia="Times New Roman" w:cstheme="minorHAnsi"/>
          <w:color w:val="222222"/>
          <w:shd w:val="clear" w:color="auto" w:fill="FFFFFF"/>
        </w:rPr>
        <w:t xml:space="preserve"> </w:t>
      </w:r>
      <w:r>
        <w:rPr>
          <w:color w:val="000000" w:themeColor="text1"/>
        </w:rPr>
        <w:t>S</w:t>
      </w:r>
      <w:r w:rsidRPr="00F129BD">
        <w:rPr>
          <w:color w:val="000000" w:themeColor="text1"/>
        </w:rPr>
        <w:t>cale bar</w:t>
      </w:r>
      <w:r>
        <w:rPr>
          <w:color w:val="000000" w:themeColor="text1"/>
        </w:rPr>
        <w:t xml:space="preserve"> is</w:t>
      </w:r>
      <w:r w:rsidRPr="00F129BD">
        <w:rPr>
          <w:color w:val="000000" w:themeColor="text1"/>
        </w:rPr>
        <w:t xml:space="preserve"> 2mm.</w:t>
      </w:r>
    </w:p>
    <w:p w14:paraId="18B9ED09" w14:textId="77777777" w:rsidR="0090052A" w:rsidRDefault="0090052A" w:rsidP="0090052A">
      <w:pPr>
        <w:rPr>
          <w:color w:val="000000" w:themeColor="text1"/>
        </w:rPr>
      </w:pPr>
      <w:r>
        <w:rPr>
          <w:rFonts w:eastAsia="Times New Roman" w:cstheme="minorHAnsi"/>
          <w:color w:val="222222"/>
          <w:shd w:val="clear" w:color="auto" w:fill="FFFFFF"/>
        </w:rPr>
        <w:lastRenderedPageBreak/>
        <w:t xml:space="preserve">C, in vivo extravasation assay showed that BxPC3 cells clustered in the blood vessels. </w:t>
      </w:r>
      <w:r>
        <w:rPr>
          <w:color w:val="000000" w:themeColor="text1"/>
        </w:rPr>
        <w:t>S</w:t>
      </w:r>
      <w:r w:rsidRPr="00F129BD">
        <w:rPr>
          <w:color w:val="000000" w:themeColor="text1"/>
        </w:rPr>
        <w:t>cale bar</w:t>
      </w:r>
      <w:r>
        <w:rPr>
          <w:color w:val="000000" w:themeColor="text1"/>
        </w:rPr>
        <w:t xml:space="preserve"> is</w:t>
      </w:r>
      <w:r w:rsidRPr="00F129BD">
        <w:rPr>
          <w:color w:val="000000" w:themeColor="text1"/>
        </w:rPr>
        <w:t xml:space="preserve"> </w:t>
      </w:r>
      <w:r>
        <w:rPr>
          <w:color w:val="000000" w:themeColor="text1"/>
        </w:rPr>
        <w:t>10</w:t>
      </w:r>
      <w:r w:rsidRPr="00392EF8">
        <w:rPr>
          <w:rFonts w:ascii="Symbol" w:hAnsi="Symbol"/>
          <w:color w:val="000000" w:themeColor="text1"/>
        </w:rPr>
        <w:t></w:t>
      </w:r>
      <w:r>
        <w:rPr>
          <w:color w:val="000000" w:themeColor="text1"/>
        </w:rPr>
        <w:t>m.</w:t>
      </w:r>
    </w:p>
    <w:p w14:paraId="2FC73A94" w14:textId="77777777" w:rsidR="0090052A" w:rsidRPr="003740DC" w:rsidRDefault="0090052A" w:rsidP="0090052A">
      <w:pPr>
        <w:rPr>
          <w:color w:val="000000" w:themeColor="text1"/>
        </w:rPr>
      </w:pPr>
      <w:r>
        <w:rPr>
          <w:color w:val="000000" w:themeColor="text1"/>
        </w:rPr>
        <w:t xml:space="preserve">D, </w:t>
      </w:r>
      <w:r w:rsidRPr="00D30311">
        <w:rPr>
          <w:rFonts w:cstheme="minorHAnsi"/>
        </w:rPr>
        <w:t xml:space="preserve">example images </w:t>
      </w:r>
      <w:r>
        <w:rPr>
          <w:rFonts w:cstheme="minorHAnsi"/>
        </w:rPr>
        <w:t xml:space="preserve">showing the colocalization of TKS5+ </w:t>
      </w:r>
      <w:proofErr w:type="spellStart"/>
      <w:r>
        <w:rPr>
          <w:rFonts w:cstheme="minorHAnsi"/>
        </w:rPr>
        <w:t>invadopodia</w:t>
      </w:r>
      <w:proofErr w:type="spellEnd"/>
      <w:r>
        <w:rPr>
          <w:rFonts w:cstheme="minorHAnsi"/>
        </w:rPr>
        <w:t xml:space="preserve"> and the degradation spots in AsPC1</w:t>
      </w:r>
      <w:r w:rsidRPr="00D30311">
        <w:rPr>
          <w:rFonts w:cstheme="minorHAnsi"/>
        </w:rPr>
        <w:t xml:space="preserve"> cells that degraded (arrows) </w:t>
      </w:r>
      <w:r>
        <w:rPr>
          <w:rFonts w:cstheme="minorHAnsi"/>
        </w:rPr>
        <w:t>or</w:t>
      </w:r>
      <w:r w:rsidRPr="00D30311">
        <w:rPr>
          <w:rFonts w:cstheme="minorHAnsi"/>
        </w:rPr>
        <w:t xml:space="preserve"> did</w:t>
      </w:r>
      <w:r>
        <w:rPr>
          <w:rFonts w:cstheme="minorHAnsi"/>
        </w:rPr>
        <w:t xml:space="preserve"> </w:t>
      </w:r>
      <w:r w:rsidRPr="00D30311">
        <w:rPr>
          <w:rFonts w:cstheme="minorHAnsi"/>
        </w:rPr>
        <w:t>n</w:t>
      </w:r>
      <w:r>
        <w:rPr>
          <w:rFonts w:cstheme="minorHAnsi"/>
        </w:rPr>
        <w:t>o</w:t>
      </w:r>
      <w:r w:rsidRPr="00D30311">
        <w:rPr>
          <w:rFonts w:cstheme="minorHAnsi"/>
        </w:rPr>
        <w:t>t degrade (arrowhead</w:t>
      </w:r>
      <w:r>
        <w:rPr>
          <w:rFonts w:cstheme="minorHAnsi"/>
        </w:rPr>
        <w:t>s</w:t>
      </w:r>
      <w:r w:rsidRPr="00D30311">
        <w:rPr>
          <w:rFonts w:cstheme="minorHAnsi"/>
        </w:rPr>
        <w:t>) gelatin</w:t>
      </w:r>
      <w:r>
        <w:rPr>
          <w:rFonts w:cstheme="minorHAnsi"/>
        </w:rPr>
        <w:t xml:space="preserve"> 20 hours post- plating</w:t>
      </w:r>
      <w:r w:rsidRPr="00D30311">
        <w:rPr>
          <w:rFonts w:cstheme="minorHAnsi"/>
        </w:rPr>
        <w:t>.</w:t>
      </w:r>
      <w:r>
        <w:rPr>
          <w:rFonts w:cstheme="minorHAnsi"/>
        </w:rPr>
        <w:t xml:space="preserve"> DAPI signal is also shown on the merged images. </w:t>
      </w:r>
      <w:r>
        <w:rPr>
          <w:color w:val="000000" w:themeColor="text1"/>
        </w:rPr>
        <w:t>S</w:t>
      </w:r>
      <w:r w:rsidRPr="00F129BD">
        <w:rPr>
          <w:color w:val="000000" w:themeColor="text1"/>
        </w:rPr>
        <w:t>cale bar</w:t>
      </w:r>
      <w:r>
        <w:rPr>
          <w:color w:val="000000" w:themeColor="text1"/>
        </w:rPr>
        <w:t xml:space="preserve"> is</w:t>
      </w:r>
      <w:r w:rsidRPr="00F129BD">
        <w:rPr>
          <w:color w:val="000000" w:themeColor="text1"/>
        </w:rPr>
        <w:t xml:space="preserve"> </w:t>
      </w:r>
      <w:r>
        <w:rPr>
          <w:color w:val="000000" w:themeColor="text1"/>
        </w:rPr>
        <w:t>10</w:t>
      </w:r>
      <w:r w:rsidRPr="00392EF8">
        <w:rPr>
          <w:rFonts w:ascii="Symbol" w:hAnsi="Symbol"/>
          <w:color w:val="000000" w:themeColor="text1"/>
        </w:rPr>
        <w:t></w:t>
      </w:r>
      <w:r>
        <w:rPr>
          <w:color w:val="000000" w:themeColor="text1"/>
        </w:rPr>
        <w:t>m.</w:t>
      </w:r>
    </w:p>
    <w:p w14:paraId="091EFE1C" w14:textId="2C6A266F" w:rsidR="0090052A" w:rsidRDefault="0090052A" w:rsidP="0090052A">
      <w:pPr>
        <w:rPr>
          <w:color w:val="000000" w:themeColor="text1"/>
        </w:rPr>
      </w:pPr>
      <w:r>
        <w:rPr>
          <w:color w:val="000000" w:themeColor="text1"/>
        </w:rPr>
        <w:t xml:space="preserve">E, example images showing the TKS5 staining in the </w:t>
      </w:r>
      <w:proofErr w:type="spellStart"/>
      <w:r>
        <w:rPr>
          <w:color w:val="000000" w:themeColor="text1"/>
        </w:rPr>
        <w:t>Zsgreen</w:t>
      </w:r>
      <w:proofErr w:type="spellEnd"/>
      <w:r>
        <w:rPr>
          <w:color w:val="000000" w:themeColor="text1"/>
        </w:rPr>
        <w:t xml:space="preserve"> positive AsPC1 cells. Closed and open arrows show cells that are negative and positive for TKS5+ </w:t>
      </w:r>
      <w:proofErr w:type="spellStart"/>
      <w:r>
        <w:rPr>
          <w:color w:val="000000" w:themeColor="text1"/>
        </w:rPr>
        <w:t>invadopodia</w:t>
      </w:r>
      <w:proofErr w:type="spellEnd"/>
      <w:r>
        <w:rPr>
          <w:color w:val="000000" w:themeColor="text1"/>
        </w:rPr>
        <w:t>, respectively. S</w:t>
      </w:r>
      <w:r w:rsidRPr="00F129BD">
        <w:rPr>
          <w:color w:val="000000" w:themeColor="text1"/>
        </w:rPr>
        <w:t>cale bar</w:t>
      </w:r>
      <w:r>
        <w:rPr>
          <w:color w:val="000000" w:themeColor="text1"/>
        </w:rPr>
        <w:t xml:space="preserve"> is</w:t>
      </w:r>
      <w:r w:rsidRPr="00F129BD">
        <w:rPr>
          <w:color w:val="000000" w:themeColor="text1"/>
        </w:rPr>
        <w:t xml:space="preserve"> </w:t>
      </w:r>
      <w:r>
        <w:rPr>
          <w:color w:val="000000" w:themeColor="text1"/>
        </w:rPr>
        <w:t>10</w:t>
      </w:r>
      <w:r w:rsidRPr="00392EF8">
        <w:rPr>
          <w:rFonts w:ascii="Symbol" w:hAnsi="Symbol"/>
          <w:color w:val="000000" w:themeColor="text1"/>
        </w:rPr>
        <w:t></w:t>
      </w:r>
      <w:r>
        <w:rPr>
          <w:color w:val="000000" w:themeColor="text1"/>
        </w:rPr>
        <w:t>m.</w:t>
      </w:r>
    </w:p>
    <w:p w14:paraId="5157D529" w14:textId="77777777" w:rsidR="00221E50" w:rsidRDefault="00221E50" w:rsidP="00221E50">
      <w:pPr>
        <w:rPr>
          <w:rFonts w:cstheme="minorHAnsi"/>
          <w:b/>
          <w:color w:val="000000" w:themeColor="text1"/>
        </w:rPr>
      </w:pPr>
      <w:bookmarkStart w:id="0" w:name="_GoBack"/>
      <w:bookmarkEnd w:id="0"/>
    </w:p>
    <w:p w14:paraId="31995638" w14:textId="77777777" w:rsidR="00221E50" w:rsidRDefault="00221E50" w:rsidP="00221E50">
      <w:pPr>
        <w:rPr>
          <w:rFonts w:cstheme="minorHAnsi"/>
          <w:b/>
          <w:color w:val="000000" w:themeColor="text1"/>
        </w:rPr>
      </w:pPr>
      <w:r>
        <w:rPr>
          <w:rFonts w:cstheme="minorHAnsi"/>
          <w:b/>
          <w:color w:val="000000" w:themeColor="text1"/>
        </w:rPr>
        <w:t>Supplemental f</w:t>
      </w:r>
      <w:r w:rsidRPr="00D30311">
        <w:rPr>
          <w:rFonts w:cstheme="minorHAnsi"/>
          <w:b/>
          <w:color w:val="000000" w:themeColor="text1"/>
        </w:rPr>
        <w:t xml:space="preserve">igure </w:t>
      </w:r>
      <w:r>
        <w:rPr>
          <w:rFonts w:cstheme="minorHAnsi"/>
          <w:b/>
          <w:color w:val="000000" w:themeColor="text1"/>
        </w:rPr>
        <w:t>6</w:t>
      </w:r>
      <w:r w:rsidRPr="00D30311">
        <w:rPr>
          <w:rFonts w:cstheme="minorHAnsi"/>
          <w:b/>
          <w:color w:val="000000" w:themeColor="text1"/>
        </w:rPr>
        <w:t>.</w:t>
      </w:r>
      <w:r w:rsidRPr="00D30311">
        <w:rPr>
          <w:rFonts w:cstheme="minorHAnsi"/>
          <w:bCs/>
          <w:color w:val="000000" w:themeColor="text1"/>
        </w:rPr>
        <w:t xml:space="preserve"> </w:t>
      </w:r>
      <w:r>
        <w:rPr>
          <w:rFonts w:cstheme="minorHAnsi"/>
          <w:b/>
          <w:color w:val="000000" w:themeColor="text1"/>
        </w:rPr>
        <w:t xml:space="preserve">Epithelial </w:t>
      </w:r>
      <w:r w:rsidRPr="00D30311">
        <w:rPr>
          <w:rFonts w:cstheme="minorHAnsi"/>
          <w:b/>
          <w:color w:val="000000" w:themeColor="text1"/>
        </w:rPr>
        <w:t>SERPINB5</w:t>
      </w:r>
      <w:r>
        <w:rPr>
          <w:rFonts w:cstheme="minorHAnsi"/>
          <w:b/>
          <w:color w:val="000000" w:themeColor="text1"/>
        </w:rPr>
        <w:t xml:space="preserve"> staining</w:t>
      </w:r>
      <w:r w:rsidRPr="00D30311">
        <w:rPr>
          <w:rFonts w:cstheme="minorHAnsi"/>
          <w:b/>
          <w:color w:val="000000" w:themeColor="text1"/>
        </w:rPr>
        <w:t xml:space="preserve"> is </w:t>
      </w:r>
      <w:r>
        <w:rPr>
          <w:rFonts w:cstheme="minorHAnsi"/>
          <w:b/>
          <w:color w:val="000000" w:themeColor="text1"/>
        </w:rPr>
        <w:t xml:space="preserve">not </w:t>
      </w:r>
      <w:r w:rsidRPr="00D30311">
        <w:rPr>
          <w:rFonts w:cstheme="minorHAnsi"/>
          <w:b/>
          <w:color w:val="000000" w:themeColor="text1"/>
        </w:rPr>
        <w:t xml:space="preserve">prognostic. </w:t>
      </w:r>
    </w:p>
    <w:p w14:paraId="628D7164" w14:textId="77777777" w:rsidR="00221E50" w:rsidRDefault="00221E50" w:rsidP="00221E50">
      <w:pPr>
        <w:rPr>
          <w:rFonts w:cstheme="minorHAnsi"/>
          <w:bCs/>
          <w:color w:val="000000" w:themeColor="text1"/>
        </w:rPr>
      </w:pPr>
      <w:proofErr w:type="gramStart"/>
      <w:r w:rsidRPr="00D30311">
        <w:rPr>
          <w:rFonts w:cstheme="minorHAnsi"/>
          <w:bCs/>
          <w:color w:val="000000" w:themeColor="text1"/>
        </w:rPr>
        <w:t>A,</w:t>
      </w:r>
      <w:r>
        <w:rPr>
          <w:rFonts w:cstheme="minorHAnsi"/>
          <w:bCs/>
          <w:color w:val="000000" w:themeColor="text1"/>
        </w:rPr>
        <w:t>B.</w:t>
      </w:r>
      <w:proofErr w:type="gramEnd"/>
      <w:r w:rsidRPr="00D30311">
        <w:rPr>
          <w:rFonts w:cstheme="minorHAnsi"/>
          <w:bCs/>
          <w:color w:val="000000" w:themeColor="text1"/>
        </w:rPr>
        <w:t xml:space="preserve"> representative images for </w:t>
      </w:r>
      <w:r>
        <w:rPr>
          <w:rFonts w:cstheme="minorHAnsi"/>
          <w:bCs/>
          <w:color w:val="000000" w:themeColor="text1"/>
        </w:rPr>
        <w:t xml:space="preserve">epithelial </w:t>
      </w:r>
      <w:r w:rsidRPr="00D30311">
        <w:rPr>
          <w:rFonts w:cstheme="minorHAnsi"/>
          <w:bCs/>
          <w:color w:val="000000" w:themeColor="text1"/>
        </w:rPr>
        <w:t>SERPINB5 staining scoring system</w:t>
      </w:r>
      <w:r>
        <w:rPr>
          <w:rFonts w:cstheme="minorHAnsi"/>
          <w:bCs/>
          <w:color w:val="000000" w:themeColor="text1"/>
        </w:rPr>
        <w:t xml:space="preserve"> on a human patient tissue microarray</w:t>
      </w:r>
      <w:r w:rsidRPr="00D30311">
        <w:rPr>
          <w:rFonts w:cstheme="minorHAnsi"/>
          <w:bCs/>
          <w:color w:val="000000" w:themeColor="text1"/>
        </w:rPr>
        <w:t xml:space="preserve">. </w:t>
      </w:r>
      <w:r>
        <w:rPr>
          <w:rFonts w:cstheme="minorHAnsi"/>
          <w:bCs/>
          <w:color w:val="000000" w:themeColor="text1"/>
        </w:rPr>
        <w:t>In contrast with Figure 6, which shows regions with IHC signal over extracellular stromal regions, this figure shows regions where the SERPINB5 signal remains within the epithelial cells.  A</w:t>
      </w:r>
      <w:r w:rsidRPr="00D30311">
        <w:rPr>
          <w:rFonts w:cstheme="minorHAnsi"/>
          <w:bCs/>
          <w:color w:val="000000" w:themeColor="text1"/>
        </w:rPr>
        <w:t>rrow</w:t>
      </w:r>
      <w:r>
        <w:rPr>
          <w:rFonts w:cstheme="minorHAnsi"/>
          <w:bCs/>
          <w:color w:val="000000" w:themeColor="text1"/>
        </w:rPr>
        <w:t>s indicate epithelial region and panel B illustrates the scoring system</w:t>
      </w:r>
      <w:r w:rsidRPr="00D30311">
        <w:rPr>
          <w:rFonts w:cstheme="minorHAnsi"/>
          <w:bCs/>
          <w:color w:val="000000" w:themeColor="text1"/>
        </w:rPr>
        <w:t xml:space="preserve">. </w:t>
      </w:r>
    </w:p>
    <w:p w14:paraId="6743FB5E" w14:textId="7BF0555B" w:rsidR="00221E50" w:rsidRDefault="00221E50" w:rsidP="00221E50">
      <w:pPr>
        <w:rPr>
          <w:rFonts w:cstheme="minorHAnsi"/>
          <w:bCs/>
          <w:color w:val="000000" w:themeColor="text1"/>
        </w:rPr>
      </w:pPr>
      <w:r>
        <w:rPr>
          <w:rFonts w:cstheme="minorHAnsi"/>
          <w:bCs/>
          <w:color w:val="000000" w:themeColor="text1"/>
        </w:rPr>
        <w:t>C</w:t>
      </w:r>
      <w:r w:rsidRPr="00D30311">
        <w:rPr>
          <w:rFonts w:cstheme="minorHAnsi"/>
          <w:bCs/>
          <w:color w:val="000000" w:themeColor="text1"/>
        </w:rPr>
        <w:t xml:space="preserve">, survival curves from patients categorized into two populations based on high and low </w:t>
      </w:r>
      <w:r>
        <w:rPr>
          <w:rFonts w:cstheme="minorHAnsi"/>
          <w:bCs/>
          <w:color w:val="000000" w:themeColor="text1"/>
        </w:rPr>
        <w:t>epithelial</w:t>
      </w:r>
      <w:r w:rsidRPr="00D30311">
        <w:rPr>
          <w:rFonts w:cstheme="minorHAnsi"/>
          <w:bCs/>
          <w:color w:val="000000" w:themeColor="text1"/>
        </w:rPr>
        <w:t xml:space="preserve"> </w:t>
      </w:r>
      <w:r>
        <w:rPr>
          <w:rFonts w:cstheme="minorHAnsi"/>
          <w:bCs/>
          <w:color w:val="000000" w:themeColor="text1"/>
        </w:rPr>
        <w:t xml:space="preserve">cell </w:t>
      </w:r>
      <w:r w:rsidRPr="00D30311">
        <w:rPr>
          <w:rFonts w:cstheme="minorHAnsi"/>
          <w:bCs/>
          <w:color w:val="000000" w:themeColor="text1"/>
        </w:rPr>
        <w:t xml:space="preserve">staining </w:t>
      </w:r>
      <w:r>
        <w:rPr>
          <w:rFonts w:cstheme="minorHAnsi"/>
          <w:bCs/>
          <w:color w:val="000000" w:themeColor="text1"/>
        </w:rPr>
        <w:t xml:space="preserve">for SERPINB5 </w:t>
      </w:r>
      <w:r w:rsidRPr="00D30311">
        <w:rPr>
          <w:rFonts w:cstheme="minorHAnsi"/>
          <w:bCs/>
          <w:color w:val="000000" w:themeColor="text1"/>
        </w:rPr>
        <w:t xml:space="preserve">showed that high </w:t>
      </w:r>
      <w:r>
        <w:rPr>
          <w:rFonts w:cstheme="minorHAnsi"/>
          <w:bCs/>
          <w:color w:val="000000" w:themeColor="text1"/>
        </w:rPr>
        <w:t xml:space="preserve">and low epithelial signal did not have significantly different prognostic value. </w:t>
      </w:r>
      <w:r w:rsidRPr="00D30311">
        <w:rPr>
          <w:rFonts w:cstheme="minorHAnsi"/>
          <w:bCs/>
          <w:color w:val="000000" w:themeColor="text1"/>
        </w:rPr>
        <w:t>Scale bars are 50</w:t>
      </w:r>
      <w:r w:rsidRPr="00D30311">
        <w:rPr>
          <w:rFonts w:ascii="Symbol" w:hAnsi="Symbol" w:cstheme="minorHAnsi"/>
          <w:bCs/>
          <w:color w:val="000000" w:themeColor="text1"/>
        </w:rPr>
        <w:t></w:t>
      </w:r>
      <w:r w:rsidRPr="00D30311">
        <w:rPr>
          <w:rFonts w:cstheme="minorHAnsi"/>
          <w:bCs/>
          <w:color w:val="000000" w:themeColor="text1"/>
        </w:rPr>
        <w:t>m.</w:t>
      </w:r>
    </w:p>
    <w:p w14:paraId="135B19A4" w14:textId="1D725BFD" w:rsidR="00B977E8" w:rsidRDefault="00B977E8" w:rsidP="00B977E8">
      <w:pPr>
        <w:rPr>
          <w:color w:val="000000" w:themeColor="text1"/>
        </w:rPr>
      </w:pPr>
      <w:r>
        <w:rPr>
          <w:color w:val="000000" w:themeColor="text1"/>
        </w:rPr>
        <w:t>D</w:t>
      </w:r>
      <w:r>
        <w:rPr>
          <w:color w:val="000000" w:themeColor="text1"/>
        </w:rPr>
        <w:t xml:space="preserve">, immunoblotting on conditioned media from BxPC3 G1.1 </w:t>
      </w:r>
      <w:proofErr w:type="gramStart"/>
      <w:r>
        <w:rPr>
          <w:color w:val="000000" w:themeColor="text1"/>
        </w:rPr>
        <w:t>cells</w:t>
      </w:r>
      <w:proofErr w:type="gramEnd"/>
      <w:r>
        <w:rPr>
          <w:color w:val="000000" w:themeColor="text1"/>
        </w:rPr>
        <w:t xml:space="preserve"> that do and do not overexpress SERPINB5 or CSTB (see Materials and Methods). Same volume fraction of conditioned media was loaded for each cell line. Comparable levels of GAPDH indicated similar numbers of cells in culture. BxPC3 G1.1 </w:t>
      </w:r>
      <w:proofErr w:type="gramStart"/>
      <w:r>
        <w:rPr>
          <w:color w:val="000000" w:themeColor="text1"/>
        </w:rPr>
        <w:t>cells</w:t>
      </w:r>
      <w:proofErr w:type="gramEnd"/>
      <w:r>
        <w:rPr>
          <w:color w:val="000000" w:themeColor="text1"/>
        </w:rPr>
        <w:t xml:space="preserve"> overexpressed SERPINB5 and CSTB about 20-fold. </w:t>
      </w:r>
    </w:p>
    <w:p w14:paraId="4E079139" w14:textId="77777777" w:rsidR="00B977E8" w:rsidRDefault="00B977E8" w:rsidP="00221E50">
      <w:pPr>
        <w:rPr>
          <w:rFonts w:cstheme="minorHAnsi"/>
          <w:bCs/>
          <w:color w:val="000000" w:themeColor="text1"/>
        </w:rPr>
      </w:pPr>
    </w:p>
    <w:p w14:paraId="7255067F" w14:textId="77777777" w:rsidR="0099211B" w:rsidRDefault="0099211B"/>
    <w:sectPr w:rsidR="0099211B" w:rsidSect="0016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1B"/>
    <w:rsid w:val="00013D32"/>
    <w:rsid w:val="00040B54"/>
    <w:rsid w:val="00083E09"/>
    <w:rsid w:val="00160323"/>
    <w:rsid w:val="00221E50"/>
    <w:rsid w:val="002269A5"/>
    <w:rsid w:val="002347FF"/>
    <w:rsid w:val="003F5106"/>
    <w:rsid w:val="00573572"/>
    <w:rsid w:val="00615619"/>
    <w:rsid w:val="006379E7"/>
    <w:rsid w:val="00704733"/>
    <w:rsid w:val="00767F48"/>
    <w:rsid w:val="007B3C79"/>
    <w:rsid w:val="007F1C70"/>
    <w:rsid w:val="007F3CB6"/>
    <w:rsid w:val="00861E7E"/>
    <w:rsid w:val="0090052A"/>
    <w:rsid w:val="00911FFB"/>
    <w:rsid w:val="0099211B"/>
    <w:rsid w:val="009F31F1"/>
    <w:rsid w:val="00A75607"/>
    <w:rsid w:val="00AB6173"/>
    <w:rsid w:val="00B977E8"/>
    <w:rsid w:val="00D83291"/>
    <w:rsid w:val="00D92876"/>
    <w:rsid w:val="00E53084"/>
    <w:rsid w:val="00E91A32"/>
    <w:rsid w:val="00F62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274B8E"/>
  <w15:chartTrackingRefBased/>
  <w15:docId w15:val="{13E2579D-3478-0E4B-9554-1383D5A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11B"/>
    <w:rPr>
      <w:color w:val="0000FF"/>
      <w:u w:val="single"/>
    </w:rPr>
  </w:style>
  <w:style w:type="paragraph" w:styleId="BalloonText">
    <w:name w:val="Balloon Text"/>
    <w:basedOn w:val="Normal"/>
    <w:link w:val="BalloonTextChar"/>
    <w:uiPriority w:val="99"/>
    <w:semiHidden/>
    <w:unhideWhenUsed/>
    <w:rsid w:val="00D928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8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s.broadinstitute.org/c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Chenxi Tian</dc:creator>
  <cp:keywords/>
  <dc:description/>
  <cp:lastModifiedBy>Chenxi Tian</cp:lastModifiedBy>
  <cp:revision>7</cp:revision>
  <dcterms:created xsi:type="dcterms:W3CDTF">2020-01-17T09:38:00Z</dcterms:created>
  <dcterms:modified xsi:type="dcterms:W3CDTF">2020-01-30T06:29:00Z</dcterms:modified>
</cp:coreProperties>
</file>