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A03" w:rsidRPr="00B14DEB" w:rsidRDefault="009B5A03" w:rsidP="009B5A03">
      <w:pPr>
        <w:pStyle w:val="1"/>
        <w:rPr>
          <w:sz w:val="28"/>
        </w:rPr>
      </w:pPr>
      <w:r w:rsidRPr="00B14DEB">
        <w:rPr>
          <w:rFonts w:eastAsia="SimSun"/>
          <w:sz w:val="28"/>
        </w:rPr>
        <w:t xml:space="preserve">SUPPLEMENTARY </w:t>
      </w:r>
      <w:r w:rsidRPr="00B14DEB">
        <w:rPr>
          <w:sz w:val="28"/>
        </w:rPr>
        <w:t>MATERIALS AND METHODS</w:t>
      </w:r>
    </w:p>
    <w:p w:rsidR="009B5A03" w:rsidRPr="00B14DEB" w:rsidRDefault="009B5A03" w:rsidP="009B5A03">
      <w:pPr>
        <w:widowControl w:val="0"/>
        <w:spacing w:beforeLines="50" w:before="120" w:afterLines="50" w:after="120" w:line="480" w:lineRule="auto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B14DEB">
        <w:rPr>
          <w:rFonts w:ascii="Times New Roman" w:hAnsi="Times New Roman" w:cs="Times New Roman"/>
          <w:b/>
          <w:kern w:val="2"/>
          <w:sz w:val="24"/>
          <w:szCs w:val="24"/>
        </w:rPr>
        <w:t>Spheroid assay</w:t>
      </w:r>
    </w:p>
    <w:p w:rsidR="009B5A03" w:rsidRPr="00B14DEB" w:rsidRDefault="009B5A03" w:rsidP="009B5A03">
      <w:pPr>
        <w:widowControl w:val="0"/>
        <w:spacing w:beforeLines="50" w:before="120" w:afterLines="50" w:after="120" w:line="480" w:lineRule="auto"/>
        <w:ind w:firstLineChars="200" w:firstLine="48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Cells were seeded, maintained and cultured as described previously 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fldChar w:fldCharType="begin">
          <w:fldData xml:space="preserve">PEVuZE5vdGU+PENpdGU+PEF1dGhvcj5MaW48L0F1dGhvcj48WWVhcj4yMDEyPC9ZZWFyPjxSZWNO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</w:fldData>
        </w:fldChar>
      </w:r>
      <w:r w:rsidR="00A628AB" w:rsidRPr="00B14DEB">
        <w:rPr>
          <w:rFonts w:ascii="Times New Roman" w:hAnsi="Times New Roman" w:cs="Times New Roman"/>
          <w:kern w:val="2"/>
          <w:sz w:val="24"/>
          <w:szCs w:val="24"/>
        </w:rPr>
        <w:instrText xml:space="preserve"> ADDIN EN.CITE </w:instrText>
      </w:r>
      <w:r w:rsidR="00A628AB" w:rsidRPr="00B14DEB">
        <w:rPr>
          <w:rFonts w:ascii="Times New Roman" w:hAnsi="Times New Roman" w:cs="Times New Roman"/>
          <w:kern w:val="2"/>
          <w:sz w:val="24"/>
          <w:szCs w:val="24"/>
        </w:rPr>
        <w:fldChar w:fldCharType="begin">
          <w:fldData xml:space="preserve">PEVuZE5vdGU+PENpdGU+PEF1dGhvcj5MaW48L0F1dGhvcj48WWVhcj4yMDEyPC9ZZWFyPjxSZWNO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</w:fldData>
        </w:fldChar>
      </w:r>
      <w:r w:rsidR="00A628AB" w:rsidRPr="00B14DEB">
        <w:rPr>
          <w:rFonts w:ascii="Times New Roman" w:hAnsi="Times New Roman" w:cs="Times New Roman"/>
          <w:kern w:val="2"/>
          <w:sz w:val="24"/>
          <w:szCs w:val="24"/>
        </w:rPr>
        <w:instrText xml:space="preserve"> ADDIN EN.CITE.DATA </w:instrText>
      </w:r>
      <w:r w:rsidR="00A628AB" w:rsidRPr="00B14DEB">
        <w:rPr>
          <w:rFonts w:ascii="Times New Roman" w:hAnsi="Times New Roman" w:cs="Times New Roman"/>
          <w:kern w:val="2"/>
          <w:sz w:val="24"/>
          <w:szCs w:val="24"/>
        </w:rPr>
      </w:r>
      <w:r w:rsidR="00A628AB" w:rsidRPr="00B14DEB">
        <w:rPr>
          <w:rFonts w:ascii="Times New Roman" w:hAnsi="Times New Roman" w:cs="Times New Roman"/>
          <w:kern w:val="2"/>
          <w:sz w:val="24"/>
          <w:szCs w:val="24"/>
        </w:rPr>
        <w:fldChar w:fldCharType="end"/>
      </w:r>
      <w:r w:rsidRPr="00B14DEB">
        <w:rPr>
          <w:rFonts w:ascii="Times New Roman" w:hAnsi="Times New Roman" w:cs="Times New Roman"/>
          <w:kern w:val="2"/>
          <w:sz w:val="24"/>
          <w:szCs w:val="24"/>
        </w:rPr>
      </w:r>
      <w:r w:rsidRPr="00B14DEB">
        <w:rPr>
          <w:rFonts w:ascii="Times New Roman" w:hAnsi="Times New Roman" w:cs="Times New Roman"/>
          <w:kern w:val="2"/>
          <w:sz w:val="24"/>
          <w:szCs w:val="24"/>
        </w:rPr>
        <w:fldChar w:fldCharType="separate"/>
      </w:r>
      <w:r w:rsidR="00A628AB" w:rsidRPr="00B14DEB">
        <w:rPr>
          <w:rFonts w:ascii="Times New Roman" w:hAnsi="Times New Roman" w:cs="Times New Roman"/>
          <w:noProof/>
          <w:kern w:val="2"/>
          <w:sz w:val="24"/>
          <w:szCs w:val="24"/>
        </w:rPr>
        <w:t>(</w:t>
      </w:r>
      <w:hyperlink w:anchor="_ENREF_1" w:tooltip="Lin, 2012 #8" w:history="1">
        <w:r w:rsidR="00A628AB" w:rsidRPr="00B14DEB">
          <w:rPr>
            <w:rFonts w:ascii="Times New Roman" w:hAnsi="Times New Roman" w:cs="Times New Roman"/>
            <w:noProof/>
            <w:kern w:val="2"/>
            <w:sz w:val="24"/>
            <w:szCs w:val="24"/>
          </w:rPr>
          <w:t>1</w:t>
        </w:r>
      </w:hyperlink>
      <w:r w:rsidR="00A628AB" w:rsidRPr="00B14DEB">
        <w:rPr>
          <w:rFonts w:ascii="Times New Roman" w:hAnsi="Times New Roman" w:cs="Times New Roman"/>
          <w:noProof/>
          <w:kern w:val="2"/>
          <w:sz w:val="24"/>
          <w:szCs w:val="24"/>
        </w:rPr>
        <w:t>)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fldChar w:fldCharType="end"/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. HCT116 and SW620 cells were cultured and treated with 20 µg/ml control IgG or EpAb2-6. Final data are presented as fold increase in colony number compared to IgG controls. Data are expressed as mean </w:t>
      </w:r>
      <w:r w:rsidRPr="00B14DEB">
        <w:rPr>
          <w:rFonts w:ascii="Times New Roman" w:eastAsia="新細明體" w:hAnsi="Times New Roman" w:cs="Times New Roman"/>
          <w:kern w:val="2"/>
          <w:sz w:val="24"/>
          <w:szCs w:val="24"/>
        </w:rPr>
        <w:t>±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standard deviation (SD) from three independent experiments.</w:t>
      </w:r>
    </w:p>
    <w:p w:rsidR="009B5A03" w:rsidRPr="00B14DEB" w:rsidRDefault="009B5A03" w:rsidP="009B5A03">
      <w:pPr>
        <w:widowControl w:val="0"/>
        <w:spacing w:beforeLines="50" w:before="120" w:afterLines="50" w:after="120" w:line="480" w:lineRule="auto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B14DEB">
        <w:rPr>
          <w:rFonts w:ascii="Times New Roman" w:hAnsi="Times New Roman" w:cs="Times New Roman"/>
          <w:b/>
          <w:kern w:val="2"/>
          <w:sz w:val="24"/>
          <w:szCs w:val="24"/>
        </w:rPr>
        <w:t>Soft agar assay</w:t>
      </w:r>
    </w:p>
    <w:p w:rsidR="009B5A03" w:rsidRPr="00B14DEB" w:rsidRDefault="009B5A03" w:rsidP="009B5A03">
      <w:pPr>
        <w:widowControl w:val="0"/>
        <w:spacing w:beforeLines="50" w:before="120" w:afterLines="50" w:after="120" w:line="480" w:lineRule="auto"/>
        <w:jc w:val="both"/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</w:pP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   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>A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0.8% base agar layer was prepared and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 sterilized, followed by storage at room temperature in conical flasks. The agar was </w:t>
      </w:r>
      <w:r w:rsidRPr="00B14DEB">
        <w:rPr>
          <w:rFonts w:ascii="Times New Roman" w:hAnsi="Times New Roman" w:cs="Times New Roman"/>
          <w:noProof/>
          <w:kern w:val="2"/>
          <w:sz w:val="24"/>
          <w:szCs w:val="24"/>
          <w:shd w:val="clear" w:color="auto" w:fill="FFFFFF"/>
        </w:rPr>
        <w:t>melted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 and kept in a water bath at 50°C. To make the bottom layer, one part of the melted 0.8% agar (500 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sym w:font="Symbol" w:char="F06D"/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l) was mixed with 500 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sym w:font="Symbol" w:char="F06D"/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l 2× DMEM serum free medium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,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 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>and t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he mixture (0.4% agar) was then added to wells at 100 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sym w:font="Symbol" w:char="F06D"/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l/well and allowed to solidify at 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room temperature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. To prepare the top layer (0.3% soft </w:t>
      </w:r>
      <w:r w:rsidRPr="00B14DEB">
        <w:rPr>
          <w:rFonts w:ascii="Times New Roman" w:hAnsi="Times New Roman" w:cs="Times New Roman"/>
          <w:noProof/>
          <w:kern w:val="2"/>
          <w:sz w:val="24"/>
          <w:szCs w:val="24"/>
          <w:shd w:val="clear" w:color="auto" w:fill="FFFFFF"/>
        </w:rPr>
        <w:t>agar),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 500 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sym w:font="Symbol" w:char="F06D"/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l of 0.6% agar was mixed with 500 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sym w:font="Symbol" w:char="F06D"/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 xml:space="preserve">l 2× DMEM containing cells (500 cells/well). This mixture was then added to the bottom layer (100 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sym w:font="Symbol" w:char="F06D"/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t>l/well) and allowed to solidify at RT before culturing as described. HCT116 and SW620 cells were cultured and treated with 20 µg/ml control IgG or EpAb2-6. Colonies were photographed after three weeks of growth.</w:t>
      </w:r>
    </w:p>
    <w:p w:rsidR="009B5A03" w:rsidRPr="00B14DEB" w:rsidRDefault="009B5A03" w:rsidP="009B5A03">
      <w:pPr>
        <w:widowControl w:val="0"/>
        <w:spacing w:beforeLines="50" w:before="120" w:afterLines="50" w:after="120" w:line="480" w:lineRule="auto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B14DEB">
        <w:rPr>
          <w:rFonts w:ascii="Times New Roman" w:hAnsi="Times New Roman" w:cs="Times New Roman"/>
          <w:b/>
          <w:kern w:val="2"/>
          <w:sz w:val="24"/>
          <w:szCs w:val="24"/>
        </w:rPr>
        <w:t>TACE activity assay</w:t>
      </w:r>
    </w:p>
    <w:p w:rsidR="009B5A03" w:rsidRPr="00B14DEB" w:rsidRDefault="009B5A03" w:rsidP="009B5A03">
      <w:pPr>
        <w:widowControl w:val="0"/>
        <w:spacing w:beforeLines="50" w:before="120" w:afterLines="50" w:after="120" w:line="480" w:lineRule="auto"/>
        <w:ind w:firstLineChars="200" w:firstLine="48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The enzyme activity of ADAM17 was quantified by fluorometric analysis using the InnoZyme™ TACE Activity Kit (Calbiochem #CBA042). To assess activity, 500 </w:t>
      </w:r>
      <w:r w:rsidRPr="00B14DEB">
        <w:rPr>
          <w:rFonts w:ascii="Times New Roman" w:hAnsi="Times New Roman" w:cs="Times New Roman"/>
          <w:kern w:val="2"/>
          <w:sz w:val="24"/>
          <w:szCs w:val="24"/>
          <w:shd w:val="clear" w:color="auto" w:fill="FFFFFF"/>
        </w:rPr>
        <w:sym w:font="Symbol" w:char="F06D"/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g of a </w:t>
      </w:r>
      <w:r w:rsidRPr="00B14DEB">
        <w:rPr>
          <w:rFonts w:ascii="Times New Roman" w:hAnsi="Times New Roman" w:cs="Times New Roman"/>
          <w:noProof/>
          <w:kern w:val="2"/>
          <w:sz w:val="24"/>
          <w:szCs w:val="24"/>
        </w:rPr>
        <w:t>total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lysate of HCT116 cells were incubated with anti-ADAM17 antibody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>-coated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well before following the activity kit protocol.</w:t>
      </w:r>
    </w:p>
    <w:p w:rsidR="009B5A03" w:rsidRPr="00B14DEB" w:rsidRDefault="009B5A03" w:rsidP="009B5A03">
      <w:pPr>
        <w:widowControl w:val="0"/>
        <w:spacing w:beforeLines="50" w:before="120" w:afterLines="50" w:after="120" w:line="480" w:lineRule="auto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/>
          <w:kern w:val="2"/>
          <w:sz w:val="24"/>
          <w:szCs w:val="24"/>
        </w:rPr>
        <w:lastRenderedPageBreak/>
        <w:t>γ</w:t>
      </w:r>
      <w:r w:rsidRPr="00B14DEB">
        <w:rPr>
          <w:rFonts w:ascii="Times New Roman" w:hAnsi="Times New Roman" w:cs="Times New Roman"/>
          <w:b/>
          <w:kern w:val="2"/>
          <w:sz w:val="24"/>
          <w:szCs w:val="24"/>
        </w:rPr>
        <w:t>-secretase activity assay</w:t>
      </w:r>
    </w:p>
    <w:p w:rsidR="00A628AB" w:rsidRPr="00B14DEB" w:rsidRDefault="009B5A03" w:rsidP="009B5A03">
      <w:pPr>
        <w:widowControl w:val="0"/>
        <w:spacing w:beforeLines="50" w:before="120" w:afterLines="50" w:after="120" w:line="480" w:lineRule="auto"/>
        <w:ind w:firstLineChars="200" w:firstLine="480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The enzyme activity of γ-secretase was quantified by </w:t>
      </w:r>
      <w:r w:rsidRPr="00B14DEB">
        <w:rPr>
          <w:rFonts w:ascii="Times New Roman" w:hAnsi="Times New Roman" w:cs="Times New Roman"/>
          <w:noProof/>
          <w:kern w:val="2"/>
          <w:sz w:val="24"/>
          <w:szCs w:val="24"/>
        </w:rPr>
        <w:t>fluorometric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analysis using the 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 xml:space="preserve">fluorogenic 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>γ-secretase substrate (Calbiochem #565764). The cell lysate was extracted with 0.5% CHAPSO to avoid breaking the structure of γ-secretase subunits. Each well contained 1 mg total lysate from HCT116 cells and 32.5 mM substrate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>;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the reaction was carried out at 37°C in Corning® 96 well plates (black flat bottom). 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>Fluorescence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was determined with a microplate reader (Molecular Devices, SpectraMax M5) at an excitation wavelength 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 xml:space="preserve">of 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>355 nm and an emission wavelength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 xml:space="preserve"> of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440 nm under kinetic mode for 3 h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>,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with</w:t>
      </w:r>
      <w:r w:rsidR="00DD2E3B" w:rsidRPr="00B14DEB">
        <w:rPr>
          <w:rFonts w:ascii="Times New Roman" w:hAnsi="Times New Roman" w:cs="Times New Roman"/>
          <w:kern w:val="2"/>
          <w:sz w:val="24"/>
          <w:szCs w:val="24"/>
        </w:rPr>
        <w:t xml:space="preserve"> a</w:t>
      </w:r>
      <w:r w:rsidRPr="00B14DEB">
        <w:rPr>
          <w:rFonts w:ascii="Times New Roman" w:hAnsi="Times New Roman" w:cs="Times New Roman"/>
          <w:kern w:val="2"/>
          <w:sz w:val="24"/>
          <w:szCs w:val="24"/>
        </w:rPr>
        <w:t xml:space="preserve"> 3 min interval time.</w:t>
      </w:r>
    </w:p>
    <w:p w:rsidR="00A628AB" w:rsidRPr="00B14DEB" w:rsidRDefault="00A628AB" w:rsidP="00A628AB">
      <w:r w:rsidRPr="00B14DEB">
        <w:br w:type="page"/>
      </w:r>
    </w:p>
    <w:p w:rsidR="00A628AB" w:rsidRPr="00B14DEB" w:rsidRDefault="00A628AB" w:rsidP="00A628AB">
      <w:pPr>
        <w:spacing w:after="0" w:line="480" w:lineRule="auto"/>
        <w:rPr>
          <w:rFonts w:ascii="Times New Roman" w:eastAsia="新細明體" w:hAnsi="Times New Roman" w:cs="Times New Roman"/>
          <w:b/>
          <w:sz w:val="28"/>
          <w:szCs w:val="24"/>
        </w:rPr>
      </w:pPr>
      <w:r w:rsidRPr="00B14DEB">
        <w:rPr>
          <w:rFonts w:ascii="Times New Roman" w:eastAsia="新細明體" w:hAnsi="Times New Roman" w:cs="Times New Roman"/>
          <w:b/>
          <w:sz w:val="28"/>
          <w:szCs w:val="24"/>
        </w:rPr>
        <w:lastRenderedPageBreak/>
        <w:t>Reference</w:t>
      </w:r>
    </w:p>
    <w:p w:rsidR="00A628AB" w:rsidRPr="00B14DEB" w:rsidRDefault="00A628AB" w:rsidP="00A628AB">
      <w:pPr>
        <w:spacing w:line="480" w:lineRule="auto"/>
        <w:ind w:left="720" w:hanging="720"/>
        <w:jc w:val="both"/>
        <w:rPr>
          <w:rFonts w:ascii="Calibri" w:hAnsi="Calibri"/>
          <w:noProof/>
        </w:rPr>
      </w:pPr>
      <w:bookmarkStart w:id="0" w:name="_ENREF_1"/>
      <w:r w:rsidRPr="00B14DEB">
        <w:rPr>
          <w:rFonts w:ascii="Calibri" w:hAnsi="Calibri"/>
          <w:noProof/>
        </w:rPr>
        <w:t>1.</w:t>
      </w:r>
      <w:r w:rsidRPr="00B14DEB">
        <w:rPr>
          <w:rFonts w:ascii="Calibri" w:hAnsi="Calibri"/>
          <w:noProof/>
        </w:rPr>
        <w:tab/>
      </w:r>
      <w:r w:rsidRPr="00B14DEB">
        <w:rPr>
          <w:rFonts w:ascii="Times New Roman" w:hAnsi="Times New Roman" w:cs="Times New Roman"/>
          <w:noProof/>
          <w:sz w:val="24"/>
        </w:rPr>
        <w:t xml:space="preserve">Lin CW, Liao MY, Lin WW, Wang YP, Lu TY, Wu HC. Epithelial cell adhesion molecule regulates tumor initiation and tumorigenesis via activating reprogramming factors and epithelial-mesenchymal transition gene expression in colon cancer. The Journal of biological chemistry </w:t>
      </w:r>
      <w:r w:rsidRPr="00B14DEB">
        <w:rPr>
          <w:rFonts w:ascii="Times New Roman" w:hAnsi="Times New Roman" w:cs="Times New Roman"/>
          <w:b/>
          <w:noProof/>
          <w:sz w:val="24"/>
        </w:rPr>
        <w:t>2012</w:t>
      </w:r>
      <w:r w:rsidRPr="00B14DEB">
        <w:rPr>
          <w:rFonts w:ascii="Times New Roman" w:hAnsi="Times New Roman" w:cs="Times New Roman"/>
          <w:noProof/>
          <w:sz w:val="24"/>
        </w:rPr>
        <w:t>;287:39449-59</w:t>
      </w:r>
      <w:bookmarkEnd w:id="0"/>
    </w:p>
    <w:p w:rsidR="00A628AB" w:rsidRPr="00B14DEB" w:rsidRDefault="00A628AB" w:rsidP="00A628AB">
      <w:pPr>
        <w:spacing w:after="0" w:line="480" w:lineRule="auto"/>
        <w:rPr>
          <w:rFonts w:ascii="Times New Roman" w:eastAsia="新細明體" w:hAnsi="Times New Roman" w:cs="Times New Roman"/>
          <w:b/>
          <w:sz w:val="28"/>
          <w:szCs w:val="24"/>
        </w:rPr>
      </w:pPr>
    </w:p>
    <w:p w:rsidR="00A628AB" w:rsidRPr="00B14DEB" w:rsidRDefault="00A628AB" w:rsidP="00A628AB">
      <w:pPr>
        <w:widowControl w:val="0"/>
        <w:spacing w:beforeLines="50" w:before="120" w:afterLines="50" w:after="120" w:line="480" w:lineRule="auto"/>
        <w:jc w:val="both"/>
        <w:rPr>
          <w:rFonts w:ascii="Times New Roman" w:hAnsi="Times New Roman" w:cs="Times New Roman"/>
          <w:kern w:val="2"/>
          <w:sz w:val="24"/>
          <w:szCs w:val="24"/>
        </w:rPr>
      </w:pPr>
    </w:p>
    <w:p w:rsidR="00FB7B81" w:rsidRPr="00B14DEB" w:rsidRDefault="00FB7B81" w:rsidP="00FB7B81">
      <w:pPr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/>
          <w:sz w:val="24"/>
        </w:rPr>
        <w:br w:type="page"/>
      </w:r>
      <w:r w:rsidRPr="00B14DEB">
        <w:rPr>
          <w:rFonts w:ascii="Times New Roman" w:eastAsia="新細明體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57424D" wp14:editId="699770EB">
            <wp:extent cx="5486400" cy="3543300"/>
            <wp:effectExtent l="0" t="0" r="0" b="0"/>
            <wp:docPr id="5" name="圖片 5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S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81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/>
          <w:bCs/>
          <w:sz w:val="24"/>
          <w:szCs w:val="24"/>
        </w:rPr>
        <w:t xml:space="preserve">Figure S1. EGFR-AKT signaling pathway decreases nuclear localization of FOXO3a </w:t>
      </w:r>
    </w:p>
    <w:p w:rsidR="00FB7B81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Cs/>
          <w:sz w:val="24"/>
          <w:szCs w:val="24"/>
        </w:rPr>
        <w:t>(A, B)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HCT116 cells were serum starved then </w:t>
      </w:r>
      <w:r w:rsidRPr="00B14DEB">
        <w:rPr>
          <w:rFonts w:ascii="Times New Roman" w:eastAsia="新細明體" w:hAnsi="Times New Roman" w:cs="Times New Roman"/>
          <w:bCs/>
          <w:sz w:val="24"/>
          <w:szCs w:val="24"/>
        </w:rPr>
        <w:t xml:space="preserve">pre-treated with or without 10 μM MG132 for 1 h 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before being treated with EGF (100 ng/ml) and extracted at the indicated times. Nuclear and cytoplasmic fractions were analyzed by immunoblotting with the indicated antibodies. (C) HCT116 cells were treated with EGF for 2 h, and the subcellular localization of FOXO3a was assessed by immunofluorescence staining. </w:t>
      </w:r>
    </w:p>
    <w:p w:rsidR="00FB7B81" w:rsidRPr="00B14DEB" w:rsidRDefault="00FB7B81" w:rsidP="00FB7B81">
      <w:pPr>
        <w:spacing w:after="0" w:line="480" w:lineRule="auto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>.</w:t>
      </w:r>
    </w:p>
    <w:p w:rsidR="00FB7B81" w:rsidRPr="00B14DEB" w:rsidRDefault="00FB7B81" w:rsidP="00FB7B81">
      <w:pPr>
        <w:spacing w:after="0" w:line="480" w:lineRule="auto"/>
        <w:rPr>
          <w:rFonts w:ascii="Times New Roman" w:eastAsia="新細明體" w:hAnsi="Times New Roman" w:cs="Times New Roman"/>
          <w:sz w:val="24"/>
          <w:szCs w:val="24"/>
        </w:rPr>
      </w:pPr>
    </w:p>
    <w:p w:rsidR="00FB7B81" w:rsidRPr="00B14DEB" w:rsidRDefault="00FB7B81" w:rsidP="00FB7B81">
      <w:pPr>
        <w:spacing w:after="0" w:line="480" w:lineRule="auto"/>
        <w:jc w:val="center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486400" cy="5000625"/>
            <wp:effectExtent l="0" t="0" r="0" b="9525"/>
            <wp:docPr id="4" name="圖片 4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S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81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/>
          <w:bCs/>
          <w:sz w:val="24"/>
          <w:szCs w:val="24"/>
        </w:rPr>
        <w:t>Figure S2. EpAb2-6 decreases EpICD shedding and β-catenin nuclear translocation</w:t>
      </w:r>
    </w:p>
    <w:p w:rsidR="00FB7B81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>HCT116 cells were treated with either control IgG (20 µg/ml) or EpAb2-6 (20 µg/ml) for 24 h. Cell proteins were subsequently examined using (A) γ-secretase and (B) TACE activity assay kits. (C) HCT116 cells were treated with EpAb2-6 (0-20 µg/ml) for 24 h, and the culture supernatants were immunoblotted with anti-EpEX antibody. (D) HCT116 cells were treated with EpAb2-6 (20 µg/ml) for 6 h, and the subcellular localization of active β-catenin was assessed by immunofluorescence staining. (E) Real-time qPCR analysis mRNA levels of reprogramming and EMT genes in EpAb2-6 treated HCT116 cells. (F) The effect of EpAb2-6 on colon cancer cells was examined by the anchorage-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lastRenderedPageBreak/>
        <w:t>independence assay. Results from one representative field in each group are shown. Quantification of results of colony formation data is presented. (G) The effect of EpAb2-6 on colon cancer cells was examined by spheroid formation. Spheroid formation from colon cancer cells was counted in triplicate. Representative images of tumorspheres after treatment with IgG or EpAb2-6 are shown. Bar, 5 mm. N = 3 independent experiments. Error bars indicate ± SD. *</w:t>
      </w:r>
      <w:r w:rsidRPr="00B14DEB">
        <w:rPr>
          <w:rFonts w:ascii="Times New Roman" w:eastAsia="新細明體" w:hAnsi="Times New Roman" w:cs="Times New Roman"/>
          <w:i/>
          <w:iCs/>
          <w:sz w:val="24"/>
          <w:szCs w:val="24"/>
        </w:rPr>
        <w:t>p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&lt; 0.05, **</w:t>
      </w:r>
      <w:r w:rsidRPr="00B14DEB">
        <w:rPr>
          <w:rFonts w:ascii="Times New Roman" w:eastAsia="新細明體" w:hAnsi="Times New Roman" w:cs="Times New Roman"/>
          <w:i/>
          <w:iCs/>
          <w:sz w:val="24"/>
          <w:szCs w:val="24"/>
        </w:rPr>
        <w:t>p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&lt; 0.01.</w:t>
      </w:r>
    </w:p>
    <w:p w:rsidR="00FB7B81" w:rsidRPr="00B14DEB" w:rsidRDefault="00FB7B81" w:rsidP="00FB7B81">
      <w:pPr>
        <w:spacing w:after="0" w:line="480" w:lineRule="auto"/>
        <w:jc w:val="center"/>
        <w:rPr>
          <w:rFonts w:ascii="Times New Roman" w:eastAsia="新細明體" w:hAnsi="Times New Roman" w:cs="Times New Roman"/>
          <w:b/>
          <w:bCs/>
          <w:sz w:val="24"/>
          <w:szCs w:val="24"/>
        </w:rPr>
      </w:pPr>
    </w:p>
    <w:p w:rsidR="00FB7B81" w:rsidRPr="00B14DEB" w:rsidRDefault="00FB7B81" w:rsidP="00FB7B81">
      <w:pPr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</w:p>
    <w:p w:rsidR="00FB7B81" w:rsidRPr="00B14DEB" w:rsidRDefault="00FB7B81" w:rsidP="00FB7B81">
      <w:pPr>
        <w:spacing w:after="0" w:line="480" w:lineRule="auto"/>
        <w:jc w:val="center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53025" cy="8096250"/>
            <wp:effectExtent l="0" t="0" r="9525" b="0"/>
            <wp:docPr id="3" name="圖片 3" descr="投影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投影片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2" b="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81" w:rsidRPr="00B14DEB" w:rsidRDefault="00FB7B81" w:rsidP="00FB7B81">
      <w:pPr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/>
          <w:bCs/>
          <w:sz w:val="24"/>
          <w:szCs w:val="24"/>
        </w:rPr>
        <w:lastRenderedPageBreak/>
        <w:t>Figure S3. EGFR, AKT or FOXO3a knockdown and EpCAM knockout decrease EpAb2-6-induced apoptosis</w:t>
      </w:r>
    </w:p>
    <w:p w:rsidR="00FB7B81" w:rsidRPr="00B14DEB" w:rsidRDefault="00FB7B81" w:rsidP="00FB7B81">
      <w:pPr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(A) EpCAM-knockout (KO), (B) EGFR-, (C) AKT-, (D) FOXO3a-knockdown HCT116 cells were treated with EpAb2-6, and the apoptotic cells were quantified by fluorescein</w:t>
      </w:r>
      <w:r w:rsidR="004F500A" w:rsidRPr="00B14DEB">
        <w:rPr>
          <w:rFonts w:ascii="Times New Roman" w:eastAsia="新細明體" w:hAnsi="Times New Roman" w:cs="Times New Roman"/>
          <w:sz w:val="24"/>
          <w:szCs w:val="24"/>
        </w:rPr>
        <w:t>-conjugated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annexin V-FITC/PI double labeling. N = 3 independent experiments. Bar graphs show mean ± SEM. *</w:t>
      </w:r>
      <w:r w:rsidRPr="00B14DEB">
        <w:rPr>
          <w:rFonts w:ascii="Times New Roman" w:eastAsia="新細明體" w:hAnsi="Times New Roman" w:cs="Times New Roman"/>
          <w:i/>
          <w:sz w:val="24"/>
          <w:szCs w:val="24"/>
        </w:rPr>
        <w:t>p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&lt; 0.05, **</w:t>
      </w:r>
      <w:r w:rsidRPr="00B14DEB">
        <w:rPr>
          <w:rFonts w:ascii="Times New Roman" w:eastAsia="新細明體" w:hAnsi="Times New Roman" w:cs="Times New Roman"/>
          <w:i/>
          <w:sz w:val="24"/>
          <w:szCs w:val="24"/>
        </w:rPr>
        <w:t>p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&lt; 0.01.</w:t>
      </w:r>
    </w:p>
    <w:p w:rsidR="00FB7B81" w:rsidRPr="00B14DEB" w:rsidRDefault="00FB7B81" w:rsidP="00FB7B81">
      <w:pPr>
        <w:spacing w:after="0" w:line="480" w:lineRule="auto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br w:type="page"/>
      </w:r>
    </w:p>
    <w:p w:rsidR="00FB7B81" w:rsidRPr="00B14DEB" w:rsidRDefault="006147F8" w:rsidP="00FB7B81">
      <w:pPr>
        <w:widowControl w:val="0"/>
        <w:spacing w:after="0" w:line="480" w:lineRule="auto"/>
        <w:rPr>
          <w:rFonts w:ascii="Times New Roman" w:eastAsia="新細明體" w:hAnsi="Times New Roman" w:cs="Times New Roman"/>
          <w:sz w:val="24"/>
          <w:szCs w:val="24"/>
        </w:rPr>
      </w:pPr>
      <w:r>
        <w:rPr>
          <w:rFonts w:ascii="Times New Roman" w:eastAsia="新細明體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22pt">
            <v:imagedata r:id="rId9" o:title="s圖片4"/>
          </v:shape>
        </w:pict>
      </w:r>
    </w:p>
    <w:p w:rsidR="00FB7B81" w:rsidRPr="006147F8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 xml:space="preserve">Figure S4. </w:t>
      </w:r>
      <w:r w:rsidR="002A2598"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>EpCAM expression stabilizes PD-L1 protein in H460 cells.</w:t>
      </w:r>
    </w:p>
    <w:p w:rsidR="00815E11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After transfection with vehicle or EpCAM expression vector, the PD-L1 protein and mRNA expression levels were analyzed by (A) Western blotting or (B) qRT-PCR. (C) H460 cells were treated with 50 </w:t>
      </w:r>
      <w:r w:rsidRPr="00B14DEB">
        <w:rPr>
          <w:rFonts w:ascii="Times New Roman" w:eastAsia="新細明體" w:hAnsi="Times New Roman" w:cs="Times New Roman"/>
          <w:sz w:val="24"/>
          <w:szCs w:val="24"/>
          <w:lang w:val="el-GR"/>
        </w:rPr>
        <w:t>μ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M CHX for the indicated intervals, and PD-L1 expression was analyzed by Western blotting. Protein expression over time is shown in the graph. </w:t>
      </w:r>
    </w:p>
    <w:p w:rsidR="00815E11" w:rsidRPr="00B14DEB" w:rsidRDefault="00815E11" w:rsidP="00815E11">
      <w:r w:rsidRPr="00B14DEB">
        <w:br w:type="page"/>
      </w:r>
    </w:p>
    <w:p w:rsidR="00FB7B81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</w:p>
    <w:p w:rsidR="00D753F9" w:rsidRPr="00B14DEB" w:rsidRDefault="00D051B1" w:rsidP="00D051B1">
      <w:pPr>
        <w:widowControl w:val="0"/>
        <w:spacing w:after="0" w:line="480" w:lineRule="auto"/>
        <w:jc w:val="center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 w:hint="eastAsia"/>
          <w:sz w:val="24"/>
          <w:szCs w:val="24"/>
        </w:rPr>
        <w:t xml:space="preserve"> </w:t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  </w:t>
      </w:r>
      <w:r w:rsidR="00CB3EF1" w:rsidRPr="00B14DEB">
        <w:rPr>
          <w:rFonts w:ascii="Times New Roman" w:eastAsia="新細明體" w:hAnsi="Times New Roman" w:cs="Times New Roman"/>
          <w:noProof/>
          <w:sz w:val="24"/>
          <w:szCs w:val="24"/>
        </w:rPr>
        <w:drawing>
          <wp:inline distT="0" distB="0" distL="0" distR="0">
            <wp:extent cx="4122420" cy="1752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 </w:t>
      </w:r>
    </w:p>
    <w:p w:rsidR="00D753F9" w:rsidRPr="002A2598" w:rsidRDefault="00D753F9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2A2598">
        <w:rPr>
          <w:rFonts w:ascii="Times New Roman" w:eastAsia="新細明體" w:hAnsi="Times New Roman" w:cs="Times New Roman"/>
          <w:b/>
          <w:bCs/>
          <w:sz w:val="24"/>
          <w:szCs w:val="24"/>
        </w:rPr>
        <w:t xml:space="preserve">Figure S5. </w:t>
      </w:r>
      <w:r w:rsidR="00E93A2C" w:rsidRPr="002A2598">
        <w:rPr>
          <w:rFonts w:ascii="Times New Roman" w:eastAsia="新細明體" w:hAnsi="Times New Roman" w:cs="Times New Roman"/>
          <w:b/>
          <w:bCs/>
          <w:sz w:val="24"/>
          <w:szCs w:val="24"/>
        </w:rPr>
        <w:t>E</w:t>
      </w:r>
      <w:r w:rsidRPr="002A2598">
        <w:rPr>
          <w:rFonts w:ascii="Times New Roman" w:eastAsia="新細明體" w:hAnsi="Times New Roman" w:cs="Times New Roman"/>
          <w:b/>
          <w:bCs/>
          <w:sz w:val="24"/>
          <w:szCs w:val="24"/>
        </w:rPr>
        <w:t xml:space="preserve">xpression of EpCAM and PD-L1 in </w:t>
      </w:r>
      <w:r w:rsidR="00E93A2C" w:rsidRPr="002A2598">
        <w:rPr>
          <w:rFonts w:ascii="Times New Roman" w:eastAsia="新細明體" w:hAnsi="Times New Roman" w:cs="Times New Roman"/>
          <w:b/>
          <w:bCs/>
          <w:sz w:val="24"/>
          <w:szCs w:val="24"/>
        </w:rPr>
        <w:t>a</w:t>
      </w:r>
      <w:r w:rsidRPr="002A2598">
        <w:rPr>
          <w:rFonts w:ascii="Times New Roman" w:eastAsia="新細明體" w:hAnsi="Times New Roman" w:cs="Times New Roman"/>
          <w:b/>
          <w:bCs/>
          <w:sz w:val="24"/>
          <w:szCs w:val="24"/>
        </w:rPr>
        <w:t xml:space="preserve"> colon tumor tissue array</w:t>
      </w:r>
    </w:p>
    <w:p w:rsidR="002A2598" w:rsidRDefault="00D753F9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</w:rPr>
      </w:pPr>
      <w:r w:rsidRPr="002A2598">
        <w:rPr>
          <w:rFonts w:ascii="Times New Roman" w:eastAsia="新細明體" w:hAnsi="Times New Roman" w:cs="Times New Roman"/>
          <w:sz w:val="24"/>
        </w:rPr>
        <w:t xml:space="preserve">Immunohistochemical staining for </w:t>
      </w:r>
      <w:r w:rsidR="00D051B1" w:rsidRPr="002A2598">
        <w:rPr>
          <w:rFonts w:ascii="Times New Roman" w:eastAsia="新細明體" w:hAnsi="Times New Roman" w:cs="Times New Roman"/>
          <w:sz w:val="24"/>
        </w:rPr>
        <w:t xml:space="preserve">(A) </w:t>
      </w:r>
      <w:r w:rsidRPr="002A2598">
        <w:rPr>
          <w:rFonts w:ascii="Times New Roman" w:eastAsia="新細明體" w:hAnsi="Times New Roman" w:cs="Times New Roman"/>
          <w:sz w:val="24"/>
        </w:rPr>
        <w:t xml:space="preserve">EpCAM and </w:t>
      </w:r>
      <w:r w:rsidR="00D051B1" w:rsidRPr="002A2598">
        <w:rPr>
          <w:rFonts w:ascii="Times New Roman" w:eastAsia="新細明體" w:hAnsi="Times New Roman" w:cs="Times New Roman"/>
          <w:sz w:val="24"/>
        </w:rPr>
        <w:t xml:space="preserve">(B) </w:t>
      </w:r>
      <w:r w:rsidRPr="002A2598">
        <w:rPr>
          <w:rFonts w:ascii="Times New Roman" w:eastAsia="新細明體" w:hAnsi="Times New Roman" w:cs="Times New Roman"/>
          <w:sz w:val="24"/>
        </w:rPr>
        <w:t xml:space="preserve">PD-L1 was performed </w:t>
      </w:r>
      <w:r w:rsidR="00E93A2C" w:rsidRPr="002A2598">
        <w:rPr>
          <w:rFonts w:ascii="Times New Roman" w:eastAsia="新細明體" w:hAnsi="Times New Roman" w:cs="Times New Roman"/>
          <w:sz w:val="24"/>
        </w:rPr>
        <w:t>on</w:t>
      </w:r>
      <w:r w:rsidRPr="002A2598">
        <w:rPr>
          <w:rFonts w:ascii="Times New Roman" w:eastAsia="新細明體" w:hAnsi="Times New Roman" w:cs="Times New Roman"/>
          <w:sz w:val="24"/>
        </w:rPr>
        <w:t xml:space="preserve"> </w:t>
      </w:r>
      <w:r w:rsidR="00E93A2C" w:rsidRPr="002A2598">
        <w:rPr>
          <w:rFonts w:ascii="Times New Roman" w:eastAsia="新細明體" w:hAnsi="Times New Roman" w:cs="Times New Roman"/>
          <w:sz w:val="24"/>
        </w:rPr>
        <w:t xml:space="preserve">a </w:t>
      </w:r>
      <w:r w:rsidRPr="002A2598">
        <w:rPr>
          <w:rFonts w:ascii="Times New Roman" w:eastAsia="新細明體" w:hAnsi="Times New Roman" w:cs="Times New Roman"/>
          <w:sz w:val="24"/>
        </w:rPr>
        <w:t>colon tumor tissue array</w:t>
      </w:r>
      <w:r w:rsidR="00D051B1" w:rsidRPr="002A2598">
        <w:rPr>
          <w:rFonts w:ascii="Times New Roman" w:eastAsia="新細明體" w:hAnsi="Times New Roman" w:cs="Times New Roman"/>
          <w:sz w:val="24"/>
        </w:rPr>
        <w:t>.</w:t>
      </w:r>
    </w:p>
    <w:p w:rsidR="002A2598" w:rsidRDefault="002A2598" w:rsidP="002A2598">
      <w:r>
        <w:br w:type="page"/>
      </w:r>
    </w:p>
    <w:p w:rsidR="00D753F9" w:rsidRDefault="006147F8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>
        <w:rPr>
          <w:rFonts w:ascii="Times New Roman" w:eastAsia="新細明體" w:hAnsi="Times New Roman" w:cs="Times New Roman"/>
          <w:b/>
          <w:bCs/>
          <w:noProof/>
          <w:sz w:val="24"/>
          <w:szCs w:val="24"/>
        </w:rPr>
        <w:lastRenderedPageBreak/>
        <w:pict>
          <v:shape id="_x0000_i1026" type="#_x0000_t75" style="width:6in;height:324pt">
            <v:imagedata r:id="rId11" o:title="s圖片6"/>
          </v:shape>
        </w:pict>
      </w:r>
    </w:p>
    <w:p w:rsidR="002A2598" w:rsidRPr="006147F8" w:rsidRDefault="002A2598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>Figure S6. EpCAM is crucial for PD-L1 protein expression</w:t>
      </w:r>
    </w:p>
    <w:p w:rsidR="002A2598" w:rsidRPr="006147F8" w:rsidRDefault="0040242B" w:rsidP="002A2598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6147F8">
        <w:rPr>
          <w:rFonts w:ascii="Times New Roman" w:eastAsia="新細明體" w:hAnsi="Times New Roman" w:cs="Times New Roman"/>
          <w:sz w:val="24"/>
          <w:szCs w:val="24"/>
        </w:rPr>
        <w:t>(A, B) After starvation and treatment with IFNγ for 16 h, H441 cells were treated with EpEX or EGF for 1 h and the PD-L1 expression was analyzed by (A) qRT-PCR and (B) Western blotting. (C, D</w:t>
      </w:r>
      <w:r w:rsidR="002A2598" w:rsidRPr="006147F8">
        <w:rPr>
          <w:rFonts w:ascii="Times New Roman" w:eastAsia="新細明體" w:hAnsi="Times New Roman" w:cs="Times New Roman"/>
          <w:sz w:val="24"/>
          <w:szCs w:val="24"/>
        </w:rPr>
        <w:t>) H441 were treated with or without TAPI, DAPT and IFNγ for 24 h, and PD-</w:t>
      </w:r>
      <w:r w:rsidRPr="006147F8">
        <w:rPr>
          <w:rFonts w:ascii="Times New Roman" w:eastAsia="新細明體" w:hAnsi="Times New Roman" w:cs="Times New Roman"/>
          <w:sz w:val="24"/>
          <w:szCs w:val="24"/>
        </w:rPr>
        <w:t>L1 expression was analyzed by (C) qRT-PCR and (D</w:t>
      </w:r>
      <w:r w:rsidR="002A2598" w:rsidRPr="006147F8">
        <w:rPr>
          <w:rFonts w:ascii="Times New Roman" w:eastAsia="新細明體" w:hAnsi="Times New Roman" w:cs="Times New Roman"/>
          <w:sz w:val="24"/>
          <w:szCs w:val="24"/>
        </w:rPr>
        <w:t xml:space="preserve">) Western blotting. </w:t>
      </w:r>
    </w:p>
    <w:p w:rsidR="002A2598" w:rsidRDefault="002A2598" w:rsidP="002A2598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</w:p>
    <w:p w:rsidR="002A2598" w:rsidRPr="002A2598" w:rsidRDefault="002A2598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</w:p>
    <w:p w:rsidR="00D753F9" w:rsidRPr="00B14DEB" w:rsidRDefault="00FB7B81" w:rsidP="00FB7B81">
      <w:pPr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br w:type="page"/>
      </w:r>
    </w:p>
    <w:p w:rsidR="00FB7B81" w:rsidRPr="00B14DEB" w:rsidRDefault="00FB7B81" w:rsidP="00FB7B81">
      <w:pPr>
        <w:spacing w:after="0" w:line="480" w:lineRule="auto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6850" cy="3562350"/>
            <wp:effectExtent l="0" t="0" r="0" b="0"/>
            <wp:docPr id="1" name="圖片 1" descr="s圖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s圖片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B81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</w:p>
    <w:p w:rsidR="00FB7B81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>Figure S</w:t>
      </w:r>
      <w:r w:rsidR="002A2598"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>7</w:t>
      </w:r>
      <w:r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>. MA</w:t>
      </w:r>
      <w:r w:rsidRPr="00B14DEB">
        <w:rPr>
          <w:rFonts w:ascii="Times New Roman" w:eastAsia="新細明體" w:hAnsi="Times New Roman" w:cs="Times New Roman"/>
          <w:b/>
          <w:bCs/>
          <w:sz w:val="24"/>
          <w:szCs w:val="24"/>
        </w:rPr>
        <w:t xml:space="preserve">PK pathway increases PD-L1 protein stability </w:t>
      </w:r>
    </w:p>
    <w:p w:rsidR="009E0BEB" w:rsidRPr="00B14DEB" w:rsidRDefault="00FB7B81" w:rsidP="00FB7B81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 xml:space="preserve">(A) H441 cells were treated with DMSO, U1026 or wortmannin for the indicated intervals, and PD-L1 expression was analyzed by Western blotting. (B) H441 cells were treated with U0126 for 6 h, and CHX for the indicated intervals, and PD-L1 expression was analyzed by Western blotting. (C) H441 cells expressing PD-L1-Myc were treated with trametinib, U0126 or SCH772984 for 6 h, and total cell lysate was subjected to Western blotting. (D) H441 cells expressing PD-L1-eGFP-Flag were treated with MG132 for 5 h. Total cell lysate was immunoprecipitated with anti-Flag antibody and the polyubiquitin of PD-L1-eGFP-Flag analyzed by Western blotting. (E) PD-L1 expression was analyzed in shLuc- or shGSK3β-expressing cells by Western blotting. (F) shLuc or shGSK3β cells were starved for 16 h and then treated with EpEX or EGF for 1 h. The total cell lysate was subjected to Western blotting. </w:t>
      </w:r>
    </w:p>
    <w:p w:rsidR="009E0BEB" w:rsidRPr="00B14DEB" w:rsidRDefault="009E0BEB" w:rsidP="009E0BEB">
      <w:pPr>
        <w:widowControl w:val="0"/>
        <w:spacing w:after="0" w:line="480" w:lineRule="auto"/>
        <w:jc w:val="center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9205C2C" wp14:editId="597CBA9B">
            <wp:extent cx="3448050" cy="2705100"/>
            <wp:effectExtent l="0" t="0" r="0" b="0"/>
            <wp:docPr id="6" name="圖片 6" descr="C:\Users\riddl\AppData\Local\Microsoft\Windows\INetCache\Content.Word\s圖片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ddl\AppData\Local\Microsoft\Windows\INetCache\Content.Word\s圖片6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BEB" w:rsidRPr="00B14DEB" w:rsidRDefault="009E0BEB" w:rsidP="009E0BEB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b/>
          <w:bCs/>
          <w:sz w:val="24"/>
          <w:szCs w:val="24"/>
        </w:rPr>
      </w:pPr>
      <w:r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>Figure S</w:t>
      </w:r>
      <w:r w:rsidR="002A2598"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>8</w:t>
      </w:r>
      <w:r w:rsidRPr="006147F8">
        <w:rPr>
          <w:rFonts w:ascii="Times New Roman" w:eastAsia="新細明體" w:hAnsi="Times New Roman" w:cs="Times New Roman"/>
          <w:b/>
          <w:bCs/>
          <w:sz w:val="24"/>
          <w:szCs w:val="24"/>
        </w:rPr>
        <w:t>. EpAb</w:t>
      </w:r>
      <w:r w:rsidRPr="00B14DEB">
        <w:rPr>
          <w:rFonts w:ascii="Times New Roman" w:eastAsia="新細明體" w:hAnsi="Times New Roman" w:cs="Times New Roman"/>
          <w:b/>
          <w:bCs/>
          <w:sz w:val="24"/>
          <w:szCs w:val="24"/>
        </w:rPr>
        <w:t>2-6 treatment shows no significant body weight change in the orthotopic model with HCT116-Luc t</w:t>
      </w:r>
      <w:bookmarkStart w:id="1" w:name="_GoBack"/>
      <w:bookmarkEnd w:id="1"/>
      <w:r w:rsidRPr="00B14DEB">
        <w:rPr>
          <w:rFonts w:ascii="Times New Roman" w:eastAsia="新細明體" w:hAnsi="Times New Roman" w:cs="Times New Roman"/>
          <w:b/>
          <w:bCs/>
          <w:sz w:val="24"/>
          <w:szCs w:val="24"/>
        </w:rPr>
        <w:t>umors</w:t>
      </w:r>
    </w:p>
    <w:p w:rsidR="000E2E3D" w:rsidRPr="00B14DEB" w:rsidRDefault="009E0BEB" w:rsidP="009E0BEB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>Average body weight of each group is shown on the indicated days. Error bars show mean ± SD.</w:t>
      </w:r>
    </w:p>
    <w:p w:rsidR="009E0BEB" w:rsidRPr="00B14DEB" w:rsidRDefault="009E0BEB" w:rsidP="009E0BEB">
      <w:pPr>
        <w:widowControl w:val="0"/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</w:p>
    <w:p w:rsidR="00FB7B81" w:rsidRPr="00B14DEB" w:rsidRDefault="009E0BEB" w:rsidP="009E0B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br w:type="page"/>
      </w:r>
      <w:r w:rsidR="00FB7B81"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S1. Primers </w:t>
      </w:r>
      <w:r w:rsidR="004F500A"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 quantitative </w:t>
      </w:r>
      <w:r w:rsidR="00FB7B81"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t>real-time PCR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606"/>
        <w:gridCol w:w="6149"/>
      </w:tblGrid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sz w:val="24"/>
                <w:szCs w:val="24"/>
              </w:rPr>
              <w:t>Genes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Sequence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Nanog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5'-ATGCCTCACACGGAGACTGT-3'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5'-AGGGCTGTCCTGAATAAGCA-3'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Sox2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5'-TATTTGAATCAGTCTGCCGAG-3'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5'ATGTACCTGTTATAAGGATGATATTAGT-3'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Oct4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5'-AGCAAAACCCGGAGGAGT-3'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5'-CCACATCGGCCTGTGTATATC-3'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Lin28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5'-CCAGTGGATGTCTTTGTGCACC-3'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5'-GTGACACGGATGGATTCCAGAC-3'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Klf4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 GCGAACTCACACAGGCGAGAAACC-3'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 TCGCTTCCTCTTCCTCCGACACA-3'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Myc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5'-AAACACAAACTTGAACAGCTAC-3'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5'-ATTTGAGGCAGTTTACATTATGG-3'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Slug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5'-TGGTTGCTTCAAGGACACAT-3'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5'-GTTGCAGTGAGGGCAAGAA-3'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Snail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5'-CTTCGGCTCCAGGAGAGTC-3'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5'-TTCCCACTGTCCTCATCTGAC-3'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Vimentin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5'-GTTTCCCCTAAACCGCTAGG-3'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5'-AGCGAGAGTGGCAGAGGA-3'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TERT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5'-CCTGCTCAAGCTGACTCGACACCGTG-3'</w:t>
            </w:r>
          </w:p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5'-GGAAAAGCTGGCCCTGGGGTGGAGC-3'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BIM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widowControl w:val="0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5'-GAGCCACAAGACAGGAGC-3'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5'-AAGGGCAATTCTGAGGGA-3'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p21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</w:t>
            </w:r>
            <w:r w:rsidRPr="00B14DEB">
              <w:rPr>
                <w:rFonts w:ascii="Times New Roman" w:eastAsia="Times New Roman" w:hAnsi="Times New Roman" w:cs="Times New Roman"/>
                <w:sz w:val="24"/>
                <w:szCs w:val="24"/>
              </w:rPr>
              <w:t>CACAGCTCAGTGGACTGGAA</w:t>
            </w: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</w:t>
            </w:r>
            <w:r w:rsidRPr="00B14DEB">
              <w:rPr>
                <w:rFonts w:ascii="Times New Roman" w:eastAsia="Times New Roman" w:hAnsi="Times New Roman" w:cs="Times New Roman"/>
                <w:sz w:val="24"/>
                <w:szCs w:val="24"/>
              </w:rPr>
              <w:t>ACCCTAGACCCACAATGCAG</w:t>
            </w: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FasL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</w:t>
            </w:r>
            <w:r w:rsidRPr="00B14DEB">
              <w:rPr>
                <w:rFonts w:ascii="Times New Roman" w:eastAsia="Times New Roman" w:hAnsi="Times New Roman" w:cs="Times New Roman"/>
                <w:sz w:val="24"/>
                <w:szCs w:val="24"/>
              </w:rPr>
              <w:t>AGCAAATAGGCCACCCCAGTCC</w:t>
            </w: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</w:t>
            </w:r>
            <w:r w:rsidRPr="00B14DEB">
              <w:rPr>
                <w:rFonts w:ascii="Times New Roman" w:eastAsia="Times New Roman" w:hAnsi="Times New Roman" w:cs="Times New Roman"/>
                <w:sz w:val="24"/>
                <w:szCs w:val="24"/>
              </w:rPr>
              <w:t>TGGCTCAGGGGCAGGTTGTTG</w:t>
            </w: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-3'</w:t>
            </w:r>
          </w:p>
        </w:tc>
      </w:tr>
      <w:tr w:rsidR="00B14DEB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HtrA2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</w:t>
            </w:r>
            <w:r w:rsidRPr="00B14DEB">
              <w:rPr>
                <w:rFonts w:ascii="Times New Roman" w:eastAsia="Times New Roman" w:hAnsi="Times New Roman" w:cs="Times New Roman"/>
                <w:sz w:val="24"/>
                <w:szCs w:val="24"/>
              </w:rPr>
              <w:t>GTGGCAGACATCGCAACGCT</w:t>
            </w: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</w:t>
            </w:r>
            <w:r w:rsidRPr="00B14DEB">
              <w:rPr>
                <w:rFonts w:ascii="Times New Roman" w:eastAsia="Times New Roman" w:hAnsi="Times New Roman" w:cs="Times New Roman"/>
                <w:sz w:val="24"/>
                <w:szCs w:val="24"/>
              </w:rPr>
              <w:t>ACCCACTGATTCCGGAGGAG</w:t>
            </w: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-3'</w:t>
            </w:r>
          </w:p>
        </w:tc>
      </w:tr>
      <w:tr w:rsidR="00FB7B81" w:rsidRPr="00B14DEB" w:rsidTr="00FB7B81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GAPDH</w:t>
            </w:r>
          </w:p>
        </w:tc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</w:t>
            </w:r>
            <w:r w:rsidRPr="00B14DEB">
              <w:rPr>
                <w:rFonts w:ascii="Times New Roman" w:eastAsia="Times New Roman" w:hAnsi="Times New Roman" w:cs="Times New Roman"/>
                <w:sz w:val="24"/>
                <w:szCs w:val="24"/>
              </w:rPr>
              <w:t>CTTCACCACCATGGAGGAGGC</w:t>
            </w: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5'-GGCATGGACTGTGGTCATGAG-3'</w:t>
            </w:r>
          </w:p>
        </w:tc>
      </w:tr>
    </w:tbl>
    <w:p w:rsidR="00FB7B81" w:rsidRPr="00B14DEB" w:rsidRDefault="00FB7B81" w:rsidP="00FB7B81">
      <w:pPr>
        <w:spacing w:line="480" w:lineRule="auto"/>
        <w:rPr>
          <w:rFonts w:ascii="Times New Roman" w:eastAsia="新細明體" w:hAnsi="Times New Roman" w:cs="Times New Roman"/>
          <w:sz w:val="24"/>
          <w:szCs w:val="24"/>
        </w:rPr>
      </w:pPr>
    </w:p>
    <w:p w:rsidR="00FB7B81" w:rsidRPr="00B14DEB" w:rsidRDefault="00FB7B81" w:rsidP="00FB7B81">
      <w:pPr>
        <w:spacing w:after="0" w:line="480" w:lineRule="auto"/>
        <w:rPr>
          <w:rFonts w:ascii="Times New Roman" w:eastAsia="新細明體" w:hAnsi="Times New Roman" w:cs="Times New Roman"/>
          <w:b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b/>
          <w:sz w:val="24"/>
          <w:szCs w:val="24"/>
        </w:rPr>
        <w:br w:type="page"/>
      </w:r>
    </w:p>
    <w:p w:rsidR="00FB7B81" w:rsidRPr="00B14DEB" w:rsidRDefault="00FB7B81" w:rsidP="00FB7B81">
      <w:pPr>
        <w:spacing w:line="480" w:lineRule="auto"/>
        <w:rPr>
          <w:rFonts w:ascii="Times New Roman" w:eastAsia="新細明體" w:hAnsi="Times New Roman" w:cs="Times New Roman"/>
          <w:b/>
          <w:sz w:val="24"/>
          <w:szCs w:val="24"/>
        </w:rPr>
      </w:pPr>
      <w:r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Table S2. Primers </w:t>
      </w:r>
      <w:r w:rsidR="004F500A"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 </w:t>
      </w:r>
      <w:r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t>ChIP assay</w:t>
      </w:r>
    </w:p>
    <w:tbl>
      <w:tblPr>
        <w:tblStyle w:val="a3"/>
        <w:tblW w:w="8897" w:type="dxa"/>
        <w:tblInd w:w="0" w:type="dxa"/>
        <w:tblLook w:val="04A0" w:firstRow="1" w:lastRow="0" w:firstColumn="1" w:lastColumn="0" w:noHBand="0" w:noVBand="1"/>
      </w:tblPr>
      <w:tblGrid>
        <w:gridCol w:w="2802"/>
        <w:gridCol w:w="6095"/>
      </w:tblGrid>
      <w:tr w:rsidR="00B14DEB" w:rsidRPr="00B14DEB" w:rsidTr="00FB7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Sequence</w:t>
            </w:r>
          </w:p>
        </w:tc>
      </w:tr>
      <w:tr w:rsidR="00FB7B81" w:rsidRPr="00B14DEB" w:rsidTr="00FB7B81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FOXO3a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5'-TGCAAAGAAACAATCC-3'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5'-TATATCAAGGTTCTACC-3'</w:t>
            </w:r>
          </w:p>
        </w:tc>
      </w:tr>
    </w:tbl>
    <w:p w:rsidR="00FB7B81" w:rsidRPr="00B14DEB" w:rsidRDefault="00FB7B81" w:rsidP="00FB7B81">
      <w:pPr>
        <w:spacing w:line="480" w:lineRule="auto"/>
        <w:rPr>
          <w:rFonts w:ascii="Times New Roman" w:eastAsia="新細明體" w:hAnsi="Times New Roman" w:cs="Times New Roman"/>
          <w:b/>
          <w:sz w:val="24"/>
          <w:szCs w:val="24"/>
        </w:rPr>
      </w:pPr>
    </w:p>
    <w:p w:rsidR="00FB7B81" w:rsidRPr="00B14DEB" w:rsidRDefault="00FB7B81" w:rsidP="00FB7B81">
      <w:pPr>
        <w:spacing w:line="480" w:lineRule="auto"/>
        <w:rPr>
          <w:rFonts w:ascii="Times New Roman" w:eastAsia="新細明體" w:hAnsi="Times New Roman" w:cs="Times New Roman"/>
          <w:b/>
          <w:sz w:val="24"/>
          <w:szCs w:val="24"/>
        </w:rPr>
      </w:pPr>
      <w:r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Table S3. Primers </w:t>
      </w:r>
      <w:r w:rsidR="004F500A"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 </w:t>
      </w:r>
      <w:r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t>HtrA2 promoter cloning</w:t>
      </w:r>
    </w:p>
    <w:tbl>
      <w:tblPr>
        <w:tblStyle w:val="a3"/>
        <w:tblW w:w="9039" w:type="dxa"/>
        <w:tblInd w:w="0" w:type="dxa"/>
        <w:tblLook w:val="04A0" w:firstRow="1" w:lastRow="0" w:firstColumn="1" w:lastColumn="0" w:noHBand="0" w:noVBand="1"/>
      </w:tblPr>
      <w:tblGrid>
        <w:gridCol w:w="2376"/>
        <w:gridCol w:w="6663"/>
      </w:tblGrid>
      <w:tr w:rsidR="00B14DEB" w:rsidRPr="00B14DEB" w:rsidTr="00FB7B8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b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Sequence</w:t>
            </w:r>
          </w:p>
        </w:tc>
      </w:tr>
      <w:tr w:rsidR="00B14DEB" w:rsidRPr="00B14DEB" w:rsidTr="00FB7B8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pGL4.18-HtrA2-1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5'-AAAGAGCTCTGCTCTGCTTTGTCAGCTGG-3'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5'-AAACTCGAGACTGCTTCCTACTGCTCGTGC-3'</w:t>
            </w:r>
          </w:p>
        </w:tc>
      </w:tr>
      <w:tr w:rsidR="00FB7B81" w:rsidRPr="00B14DEB" w:rsidTr="00FB7B8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pGL4.18-HtrA2-2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Forward: 5'-AAAGAGCTCCTTGACCACCTACCCAGCTGG-3'</w:t>
            </w:r>
          </w:p>
          <w:p w:rsidR="00FB7B81" w:rsidRPr="00B14DEB" w:rsidRDefault="00FB7B81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Reverse: 5'-AAACTCGAGACTGCTTCCTACTGCTCGTGC-3'</w:t>
            </w:r>
          </w:p>
        </w:tc>
      </w:tr>
    </w:tbl>
    <w:p w:rsidR="00FB7B81" w:rsidRPr="00B14DEB" w:rsidRDefault="00FB7B81" w:rsidP="00FB7B81">
      <w:pPr>
        <w:spacing w:line="480" w:lineRule="auto"/>
        <w:rPr>
          <w:rFonts w:ascii="Times New Roman" w:eastAsia="新細明體" w:hAnsi="Times New Roman" w:cs="Times New Roman"/>
          <w:b/>
          <w:sz w:val="24"/>
          <w:szCs w:val="24"/>
        </w:rPr>
      </w:pPr>
    </w:p>
    <w:p w:rsidR="00FB7B81" w:rsidRPr="00B14DEB" w:rsidRDefault="00FB7B81" w:rsidP="00FB7B81">
      <w:pPr>
        <w:spacing w:line="480" w:lineRule="auto"/>
        <w:jc w:val="both"/>
        <w:rPr>
          <w:rFonts w:ascii="Times New Roman" w:eastAsia="新細明體" w:hAnsi="Times New Roman" w:cs="Times New Roman"/>
          <w:b/>
          <w:sz w:val="24"/>
          <w:szCs w:val="24"/>
        </w:rPr>
      </w:pPr>
      <w:r w:rsidRPr="00B14DEB">
        <w:rPr>
          <w:rFonts w:ascii="Times New Roman" w:eastAsia="Times New Roman" w:hAnsi="Times New Roman" w:cs="Times New Roman"/>
          <w:b/>
          <w:bCs/>
          <w:sz w:val="24"/>
          <w:szCs w:val="24"/>
        </w:rPr>
        <w:t>Table S4. The effect of gene knockdown on EpAb2-6-induced apoptosis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1687"/>
        <w:gridCol w:w="1817"/>
        <w:gridCol w:w="1817"/>
        <w:gridCol w:w="1817"/>
      </w:tblGrid>
      <w:tr w:rsidR="00B14DEB" w:rsidRPr="00B14DEB" w:rsidTr="00FB7B81">
        <w:trPr>
          <w:trHeight w:val="28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rPr>
                <w:rFonts w:cs="Times New Roman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kern w:val="24"/>
                <w:sz w:val="24"/>
                <w:szCs w:val="24"/>
              </w:rPr>
              <w:t>A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A-B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新細明體" w:hAnsi="Times New Roman" w:cs="Times New Roman"/>
                <w:sz w:val="24"/>
                <w:szCs w:val="24"/>
              </w:rPr>
              <w:t>C (A-B/A)</w:t>
            </w:r>
          </w:p>
        </w:tc>
      </w:tr>
      <w:tr w:rsidR="00B14DEB" w:rsidRPr="00B14DEB" w:rsidTr="00FB7B81">
        <w:trPr>
          <w:trHeight w:val="14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shEGFR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35.9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17.4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18.5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51.5</w:t>
            </w:r>
          </w:p>
        </w:tc>
      </w:tr>
      <w:tr w:rsidR="00B14DEB" w:rsidRPr="00B14DEB" w:rsidTr="00FB7B81">
        <w:trPr>
          <w:trHeight w:val="20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shc-Met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37.1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28.2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8.9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24.0</w:t>
            </w:r>
          </w:p>
        </w:tc>
      </w:tr>
      <w:tr w:rsidR="00B14DEB" w:rsidRPr="00B14DEB" w:rsidTr="00FB7B81">
        <w:trPr>
          <w:trHeight w:val="7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shAKT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37.1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23.4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13.7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36.9</w:t>
            </w:r>
          </w:p>
        </w:tc>
      </w:tr>
      <w:tr w:rsidR="00B14DEB" w:rsidRPr="00B14DEB" w:rsidTr="00FB7B81">
        <w:trPr>
          <w:trHeight w:val="30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shFOXO3a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37.2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25.7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11.5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30.9</w:t>
            </w:r>
          </w:p>
        </w:tc>
      </w:tr>
      <w:tr w:rsidR="00B14DEB" w:rsidRPr="00B14DEB" w:rsidTr="00FB7B81">
        <w:trPr>
          <w:trHeight w:val="23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shHtrA2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47.7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29.3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18.4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B81" w:rsidRPr="00B14DEB" w:rsidRDefault="00FB7B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4DEB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38.6</w:t>
            </w:r>
          </w:p>
        </w:tc>
      </w:tr>
    </w:tbl>
    <w:p w:rsidR="00FB7B81" w:rsidRPr="00B14DEB" w:rsidRDefault="00FB7B81" w:rsidP="00FB7B81">
      <w:pPr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>A: EpAb2-6-induced apoptosis in control knockdown cells (%)</w:t>
      </w:r>
    </w:p>
    <w:p w:rsidR="00FB7B81" w:rsidRPr="00B14DEB" w:rsidRDefault="00FB7B81" w:rsidP="00FB7B81">
      <w:pPr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>B: EpAb2-6-induced apoptosis in indicated knockdown cells (%)</w:t>
      </w:r>
    </w:p>
    <w:p w:rsidR="00FB7B81" w:rsidRPr="00B14DEB" w:rsidRDefault="00FB7B81" w:rsidP="00FB7B81">
      <w:pPr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>A-B: The decrease of EpAb2-6-induced apoptosis in indicated knockdown cells (%)</w:t>
      </w:r>
    </w:p>
    <w:p w:rsidR="00FB7B81" w:rsidRPr="00B14DEB" w:rsidRDefault="00FB7B81" w:rsidP="00FB7B81">
      <w:pPr>
        <w:spacing w:after="0" w:line="480" w:lineRule="auto"/>
        <w:jc w:val="both"/>
        <w:rPr>
          <w:rFonts w:ascii="Times New Roman" w:eastAsia="新細明體" w:hAnsi="Times New Roman" w:cs="Times New Roman"/>
          <w:sz w:val="24"/>
          <w:szCs w:val="24"/>
        </w:rPr>
      </w:pPr>
      <w:r w:rsidRPr="00B14DEB">
        <w:rPr>
          <w:rFonts w:ascii="Times New Roman" w:eastAsia="新細明體" w:hAnsi="Times New Roman" w:cs="Times New Roman"/>
          <w:sz w:val="24"/>
          <w:szCs w:val="24"/>
        </w:rPr>
        <w:t>C: The decrease of EpAb2-6-induced apoptosis in indicated knockdown cells compared to apoptosis in control knockdown cells (%), (A-B/A)</w:t>
      </w:r>
    </w:p>
    <w:p w:rsidR="00FB7B81" w:rsidRPr="00B14DEB" w:rsidRDefault="00FB7B81" w:rsidP="00FB7B8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628AB" w:rsidRPr="00B14DEB" w:rsidRDefault="00A628AB"/>
    <w:p w:rsidR="00A628AB" w:rsidRPr="00B14DEB" w:rsidRDefault="00A628AB"/>
    <w:p w:rsidR="006E6A5C" w:rsidRPr="00B14DEB" w:rsidRDefault="006E6A5C"/>
    <w:sectPr w:rsidR="006E6A5C" w:rsidRPr="00B14DE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0CE" w:rsidRDefault="006B40CE" w:rsidP="009B5A03">
      <w:pPr>
        <w:spacing w:after="0" w:line="240" w:lineRule="auto"/>
      </w:pPr>
      <w:r>
        <w:separator/>
      </w:r>
    </w:p>
  </w:endnote>
  <w:endnote w:type="continuationSeparator" w:id="0">
    <w:p w:rsidR="006B40CE" w:rsidRDefault="006B40CE" w:rsidP="009B5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0CE" w:rsidRDefault="006B40CE" w:rsidP="009B5A03">
      <w:pPr>
        <w:spacing w:after="0" w:line="240" w:lineRule="auto"/>
      </w:pPr>
      <w:r>
        <w:separator/>
      </w:r>
    </w:p>
  </w:footnote>
  <w:footnote w:type="continuationSeparator" w:id="0">
    <w:p w:rsidR="006B40CE" w:rsidRDefault="006B40CE" w:rsidP="009B5A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Cancer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afw00fwpp2f2pedessx2del9xs0zfzwpfda&quot;&gt;EpCAM PD-L1&lt;record-ids&gt;&lt;item&gt;8&lt;/item&gt;&lt;/record-ids&gt;&lt;/item&gt;&lt;/Libraries&gt;"/>
  </w:docVars>
  <w:rsids>
    <w:rsidRoot w:val="00EF6C38"/>
    <w:rsid w:val="000E2E3D"/>
    <w:rsid w:val="0024072D"/>
    <w:rsid w:val="0028231D"/>
    <w:rsid w:val="002A2598"/>
    <w:rsid w:val="002E31F8"/>
    <w:rsid w:val="00317226"/>
    <w:rsid w:val="00375A79"/>
    <w:rsid w:val="003E44A9"/>
    <w:rsid w:val="0040242B"/>
    <w:rsid w:val="004F500A"/>
    <w:rsid w:val="005417F3"/>
    <w:rsid w:val="00546C5B"/>
    <w:rsid w:val="00562F46"/>
    <w:rsid w:val="006147F8"/>
    <w:rsid w:val="00653B11"/>
    <w:rsid w:val="00676145"/>
    <w:rsid w:val="006B40CE"/>
    <w:rsid w:val="006E6A5C"/>
    <w:rsid w:val="00761D09"/>
    <w:rsid w:val="00765ED8"/>
    <w:rsid w:val="007E3048"/>
    <w:rsid w:val="00815BF7"/>
    <w:rsid w:val="00815E11"/>
    <w:rsid w:val="008930CA"/>
    <w:rsid w:val="0090320E"/>
    <w:rsid w:val="00964520"/>
    <w:rsid w:val="009B5A03"/>
    <w:rsid w:val="009E0BEB"/>
    <w:rsid w:val="009E2B55"/>
    <w:rsid w:val="00A544A1"/>
    <w:rsid w:val="00A628AB"/>
    <w:rsid w:val="00A936CD"/>
    <w:rsid w:val="00B14DEB"/>
    <w:rsid w:val="00B231C3"/>
    <w:rsid w:val="00B54C30"/>
    <w:rsid w:val="00BF0785"/>
    <w:rsid w:val="00CB3EF1"/>
    <w:rsid w:val="00CF4FEC"/>
    <w:rsid w:val="00D051B1"/>
    <w:rsid w:val="00D753F9"/>
    <w:rsid w:val="00DC2735"/>
    <w:rsid w:val="00DD2E3B"/>
    <w:rsid w:val="00E372DC"/>
    <w:rsid w:val="00E70440"/>
    <w:rsid w:val="00E93A2C"/>
    <w:rsid w:val="00ED1E5E"/>
    <w:rsid w:val="00EF6C38"/>
    <w:rsid w:val="00F6183B"/>
    <w:rsid w:val="00FB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5C9CAE5-2159-4BFE-B7FE-CF019296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B81"/>
  </w:style>
  <w:style w:type="paragraph" w:styleId="1">
    <w:name w:val="heading 1"/>
    <w:basedOn w:val="a"/>
    <w:next w:val="a"/>
    <w:link w:val="10"/>
    <w:uiPriority w:val="9"/>
    <w:qFormat/>
    <w:rsid w:val="009B5A03"/>
    <w:pPr>
      <w:keepNext/>
      <w:keepLines/>
      <w:widowControl w:val="0"/>
      <w:spacing w:after="0" w:line="480" w:lineRule="auto"/>
      <w:jc w:val="both"/>
      <w:outlineLvl w:val="0"/>
    </w:pPr>
    <w:rPr>
      <w:rFonts w:ascii="Times New Roman" w:eastAsia="Times New Roman" w:hAnsi="Times New Roman"/>
      <w:b/>
      <w:bCs/>
      <w:kern w:val="44"/>
      <w:sz w:val="24"/>
      <w:szCs w:val="4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7B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7B81"/>
    <w:pPr>
      <w:spacing w:after="0" w:line="240" w:lineRule="auto"/>
    </w:pPr>
    <w:rPr>
      <w:rFonts w:ascii="新細明體" w:eastAsia="新細明體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B81"/>
    <w:rPr>
      <w:rFonts w:ascii="新細明體" w:eastAsia="新細明體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B5A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首 字元"/>
    <w:basedOn w:val="a0"/>
    <w:link w:val="a6"/>
    <w:uiPriority w:val="99"/>
    <w:rsid w:val="009B5A03"/>
  </w:style>
  <w:style w:type="paragraph" w:styleId="a8">
    <w:name w:val="footer"/>
    <w:basedOn w:val="a"/>
    <w:link w:val="a9"/>
    <w:uiPriority w:val="99"/>
    <w:unhideWhenUsed/>
    <w:rsid w:val="009B5A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rsid w:val="009B5A03"/>
  </w:style>
  <w:style w:type="character" w:customStyle="1" w:styleId="10">
    <w:name w:val="標題 1 字元"/>
    <w:basedOn w:val="a0"/>
    <w:link w:val="1"/>
    <w:uiPriority w:val="9"/>
    <w:rsid w:val="009B5A03"/>
    <w:rPr>
      <w:rFonts w:ascii="Times New Roman" w:eastAsia="Times New Roman" w:hAnsi="Times New Roman"/>
      <w:b/>
      <w:bCs/>
      <w:kern w:val="44"/>
      <w:sz w:val="24"/>
      <w:szCs w:val="44"/>
      <w:lang w:eastAsia="zh-CN"/>
    </w:rPr>
  </w:style>
  <w:style w:type="character" w:styleId="aa">
    <w:name w:val="Hyperlink"/>
    <w:basedOn w:val="a0"/>
    <w:uiPriority w:val="99"/>
    <w:unhideWhenUsed/>
    <w:rsid w:val="00A628A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E0BE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1353</Words>
  <Characters>7715</Characters>
  <Application>Microsoft Office Word</Application>
  <DocSecurity>0</DocSecurity>
  <Lines>64</Lines>
  <Paragraphs>18</Paragraphs>
  <ScaleCrop>false</ScaleCrop>
  <Company>Toshiba</Company>
  <LinksUpToDate>false</LinksUpToDate>
  <CharactersWithSpaces>9050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</dc:creator>
  <cp:keywords/>
  <dc:description/>
  <cp:lastModifiedBy>陳皓年</cp:lastModifiedBy>
  <cp:revision>2</cp:revision>
  <dcterms:created xsi:type="dcterms:W3CDTF">2020-09-16T01:23:00Z</dcterms:created>
  <dcterms:modified xsi:type="dcterms:W3CDTF">2020-09-16T01:23:00Z</dcterms:modified>
</cp:coreProperties>
</file>