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1264" w14:textId="351FCB0D" w:rsidR="00D52996" w:rsidRDefault="00D52996" w:rsidP="00D52996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664749A0" wp14:editId="6754A3E1">
            <wp:extent cx="5730875" cy="54749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47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934DF2" w14:textId="77777777" w:rsidR="00D52996" w:rsidRDefault="00D52996" w:rsidP="00D52996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F61FE2B" w14:textId="77777777" w:rsidR="00D52996" w:rsidRDefault="00D52996" w:rsidP="00D52996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457C07B" w14:textId="3E2227E9" w:rsidR="00D52996" w:rsidRDefault="00D52996" w:rsidP="00D52996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A7F72">
        <w:rPr>
          <w:rFonts w:ascii="Arial" w:hAnsi="Arial" w:cs="Arial"/>
          <w:b/>
          <w:sz w:val="24"/>
          <w:szCs w:val="24"/>
          <w:lang w:val="en-US"/>
        </w:rPr>
        <w:t xml:space="preserve">Supplementary Figure </w:t>
      </w:r>
      <w:r>
        <w:rPr>
          <w:rFonts w:ascii="Arial" w:hAnsi="Arial" w:cs="Arial"/>
          <w:b/>
          <w:sz w:val="24"/>
          <w:szCs w:val="24"/>
          <w:lang w:val="en-US"/>
        </w:rPr>
        <w:t>S</w:t>
      </w:r>
      <w:r w:rsidRPr="001A7F72">
        <w:rPr>
          <w:rFonts w:ascii="Arial" w:hAnsi="Arial" w:cs="Arial"/>
          <w:b/>
          <w:sz w:val="24"/>
          <w:szCs w:val="24"/>
          <w:lang w:val="en-US"/>
        </w:rPr>
        <w:t>5</w:t>
      </w:r>
      <w:r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1A7F72">
        <w:rPr>
          <w:rFonts w:ascii="Arial" w:hAnsi="Arial" w:cs="Arial"/>
          <w:b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1A7F72">
        <w:rPr>
          <w:rFonts w:ascii="Arial" w:hAnsi="Arial" w:cs="Arial"/>
          <w:i/>
          <w:iCs/>
          <w:sz w:val="24"/>
          <w:szCs w:val="24"/>
          <w:lang w:val="en-US"/>
        </w:rPr>
        <w:t>Ex vivo</w:t>
      </w:r>
      <w:r w:rsidRPr="001A7F72">
        <w:rPr>
          <w:rFonts w:ascii="Arial" w:hAnsi="Arial" w:cs="Arial"/>
          <w:sz w:val="24"/>
          <w:szCs w:val="24"/>
          <w:lang w:val="en-US"/>
        </w:rPr>
        <w:t xml:space="preserve"> analysis for PD-L1 expression from tumors dissected from </w:t>
      </w:r>
      <w:r w:rsidRPr="001A7F72">
        <w:rPr>
          <w:rFonts w:ascii="Arial" w:hAnsi="Arial" w:cs="Arial"/>
          <w:i/>
          <w:sz w:val="24"/>
          <w:szCs w:val="24"/>
          <w:lang w:val="en-US"/>
        </w:rPr>
        <w:t>Th-MYCN</w:t>
      </w:r>
      <w:r w:rsidRPr="001A7F72">
        <w:rPr>
          <w:rFonts w:ascii="Arial" w:hAnsi="Arial" w:cs="Arial"/>
          <w:sz w:val="24"/>
          <w:szCs w:val="24"/>
          <w:lang w:val="en-US"/>
        </w:rPr>
        <w:t xml:space="preserve"> mice (n=3 each group) treated with DC (300 </w:t>
      </w:r>
      <w:r>
        <w:rPr>
          <w:rFonts w:ascii="Arial" w:hAnsi="Arial" w:cs="Arial"/>
          <w:sz w:val="24"/>
          <w:szCs w:val="24"/>
          <w:lang w:val="en-US"/>
        </w:rPr>
        <w:t>µ</w:t>
      </w:r>
      <w:r w:rsidRPr="001A7F72">
        <w:rPr>
          <w:rFonts w:ascii="Arial" w:hAnsi="Arial" w:cs="Arial"/>
          <w:sz w:val="24"/>
          <w:szCs w:val="24"/>
          <w:lang w:val="en-US"/>
        </w:rPr>
        <w:t>g/mL) for 48h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1A7F72">
        <w:rPr>
          <w:rFonts w:ascii="Arial" w:hAnsi="Arial" w:cs="Arial"/>
          <w:b/>
          <w:bCs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1A7F72">
        <w:rPr>
          <w:rFonts w:ascii="Arial" w:hAnsi="Arial" w:cs="Arial"/>
          <w:sz w:val="24"/>
          <w:szCs w:val="24"/>
          <w:lang w:val="en-US"/>
        </w:rPr>
        <w:t xml:space="preserve">Immunohistochemistry staining in NB tumor slices for CTR-1, </w:t>
      </w:r>
      <w:r w:rsidRPr="001A7F72">
        <w:rPr>
          <w:rFonts w:ascii="Arial" w:hAnsi="Arial" w:cs="Arial"/>
          <w:b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1A7F72">
        <w:rPr>
          <w:rFonts w:ascii="Arial" w:hAnsi="Arial" w:cs="Arial"/>
          <w:sz w:val="24"/>
          <w:szCs w:val="24"/>
          <w:lang w:val="en-US"/>
        </w:rPr>
        <w:t xml:space="preserve">CD3, </w:t>
      </w:r>
      <w:r w:rsidRPr="001A7F72">
        <w:rPr>
          <w:rFonts w:ascii="Arial" w:hAnsi="Arial" w:cs="Arial"/>
          <w:b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1A7F72">
        <w:rPr>
          <w:rFonts w:ascii="Arial" w:hAnsi="Arial" w:cs="Arial"/>
          <w:sz w:val="24"/>
          <w:szCs w:val="24"/>
          <w:lang w:val="en-US"/>
        </w:rPr>
        <w:t xml:space="preserve">CD4, </w:t>
      </w:r>
      <w:r w:rsidRPr="001A7F72">
        <w:rPr>
          <w:rFonts w:ascii="Arial" w:hAnsi="Arial" w:cs="Arial"/>
          <w:b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1A7F72">
        <w:rPr>
          <w:rFonts w:ascii="Arial" w:hAnsi="Arial" w:cs="Arial"/>
          <w:sz w:val="24"/>
          <w:szCs w:val="24"/>
          <w:lang w:val="en-US"/>
        </w:rPr>
        <w:t xml:space="preserve"> CD16 dissected from </w:t>
      </w:r>
      <w:r w:rsidRPr="001A7F72">
        <w:rPr>
          <w:rFonts w:ascii="Arial" w:hAnsi="Arial" w:cs="Arial"/>
          <w:i/>
          <w:iCs/>
          <w:sz w:val="24"/>
          <w:szCs w:val="24"/>
          <w:lang w:val="en-US"/>
        </w:rPr>
        <w:t>Th-MYCN</w:t>
      </w:r>
      <w:r w:rsidRPr="001A7F72">
        <w:rPr>
          <w:rFonts w:ascii="Arial" w:hAnsi="Arial" w:cs="Arial"/>
          <w:sz w:val="24"/>
          <w:szCs w:val="24"/>
          <w:lang w:val="en-US"/>
        </w:rPr>
        <w:t xml:space="preserve"> mice treated with DC (300 </w:t>
      </w:r>
      <w:r>
        <w:rPr>
          <w:rFonts w:ascii="Arial" w:hAnsi="Arial" w:cs="Arial"/>
          <w:sz w:val="24"/>
          <w:szCs w:val="24"/>
          <w:lang w:val="en-US"/>
        </w:rPr>
        <w:t>µ</w:t>
      </w:r>
      <w:r w:rsidRPr="001A7F72">
        <w:rPr>
          <w:rFonts w:ascii="Arial" w:hAnsi="Arial" w:cs="Arial"/>
          <w:sz w:val="24"/>
          <w:szCs w:val="24"/>
          <w:lang w:val="en-US"/>
        </w:rPr>
        <w:t>g/mL) for 24h or 48h. Images are representative of 4 mice for saline control group and 6 mice for each treatment time-point. Black bars represent 60</w:t>
      </w:r>
      <w:r>
        <w:rPr>
          <w:rFonts w:ascii="Arial" w:hAnsi="Arial" w:cs="Arial"/>
          <w:sz w:val="24"/>
          <w:szCs w:val="24"/>
          <w:lang w:val="en-US"/>
        </w:rPr>
        <w:t>µ</w:t>
      </w:r>
      <w:r w:rsidRPr="001A7F72">
        <w:rPr>
          <w:rFonts w:ascii="Arial" w:hAnsi="Arial" w:cs="Arial"/>
          <w:sz w:val="24"/>
          <w:szCs w:val="24"/>
          <w:lang w:val="en-US"/>
        </w:rPr>
        <w:t xml:space="preserve">m. The bar graphs (on the right) show CTR-1 H-score or CD3/CD4/CD16 cell density (* p&lt;0.05; ** p&lt;0.01; *** p&lt;0.001). Cell density expressed as number of </w:t>
      </w:r>
      <w:proofErr w:type="gramStart"/>
      <w:r w:rsidRPr="001A7F72">
        <w:rPr>
          <w:rFonts w:ascii="Arial" w:hAnsi="Arial" w:cs="Arial"/>
          <w:sz w:val="24"/>
          <w:szCs w:val="24"/>
          <w:lang w:val="en-US"/>
        </w:rPr>
        <w:t>cells/field</w:t>
      </w:r>
      <w:proofErr w:type="gramEnd"/>
      <w:r w:rsidRPr="001A7F72">
        <w:rPr>
          <w:rFonts w:ascii="Arial" w:hAnsi="Arial" w:cs="Arial"/>
          <w:sz w:val="24"/>
          <w:szCs w:val="24"/>
          <w:lang w:val="en-US"/>
        </w:rPr>
        <w:t>, with a field size of 0.1mm</w:t>
      </w:r>
      <w:r w:rsidRPr="001A7F72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1A7F7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0CD5A2D" w14:textId="77777777" w:rsidR="00B10126" w:rsidRDefault="00B10126"/>
    <w:sectPr w:rsidR="00B10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96"/>
    <w:rsid w:val="00B10126"/>
    <w:rsid w:val="00D5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1CFA"/>
  <w15:chartTrackingRefBased/>
  <w15:docId w15:val="{F10C055B-46D4-4D8C-849F-791D0C96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96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Vittorio</dc:creator>
  <cp:keywords/>
  <dc:description/>
  <cp:lastModifiedBy>Orazio Vittorio</cp:lastModifiedBy>
  <cp:revision>1</cp:revision>
  <dcterms:created xsi:type="dcterms:W3CDTF">2020-06-19T21:22:00Z</dcterms:created>
  <dcterms:modified xsi:type="dcterms:W3CDTF">2020-06-19T21:23:00Z</dcterms:modified>
</cp:coreProperties>
</file>