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AE394" w14:textId="3CDEFF6C" w:rsidR="00841C37" w:rsidRPr="00841C37" w:rsidRDefault="00841C37" w:rsidP="00841C37">
      <w:pPr>
        <w:pStyle w:val="Heading"/>
        <w:spacing w:line="240" w:lineRule="auto"/>
        <w:rPr>
          <w:rStyle w:val="None"/>
          <w:rFonts w:ascii="Arial" w:eastAsia="Arial" w:hAnsi="Arial" w:cs="Arial"/>
          <w:color w:val="000000"/>
          <w:u w:color="000000"/>
        </w:rPr>
      </w:pPr>
      <w:proofErr w:type="spellStart"/>
      <w:r>
        <w:rPr>
          <w:rStyle w:val="None"/>
          <w:rFonts w:ascii="Arial" w:hAnsi="Arial"/>
          <w:color w:val="000000"/>
          <w:u w:color="000000"/>
        </w:rPr>
        <w:t>Supplemental</w:t>
      </w:r>
      <w:proofErr w:type="spellEnd"/>
      <w:r>
        <w:rPr>
          <w:rStyle w:val="None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one"/>
          <w:rFonts w:ascii="Arial" w:hAnsi="Arial"/>
          <w:color w:val="000000"/>
          <w:u w:color="000000"/>
        </w:rPr>
        <w:t>Figure</w:t>
      </w:r>
      <w:proofErr w:type="spellEnd"/>
      <w:r>
        <w:rPr>
          <w:rStyle w:val="None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one"/>
          <w:rFonts w:ascii="Arial" w:hAnsi="Arial"/>
          <w:color w:val="000000"/>
          <w:u w:color="000000"/>
        </w:rPr>
        <w:t>Legends</w:t>
      </w:r>
      <w:proofErr w:type="spellEnd"/>
      <w:r>
        <w:rPr>
          <w:rStyle w:val="None"/>
          <w:rFonts w:ascii="Arial" w:hAnsi="Arial"/>
          <w:color w:val="000000"/>
          <w:u w:color="000000"/>
        </w:rPr>
        <w:t>:</w:t>
      </w:r>
    </w:p>
    <w:p w14:paraId="04599DB3" w14:textId="6260B69F" w:rsidR="00451613" w:rsidRDefault="00192D67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b/>
          <w:bCs/>
        </w:rPr>
        <w:t>Supplemental Figure 1. Compound from parental class suppresses SIX1-EYA2 transcriptional activity.</w:t>
      </w:r>
      <w:r>
        <w:rPr>
          <w:rStyle w:val="None"/>
          <w:rFonts w:ascii="Arial" w:hAnsi="Arial"/>
        </w:rPr>
        <w:t xml:space="preserve"> Transcriptional activity of a MEF3 promoter luciferase reporter in the presence of EYA2 + an empty vector, EYA2 + SIX1 WT, EYA2 + SIX1 V17E mutant, and EYA2 + SIX1 WT + parental compound in MCF7 cells.</w:t>
      </w:r>
    </w:p>
    <w:p w14:paraId="7D038DA0" w14:textId="77777777" w:rsidR="00451613" w:rsidRDefault="00192D67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 xml:space="preserve">Supplemental Figure 2. Synthesis of compound 8430. a. </w:t>
      </w:r>
      <w:r>
        <w:rPr>
          <w:rStyle w:val="None"/>
          <w:rFonts w:ascii="Arial" w:hAnsi="Arial"/>
          <w:u w:color="201F1E"/>
          <w:shd w:val="clear" w:color="auto" w:fill="FFFFFF"/>
        </w:rPr>
        <w:t xml:space="preserve">The synthesis of NCGC00378430 was initiated by the nucleophilic substitution of 2-methoxy-5-nitrobenzenesulfonyl chloride with morpholine followed by a palladium-on-carbon catalyzed hydrogenation of the nitro group to the aniline. </w:t>
      </w:r>
      <w:r>
        <w:rPr>
          <w:rStyle w:val="None"/>
          <w:rFonts w:ascii="Arial" w:hAnsi="Arial"/>
          <w:b/>
          <w:bCs/>
        </w:rPr>
        <w:t xml:space="preserve">b. </w:t>
      </w:r>
      <w:r>
        <w:rPr>
          <w:rStyle w:val="None"/>
          <w:rFonts w:ascii="Arial" w:hAnsi="Arial"/>
          <w:u w:color="201F1E"/>
          <w:shd w:val="clear" w:color="auto" w:fill="FFFFFF"/>
        </w:rPr>
        <w:t>This aniline was then subjected to HATU-mediated amide coupling with commercially available 3-(1</w:t>
      </w:r>
      <w:r>
        <w:rPr>
          <w:rStyle w:val="None"/>
          <w:rFonts w:ascii="Arial" w:hAnsi="Arial"/>
          <w:i/>
          <w:iCs/>
          <w:u w:color="201F1E"/>
          <w:shd w:val="clear" w:color="auto" w:fill="FFFFFF"/>
        </w:rPr>
        <w:t>H</w:t>
      </w:r>
      <w:r>
        <w:rPr>
          <w:rStyle w:val="None"/>
          <w:rFonts w:ascii="Arial" w:hAnsi="Arial"/>
          <w:u w:color="201F1E"/>
          <w:shd w:val="clear" w:color="auto" w:fill="FFFFFF"/>
        </w:rPr>
        <w:t>-pyrrol-1-</w:t>
      </w:r>
      <w:proofErr w:type="gramStart"/>
      <w:r>
        <w:rPr>
          <w:rStyle w:val="None"/>
          <w:rFonts w:ascii="Arial" w:hAnsi="Arial"/>
          <w:u w:color="201F1E"/>
          <w:shd w:val="clear" w:color="auto" w:fill="FFFFFF"/>
        </w:rPr>
        <w:t>yl)benzoic</w:t>
      </w:r>
      <w:proofErr w:type="gramEnd"/>
      <w:r>
        <w:rPr>
          <w:rStyle w:val="None"/>
          <w:rFonts w:ascii="Arial" w:hAnsi="Arial"/>
          <w:u w:color="201F1E"/>
          <w:shd w:val="clear" w:color="auto" w:fill="FFFFFF"/>
        </w:rPr>
        <w:t xml:space="preserve"> acid to provide </w:t>
      </w:r>
      <w:r>
        <w:rPr>
          <w:rStyle w:val="None"/>
          <w:rFonts w:ascii="Arial" w:hAnsi="Arial"/>
          <w:u w:color="201F1E"/>
          <w:shd w:val="clear" w:color="auto" w:fill="FFFFFF"/>
          <w:lang w:val="fr-FR"/>
        </w:rPr>
        <w:t>NCGC00378430 (</w:t>
      </w:r>
      <w:r>
        <w:rPr>
          <w:rStyle w:val="None"/>
          <w:rFonts w:ascii="Arial" w:hAnsi="Arial"/>
          <w:i/>
          <w:iCs/>
          <w:u w:color="201F1E"/>
          <w:shd w:val="clear" w:color="auto" w:fill="FFFFFF"/>
        </w:rPr>
        <w:t>N</w:t>
      </w:r>
      <w:r>
        <w:rPr>
          <w:rStyle w:val="None"/>
          <w:rFonts w:ascii="Arial" w:hAnsi="Arial"/>
          <w:u w:color="201F1E"/>
          <w:shd w:val="clear" w:color="auto" w:fill="FFFFFF"/>
        </w:rPr>
        <w:t>-(4-methoxy-3-(</w:t>
      </w:r>
      <w:proofErr w:type="spellStart"/>
      <w:r>
        <w:rPr>
          <w:rStyle w:val="None"/>
          <w:rFonts w:ascii="Arial" w:hAnsi="Arial"/>
          <w:u w:color="201F1E"/>
          <w:shd w:val="clear" w:color="auto" w:fill="FFFFFF"/>
        </w:rPr>
        <w:t>morpholinosulfonyl</w:t>
      </w:r>
      <w:proofErr w:type="spellEnd"/>
      <w:r>
        <w:rPr>
          <w:rStyle w:val="None"/>
          <w:rFonts w:ascii="Arial" w:hAnsi="Arial"/>
          <w:u w:color="201F1E"/>
          <w:shd w:val="clear" w:color="auto" w:fill="FFFFFF"/>
        </w:rPr>
        <w:t>)phenyl)-3-(1</w:t>
      </w:r>
      <w:r>
        <w:rPr>
          <w:rStyle w:val="None"/>
          <w:rFonts w:ascii="Arial" w:hAnsi="Arial"/>
          <w:i/>
          <w:iCs/>
          <w:u w:color="201F1E"/>
          <w:shd w:val="clear" w:color="auto" w:fill="FFFFFF"/>
        </w:rPr>
        <w:t>H</w:t>
      </w:r>
      <w:r>
        <w:rPr>
          <w:rStyle w:val="None"/>
          <w:rFonts w:ascii="Arial" w:hAnsi="Arial"/>
          <w:u w:color="201F1E"/>
          <w:shd w:val="clear" w:color="auto" w:fill="FFFFFF"/>
          <w:lang w:val="de-DE"/>
        </w:rPr>
        <w:t>-pyrrol-1-yl)</w:t>
      </w:r>
      <w:proofErr w:type="spellStart"/>
      <w:r>
        <w:rPr>
          <w:rStyle w:val="None"/>
          <w:rFonts w:ascii="Arial" w:hAnsi="Arial"/>
          <w:u w:color="201F1E"/>
          <w:shd w:val="clear" w:color="auto" w:fill="FFFFFF"/>
          <w:lang w:val="de-DE"/>
        </w:rPr>
        <w:t>benzamide</w:t>
      </w:r>
      <w:proofErr w:type="spellEnd"/>
      <w:r>
        <w:rPr>
          <w:rStyle w:val="None"/>
          <w:rFonts w:ascii="Arial" w:hAnsi="Arial"/>
          <w:u w:color="201F1E"/>
          <w:shd w:val="clear" w:color="auto" w:fill="FFFFFF"/>
          <w:lang w:val="de-DE"/>
        </w:rPr>
        <w:t>).</w:t>
      </w:r>
    </w:p>
    <w:p w14:paraId="0C5D3CC6" w14:textId="77777777" w:rsidR="00451613" w:rsidRDefault="00192D67">
      <w:pPr>
        <w:pStyle w:val="BodyA"/>
        <w:rPr>
          <w:rStyle w:val="None"/>
          <w:rFonts w:ascii="Arial" w:eastAsia="Arial" w:hAnsi="Arial" w:cs="Arial"/>
        </w:rPr>
      </w:pPr>
      <w:proofErr w:type="spellStart"/>
      <w:r>
        <w:rPr>
          <w:rStyle w:val="None"/>
          <w:rFonts w:ascii="Arial" w:hAnsi="Arial"/>
          <w:b/>
          <w:bCs/>
          <w:lang w:val="it-IT"/>
        </w:rPr>
        <w:t>Supplemental</w:t>
      </w:r>
      <w:proofErr w:type="spellEnd"/>
      <w:r>
        <w:rPr>
          <w:rStyle w:val="None"/>
          <w:rFonts w:ascii="Arial" w:hAnsi="Arial"/>
          <w:b/>
          <w:bCs/>
          <w:lang w:val="it-IT"/>
        </w:rPr>
        <w:t xml:space="preserve"> Figure </w:t>
      </w:r>
      <w:r>
        <w:rPr>
          <w:rStyle w:val="None"/>
          <w:rFonts w:ascii="Arial" w:hAnsi="Arial"/>
          <w:b/>
          <w:bCs/>
        </w:rPr>
        <w:t>3. Endogenous SIX1 and EYA2 expression in breast cancer cells.</w:t>
      </w:r>
      <w:r>
        <w:rPr>
          <w:rStyle w:val="None"/>
          <w:rFonts w:ascii="Arial" w:hAnsi="Arial"/>
        </w:rPr>
        <w:t xml:space="preserve"> Representative WB (of n=3) demonstrates endogenous protein levels of SIX1 and EYA2 in HMLER, MCF7, T47D and MDA-MB-231 cells. </w:t>
      </w:r>
    </w:p>
    <w:p w14:paraId="6FF11EF7" w14:textId="77777777" w:rsidR="00451613" w:rsidRDefault="00192D67">
      <w:pPr>
        <w:pStyle w:val="BodyA"/>
        <w:rPr>
          <w:rStyle w:val="NoneA"/>
        </w:rPr>
      </w:pPr>
      <w:proofErr w:type="spellStart"/>
      <w:r>
        <w:rPr>
          <w:rStyle w:val="None"/>
          <w:rFonts w:ascii="Arial" w:hAnsi="Arial"/>
          <w:b/>
          <w:bCs/>
          <w:lang w:val="it-IT"/>
        </w:rPr>
        <w:t>Supplemental</w:t>
      </w:r>
      <w:proofErr w:type="spellEnd"/>
      <w:r>
        <w:rPr>
          <w:rStyle w:val="None"/>
          <w:rFonts w:ascii="Arial" w:hAnsi="Arial"/>
          <w:b/>
          <w:bCs/>
          <w:lang w:val="it-IT"/>
        </w:rPr>
        <w:t xml:space="preserve"> Figure </w:t>
      </w:r>
      <w:r>
        <w:rPr>
          <w:rStyle w:val="None"/>
          <w:rFonts w:ascii="Arial" w:hAnsi="Arial"/>
          <w:b/>
          <w:bCs/>
        </w:rPr>
        <w:t xml:space="preserve">4. 8430 influences SIX1-mediated transcription. a. </w:t>
      </w:r>
      <w:r>
        <w:rPr>
          <w:rStyle w:val="None"/>
          <w:rFonts w:ascii="Arial" w:hAnsi="Arial"/>
          <w:lang w:val="it-IT"/>
        </w:rPr>
        <w:t xml:space="preserve">Volcano plot </w:t>
      </w:r>
      <w:r>
        <w:rPr>
          <w:rStyle w:val="None"/>
          <w:rFonts w:ascii="Arial" w:hAnsi="Arial"/>
        </w:rPr>
        <w:t xml:space="preserve">demonstrates differential gene expression patterns when comparing across </w:t>
      </w:r>
      <w:proofErr w:type="spellStart"/>
      <w:r>
        <w:rPr>
          <w:rStyle w:val="None"/>
          <w:rFonts w:ascii="Arial" w:hAnsi="Arial"/>
        </w:rPr>
        <w:t>Ctrl+Veh</w:t>
      </w:r>
      <w:proofErr w:type="spellEnd"/>
      <w:r>
        <w:rPr>
          <w:rStyle w:val="None"/>
          <w:rFonts w:ascii="Arial" w:hAnsi="Arial"/>
        </w:rPr>
        <w:t xml:space="preserve">, SIX1+Veh and SIX1+8430 conditions. A filter of adjusted </w:t>
      </w:r>
      <w:r>
        <w:rPr>
          <w:rStyle w:val="None"/>
          <w:rFonts w:ascii="Arial" w:hAnsi="Arial"/>
          <w:i/>
          <w:iCs/>
        </w:rPr>
        <w:t>p</w:t>
      </w:r>
      <w:r>
        <w:rPr>
          <w:rStyle w:val="None"/>
          <w:rFonts w:ascii="Arial" w:hAnsi="Arial"/>
        </w:rPr>
        <w:t xml:space="preserve"> value&lt;0.1 was applied to RNA sequencing data. All genes that passed this filter are plotted.  Those genes highlighted in red (up) /blue (down) have an absolute adjusted fold change &gt;2. </w:t>
      </w:r>
      <w:r>
        <w:rPr>
          <w:rStyle w:val="None"/>
          <w:rFonts w:ascii="Arial" w:hAnsi="Arial"/>
          <w:b/>
          <w:bCs/>
        </w:rPr>
        <w:t>b.</w:t>
      </w:r>
      <w:r>
        <w:rPr>
          <w:rStyle w:val="NoneAA"/>
        </w:rPr>
        <w:t xml:space="preserve"> </w:t>
      </w:r>
      <w:r>
        <w:rPr>
          <w:rStyle w:val="None"/>
          <w:rFonts w:ascii="Arial" w:hAnsi="Arial"/>
        </w:rPr>
        <w:t>Heatmap demonstrates hierarchical clustering of z-score-converted expression values of significantly differentially expressed genes (p-adj &lt; 0.1 and absolute adjusted fold change &gt; 2) between the WT and SIX1 OE conditions, and three predominant and distinct clusters of differential gene expression are revealed.</w:t>
      </w:r>
      <w:r>
        <w:rPr>
          <w:rStyle w:val="NoneAA"/>
        </w:rPr>
        <w:t xml:space="preserve"> </w:t>
      </w:r>
      <w:r>
        <w:rPr>
          <w:rStyle w:val="None"/>
          <w:rFonts w:ascii="Arial" w:hAnsi="Arial"/>
          <w:b/>
          <w:bCs/>
        </w:rPr>
        <w:t xml:space="preserve">c. </w:t>
      </w:r>
      <w:r>
        <w:rPr>
          <w:rStyle w:val="None"/>
          <w:rFonts w:ascii="Arial" w:hAnsi="Arial"/>
        </w:rPr>
        <w:t xml:space="preserve">Gene ontology (GO) enrichment analysis was performed using genes oppositely altered by SIX1 OE and 8430 treatment. Top 15 most enriched pathways are plotted (ranked by </w:t>
      </w:r>
      <w:r>
        <w:rPr>
          <w:rStyle w:val="None"/>
          <w:rFonts w:ascii="Arial" w:hAnsi="Arial"/>
          <w:i/>
          <w:iCs/>
        </w:rPr>
        <w:t>p</w:t>
      </w:r>
      <w:r>
        <w:rPr>
          <w:rStyle w:val="None"/>
          <w:rFonts w:ascii="Arial" w:hAnsi="Arial"/>
        </w:rPr>
        <w:t xml:space="preserve"> value). Pathways directly relevant to development are labeled in red while others are labeled in blue. </w:t>
      </w:r>
      <w:r>
        <w:rPr>
          <w:rStyle w:val="None"/>
          <w:rFonts w:ascii="Arial" w:hAnsi="Arial"/>
          <w:i/>
          <w:iCs/>
        </w:rPr>
        <w:t>P</w:t>
      </w:r>
      <w:r>
        <w:rPr>
          <w:rStyle w:val="None"/>
          <w:rFonts w:ascii="Arial" w:hAnsi="Arial"/>
        </w:rPr>
        <w:t xml:space="preserve"> value is highlighted in green, while enrichment scores are listed on top of each bar.</w:t>
      </w:r>
    </w:p>
    <w:p w14:paraId="103DDBED" w14:textId="77777777" w:rsidR="00451613" w:rsidRDefault="00192D67">
      <w:pPr>
        <w:pStyle w:val="BodyA"/>
        <w:spacing w:line="240" w:lineRule="auto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b/>
          <w:bCs/>
          <w:lang w:val="it-IT"/>
        </w:rPr>
        <w:t xml:space="preserve">Supplemental Figure </w:t>
      </w:r>
      <w:r>
        <w:rPr>
          <w:rStyle w:val="None"/>
          <w:rFonts w:ascii="Arial" w:hAnsi="Arial"/>
          <w:b/>
          <w:bCs/>
        </w:rPr>
        <w:t>5. 8430 is well-tolerated in mice. a.</w:t>
      </w:r>
      <w:r>
        <w:rPr>
          <w:rStyle w:val="None"/>
          <w:rFonts w:ascii="Arial" w:hAnsi="Arial"/>
        </w:rPr>
        <w:t xml:space="preserve"> Pharmacokinetics of 8430 in mice following a 20mg/kg IV bolus dose. PK parameters were calculated via a 2-compartment model using the average measured values for mice at each time point. Concentration of 8430 in plasma was plotted across time, error bars are standard deviations. </w:t>
      </w:r>
      <w:r>
        <w:rPr>
          <w:rStyle w:val="None"/>
          <w:rFonts w:ascii="Arial" w:hAnsi="Arial"/>
          <w:b/>
          <w:bCs/>
        </w:rPr>
        <w:t xml:space="preserve">b. </w:t>
      </w:r>
      <w:r>
        <w:rPr>
          <w:rStyle w:val="None"/>
          <w:rFonts w:ascii="Arial" w:hAnsi="Arial"/>
        </w:rPr>
        <w:t xml:space="preserve">Comparison of 8430 plasma levels at 1, 2, and 4 hours post-dosing via either the IV or IP route. Concentration of 8430 in plasma was plotted across time, error bars are standard deviations. </w:t>
      </w:r>
      <w:r>
        <w:rPr>
          <w:rStyle w:val="None"/>
          <w:rFonts w:ascii="Arial" w:hAnsi="Arial"/>
          <w:b/>
          <w:bCs/>
        </w:rPr>
        <w:t xml:space="preserve">c. </w:t>
      </w:r>
      <w:r>
        <w:rPr>
          <w:rStyle w:val="None"/>
          <w:rFonts w:ascii="Arial" w:hAnsi="Arial"/>
        </w:rPr>
        <w:t>Weight measurement of mice treated by various doses of 8430. Mice were treated by 8430 at 0 (vehicle), 15, 20 or 25mg/kg for three weeks (delivered to 4</w:t>
      </w:r>
      <w:r>
        <w:rPr>
          <w:rStyle w:val="None"/>
          <w:rFonts w:ascii="Arial" w:hAnsi="Arial"/>
          <w:vertAlign w:val="superscript"/>
        </w:rPr>
        <w:t>th</w:t>
      </w:r>
      <w:r>
        <w:rPr>
          <w:rStyle w:val="None"/>
          <w:rFonts w:ascii="Arial" w:hAnsi="Arial"/>
        </w:rPr>
        <w:t xml:space="preserve"> mammary fat pad every other day) and percentage of weight gain is plotted. Error bars are standard deviations, and statistical significance was evaluated by one-way ANOVA followed by Tukey post adjustment,</w:t>
      </w:r>
      <w:r>
        <w:rPr>
          <w:rStyle w:val="None"/>
          <w:rFonts w:ascii="Arial" w:hAnsi="Arial"/>
          <w:i/>
          <w:iCs/>
          <w:lang w:val="nl-NL"/>
        </w:rPr>
        <w:t xml:space="preserve"> p </w:t>
      </w:r>
      <w:r>
        <w:rPr>
          <w:rStyle w:val="None"/>
          <w:rFonts w:ascii="Arial" w:hAnsi="Arial"/>
        </w:rPr>
        <w:t xml:space="preserve">value is listed with 4 decimal places. </w:t>
      </w:r>
      <w:r>
        <w:rPr>
          <w:rStyle w:val="None"/>
          <w:rFonts w:ascii="Arial" w:hAnsi="Arial"/>
          <w:b/>
          <w:bCs/>
        </w:rPr>
        <w:t>d.</w:t>
      </w:r>
      <w:r>
        <w:rPr>
          <w:rStyle w:val="None"/>
          <w:rFonts w:ascii="Arial" w:hAnsi="Arial"/>
        </w:rPr>
        <w:t xml:space="preserve"> Photomicrograph demonstrates examples of histological changes observed in livers of animal treated by 8430. </w:t>
      </w:r>
      <w:r>
        <w:rPr>
          <w:rStyle w:val="None"/>
          <w:rFonts w:ascii="Arial" w:hAnsi="Arial"/>
          <w:i/>
          <w:iCs/>
          <w:u w:val="single"/>
          <w:lang w:val="nl-NL"/>
        </w:rPr>
        <w:t>Left,</w:t>
      </w:r>
      <w:r>
        <w:rPr>
          <w:rStyle w:val="None"/>
          <w:rFonts w:ascii="Arial" w:hAnsi="Arial"/>
          <w:b/>
          <w:bCs/>
        </w:rPr>
        <w:t xml:space="preserve"> </w:t>
      </w:r>
      <w:r>
        <w:rPr>
          <w:rStyle w:val="None"/>
          <w:rFonts w:ascii="Arial" w:hAnsi="Arial"/>
        </w:rPr>
        <w:t>a single, small (&lt;0.5mm diameter) focus of hepatic necrosis, with replacement fibrosis was observed in one animal</w:t>
      </w:r>
      <w:r>
        <w:rPr>
          <w:rStyle w:val="None"/>
          <w:rFonts w:ascii="Arial" w:hAnsi="Arial"/>
          <w:i/>
          <w:iCs/>
        </w:rPr>
        <w:t xml:space="preserve"> </w:t>
      </w:r>
      <w:r>
        <w:rPr>
          <w:rStyle w:val="None"/>
          <w:rFonts w:ascii="Arial" w:hAnsi="Arial"/>
        </w:rPr>
        <w:t xml:space="preserve">treated by 15mg/kg 8430. Few individualized necrotic hepatocytes are present along the margin of fibrosis. Low numbers of lymphocytes infiltrate the fibrous tissue. 20x magnification. </w:t>
      </w:r>
      <w:r>
        <w:rPr>
          <w:rStyle w:val="None"/>
          <w:rFonts w:ascii="Arial" w:hAnsi="Arial"/>
          <w:i/>
          <w:iCs/>
          <w:u w:val="single"/>
        </w:rPr>
        <w:t>Middle,</w:t>
      </w:r>
      <w:r>
        <w:rPr>
          <w:rStyle w:val="None"/>
          <w:rFonts w:ascii="Arial" w:hAnsi="Arial"/>
          <w:b/>
          <w:bCs/>
        </w:rPr>
        <w:t xml:space="preserve"> </w:t>
      </w:r>
      <w:r>
        <w:rPr>
          <w:rStyle w:val="None"/>
          <w:rFonts w:ascii="Arial" w:hAnsi="Arial"/>
        </w:rPr>
        <w:t xml:space="preserve">another example of typical histological lesions observed in the livers of animals treated by 20mg/kg 8430. There is rare, individual single cell hepatocyte necrosis (arrows), with infiltration of the hepatic parenchyma by few lymphocytes, neutrophils, and macrophages. 20x magnification. </w:t>
      </w:r>
      <w:r>
        <w:rPr>
          <w:rStyle w:val="None"/>
          <w:rFonts w:ascii="Arial" w:hAnsi="Arial"/>
          <w:i/>
          <w:iCs/>
          <w:u w:val="single"/>
        </w:rPr>
        <w:t>Right,</w:t>
      </w:r>
      <w:r>
        <w:rPr>
          <w:rStyle w:val="None"/>
          <w:rFonts w:ascii="Arial" w:hAnsi="Arial"/>
          <w:b/>
          <w:bCs/>
        </w:rPr>
        <w:t xml:space="preserve"> </w:t>
      </w:r>
      <w:r>
        <w:rPr>
          <w:rStyle w:val="None"/>
          <w:rFonts w:ascii="Arial" w:hAnsi="Arial"/>
        </w:rPr>
        <w:t xml:space="preserve">there is a single, sub-capsular </w:t>
      </w:r>
      <w:r>
        <w:rPr>
          <w:rStyle w:val="None"/>
          <w:rFonts w:ascii="Arial" w:hAnsi="Arial"/>
        </w:rPr>
        <w:lastRenderedPageBreak/>
        <w:t>nodule of coagulative necrosis of hepatocytes (arrow heads), with mild reactive fibrosis of the overlying hepatic capsule (arrow) in one animal treated by 25mg/kg 8430. 10x magnification.</w:t>
      </w:r>
    </w:p>
    <w:p w14:paraId="302ABFAE" w14:textId="63F06279" w:rsidR="00451613" w:rsidRDefault="00192D67">
      <w:pPr>
        <w:pStyle w:val="BodyA"/>
      </w:pPr>
      <w:r>
        <w:rPr>
          <w:rStyle w:val="None"/>
          <w:rFonts w:ascii="Arial" w:hAnsi="Arial"/>
          <w:b/>
          <w:bCs/>
          <w:lang w:val="it-IT"/>
        </w:rPr>
        <w:t>Supplemental Figure 6. 8430 reduces metastases in mice.</w:t>
      </w:r>
      <w:r>
        <w:rPr>
          <w:rStyle w:val="None"/>
          <w:shd w:val="clear" w:color="auto" w:fill="FFFFFF"/>
        </w:rPr>
        <w:t xml:space="preserve"> </w:t>
      </w:r>
      <w:r>
        <w:rPr>
          <w:rStyle w:val="None"/>
          <w:rFonts w:ascii="Arial" w:hAnsi="Arial"/>
          <w:shd w:val="clear" w:color="auto" w:fill="FFFFFF"/>
        </w:rPr>
        <w:t>At the end of animal study, primary tumors were harvested and distant metastases were examined. </w:t>
      </w:r>
      <w:r>
        <w:rPr>
          <w:rStyle w:val="None"/>
          <w:rFonts w:ascii="Arial" w:hAnsi="Arial"/>
          <w:b/>
          <w:bCs/>
          <w:shd w:val="clear" w:color="auto" w:fill="FFFFFF"/>
          <w:lang w:val="it-IT"/>
        </w:rPr>
        <w:t xml:space="preserve">a. </w:t>
      </w:r>
      <w:r>
        <w:rPr>
          <w:rStyle w:val="None"/>
          <w:rFonts w:ascii="Arial" w:hAnsi="Arial"/>
          <w:shd w:val="clear" w:color="auto" w:fill="FFFFFF"/>
          <w:lang w:val="it-IT"/>
        </w:rPr>
        <w:t>Representative image demonstrates that turbo RFP-tagged MCF7-SIX1 tumor cells (in primary tumors) show strong red signal under room light, enabling the m</w:t>
      </w:r>
      <w:r w:rsidR="00FD28A7">
        <w:rPr>
          <w:rStyle w:val="None"/>
          <w:rFonts w:ascii="Arial" w:hAnsi="Arial"/>
          <w:shd w:val="clear" w:color="auto" w:fill="FFFFFF"/>
          <w:lang w:val="it-IT"/>
        </w:rPr>
        <w:t>a</w:t>
      </w:r>
      <w:r>
        <w:rPr>
          <w:rStyle w:val="None"/>
          <w:rFonts w:ascii="Arial" w:hAnsi="Arial"/>
          <w:shd w:val="clear" w:color="auto" w:fill="FFFFFF"/>
          <w:lang w:val="it-IT"/>
        </w:rPr>
        <w:t>croscopic detection of disseminated tumor cells.</w:t>
      </w:r>
      <w:r>
        <w:rPr>
          <w:rStyle w:val="None"/>
          <w:rFonts w:ascii="Arial" w:hAnsi="Arial"/>
          <w:shd w:val="clear" w:color="auto" w:fill="FFFFFF"/>
        </w:rPr>
        <w:t> </w:t>
      </w:r>
      <w:r>
        <w:rPr>
          <w:rStyle w:val="None"/>
          <w:rFonts w:ascii="Arial" w:hAnsi="Arial"/>
          <w:b/>
          <w:bCs/>
          <w:shd w:val="clear" w:color="auto" w:fill="FFFFFF"/>
        </w:rPr>
        <w:t xml:space="preserve">b. </w:t>
      </w:r>
      <w:r>
        <w:rPr>
          <w:rStyle w:val="None"/>
          <w:rFonts w:ascii="Arial" w:hAnsi="Arial"/>
          <w:shd w:val="clear" w:color="auto" w:fill="FFFFFF"/>
        </w:rPr>
        <w:t>Representative images demonstrate that macroscopic lymph node metastases (arrow) were detected in the vehicle group (3 out of 12) but not in 8430 treated condition.</w:t>
      </w:r>
    </w:p>
    <w:sectPr w:rsidR="004516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7614" w14:textId="77777777" w:rsidR="004642E5" w:rsidRDefault="004642E5">
      <w:r>
        <w:separator/>
      </w:r>
    </w:p>
  </w:endnote>
  <w:endnote w:type="continuationSeparator" w:id="0">
    <w:p w14:paraId="6EB1A613" w14:textId="77777777" w:rsidR="004642E5" w:rsidRDefault="0046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3AF9" w14:textId="77777777" w:rsidR="00451613" w:rsidRDefault="004516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D0A42" w14:textId="77777777" w:rsidR="004642E5" w:rsidRDefault="004642E5">
      <w:r>
        <w:separator/>
      </w:r>
    </w:p>
  </w:footnote>
  <w:footnote w:type="continuationSeparator" w:id="0">
    <w:p w14:paraId="20F3430D" w14:textId="77777777" w:rsidR="004642E5" w:rsidRDefault="0046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9142" w14:textId="77777777" w:rsidR="00451613" w:rsidRDefault="0045161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2CFF"/>
    <w:multiLevelType w:val="hybridMultilevel"/>
    <w:tmpl w:val="DC566E58"/>
    <w:styleLink w:val="ImportedStyle1"/>
    <w:lvl w:ilvl="0" w:tplc="807CB7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3673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6415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C1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E38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83E2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3A89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E415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74D39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3377AB"/>
    <w:multiLevelType w:val="hybridMultilevel"/>
    <w:tmpl w:val="DC566E5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451613"/>
    <w:rsid w:val="0000737C"/>
    <w:rsid w:val="000725A7"/>
    <w:rsid w:val="000E2761"/>
    <w:rsid w:val="0011496C"/>
    <w:rsid w:val="00124C3D"/>
    <w:rsid w:val="00164C8E"/>
    <w:rsid w:val="00192D67"/>
    <w:rsid w:val="001E178A"/>
    <w:rsid w:val="002310C5"/>
    <w:rsid w:val="00232BE8"/>
    <w:rsid w:val="00237AE5"/>
    <w:rsid w:val="002A0103"/>
    <w:rsid w:val="002B1D96"/>
    <w:rsid w:val="002F496E"/>
    <w:rsid w:val="00340D15"/>
    <w:rsid w:val="003626BB"/>
    <w:rsid w:val="00371AF4"/>
    <w:rsid w:val="00451613"/>
    <w:rsid w:val="00460E7C"/>
    <w:rsid w:val="004642E5"/>
    <w:rsid w:val="004B0839"/>
    <w:rsid w:val="004E6D3E"/>
    <w:rsid w:val="004F276E"/>
    <w:rsid w:val="0054153D"/>
    <w:rsid w:val="00560EC3"/>
    <w:rsid w:val="00572630"/>
    <w:rsid w:val="0059149A"/>
    <w:rsid w:val="00610C2B"/>
    <w:rsid w:val="006215FB"/>
    <w:rsid w:val="00626BFD"/>
    <w:rsid w:val="006328C2"/>
    <w:rsid w:val="006F0A9F"/>
    <w:rsid w:val="0070311E"/>
    <w:rsid w:val="00706A5B"/>
    <w:rsid w:val="007F1E3B"/>
    <w:rsid w:val="007F2755"/>
    <w:rsid w:val="00841C37"/>
    <w:rsid w:val="00892E9F"/>
    <w:rsid w:val="008B17F0"/>
    <w:rsid w:val="008B18EB"/>
    <w:rsid w:val="008E4AFA"/>
    <w:rsid w:val="0091326D"/>
    <w:rsid w:val="009448A4"/>
    <w:rsid w:val="00963A98"/>
    <w:rsid w:val="009C299B"/>
    <w:rsid w:val="009E70BD"/>
    <w:rsid w:val="009F24B8"/>
    <w:rsid w:val="00A111EF"/>
    <w:rsid w:val="00A140D0"/>
    <w:rsid w:val="00A42D3A"/>
    <w:rsid w:val="00A44DDA"/>
    <w:rsid w:val="00A634B0"/>
    <w:rsid w:val="00AA7271"/>
    <w:rsid w:val="00AC3E30"/>
    <w:rsid w:val="00B148FE"/>
    <w:rsid w:val="00B318CE"/>
    <w:rsid w:val="00B465DC"/>
    <w:rsid w:val="00BD6A99"/>
    <w:rsid w:val="00C17675"/>
    <w:rsid w:val="00C20BE3"/>
    <w:rsid w:val="00C52831"/>
    <w:rsid w:val="00C739C2"/>
    <w:rsid w:val="00C97F90"/>
    <w:rsid w:val="00CC12B3"/>
    <w:rsid w:val="00CE4147"/>
    <w:rsid w:val="00CE7DC5"/>
    <w:rsid w:val="00CE7F2E"/>
    <w:rsid w:val="00D05F53"/>
    <w:rsid w:val="00D34C7B"/>
    <w:rsid w:val="00D62171"/>
    <w:rsid w:val="00D64AF2"/>
    <w:rsid w:val="00D664FD"/>
    <w:rsid w:val="00D9299D"/>
    <w:rsid w:val="00D97654"/>
    <w:rsid w:val="00DB60E5"/>
    <w:rsid w:val="00DD090F"/>
    <w:rsid w:val="00DD6A98"/>
    <w:rsid w:val="00DF50D7"/>
    <w:rsid w:val="00E03204"/>
    <w:rsid w:val="00E56A40"/>
    <w:rsid w:val="00EF118B"/>
    <w:rsid w:val="00FA3A6D"/>
    <w:rsid w:val="00FD1F29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2182"/>
  <w15:docId w15:val="{93D02A0E-4CBF-5A4C-BC18-D2EE1DBC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next w:val="BodyA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4E79"/>
      <w:sz w:val="24"/>
      <w:szCs w:val="24"/>
      <w:u w:color="1F4E79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rPr>
      <w:lang w:val="en-US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">
    <w:name w:val="p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u w:val="single" w:color="0000FF"/>
    </w:rPr>
  </w:style>
  <w:style w:type="paragraph" w:customStyle="1" w:styleId="EndNoteBibliography">
    <w:name w:val="EndNote Bibliography"/>
    <w:pPr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A">
    <w:name w:val="None A 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4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FD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7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7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C77C-0429-4E3D-A84F-3538BF1B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Hengbo Zhou</cp:lastModifiedBy>
  <cp:revision>21</cp:revision>
  <dcterms:created xsi:type="dcterms:W3CDTF">2020-04-15T22:27:00Z</dcterms:created>
  <dcterms:modified xsi:type="dcterms:W3CDTF">2020-04-18T03:38:00Z</dcterms:modified>
</cp:coreProperties>
</file>