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8.jpeg" ContentType="image/jpeg"/>
  <Override PartName="/word/media/image3.jpeg" ContentType="image/jpeg"/>
  <Override PartName="/word/media/image5.jpeg" ContentType="image/jpeg"/>
  <Override PartName="/word/media/image4.tif" ContentType="image/tiff"/>
  <Override PartName="/word/media/image2.png" ContentType="image/png"/>
  <Override PartName="/word/media/image6.tif" ContentType="image/tiff"/>
  <Override PartName="/word/media/image7.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5727700" cy="2263775"/>
            <wp:effectExtent l="0" t="0" r="0" b="0"/>
            <wp:docPr id="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pic:cNvPicPr>
                      <a:picLocks noChangeAspect="1" noChangeArrowheads="1"/>
                    </pic:cNvPicPr>
                  </pic:nvPicPr>
                  <pic:blipFill>
                    <a:blip r:embed="rId2"/>
                    <a:stretch>
                      <a:fillRect/>
                    </a:stretch>
                  </pic:blipFill>
                  <pic:spPr bwMode="auto">
                    <a:xfrm>
                      <a:off x="0" y="0"/>
                      <a:ext cx="5727700" cy="2263775"/>
                    </a:xfrm>
                    <a:prstGeom prst="rect">
                      <a:avLst/>
                    </a:prstGeom>
                  </pic:spPr>
                </pic:pic>
              </a:graphicData>
            </a:graphic>
          </wp:inline>
        </w:drawing>
      </w:r>
    </w:p>
    <w:p>
      <w:pPr>
        <w:pStyle w:val="Normal"/>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rPr>
      </w:pPr>
      <w:r>
        <w:rPr>
          <w:rFonts w:cs="Times New Roman" w:ascii="Times New Roman" w:hAnsi="Times New Roman"/>
          <w:b/>
        </w:rPr>
        <w:t xml:space="preserve">Supplementary Figure S1: Summary of the general workflow of our study. </w:t>
      </w:r>
      <w:r>
        <w:rPr>
          <w:rFonts w:cs="Times New Roman" w:ascii="Times New Roman" w:hAnsi="Times New Roman"/>
        </w:rPr>
        <w:t>Color code: reading, curating tasks in red, computational tasks in purple, experimental tasks in green.</w:t>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r>
        <w:br w:type="page"/>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drawing>
          <wp:inline distT="0" distB="0" distL="0" distR="0">
            <wp:extent cx="5727700" cy="1909445"/>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tretch>
                      <a:fillRect/>
                    </a:stretch>
                  </pic:blipFill>
                  <pic:spPr bwMode="auto">
                    <a:xfrm>
                      <a:off x="0" y="0"/>
                      <a:ext cx="5727700" cy="1909445"/>
                    </a:xfrm>
                    <a:prstGeom prst="rect">
                      <a:avLst/>
                    </a:prstGeom>
                  </pic:spPr>
                </pic:pic>
              </a:graphicData>
            </a:graphic>
          </wp:inline>
        </w:drawing>
      </w:r>
    </w:p>
    <w:p>
      <w:pPr>
        <w:pStyle w:val="Normal"/>
        <w:rPr>
          <w:rFonts w:ascii="Times New Roman" w:hAnsi="Times New Roman" w:cs="Times New Roman"/>
          <w:b/>
          <w:b/>
        </w:rPr>
      </w:pPr>
      <w:r>
        <w:rPr>
          <w:rFonts w:cs="Times New Roman" w:ascii="Times New Roman" w:hAnsi="Times New Roman"/>
          <w:b/>
        </w:rPr>
      </w:r>
    </w:p>
    <w:p>
      <w:pPr>
        <w:pStyle w:val="Normal"/>
        <w:jc w:val="both"/>
        <w:rPr>
          <w:rFonts w:ascii="TimesNewRomanPSMT" w:hAnsi="TimesNewRomanPSMT"/>
        </w:rPr>
      </w:pPr>
      <w:r>
        <w:rPr>
          <w:rFonts w:cs="Times New Roman" w:ascii="Times New Roman" w:hAnsi="Times New Roman"/>
          <w:b/>
        </w:rPr>
        <w:t xml:space="preserve">Supplementary Figure S2: </w:t>
      </w:r>
      <w:r>
        <w:rPr>
          <w:rFonts w:ascii="TimesNewRomanPS" w:hAnsi="TimesNewRomanPS"/>
          <w:b/>
          <w:bCs/>
        </w:rPr>
        <w:t xml:space="preserve">Quality assessment of the logical model, </w:t>
      </w:r>
      <w:r>
        <w:rPr>
          <w:rFonts w:ascii="TimesNewRomanPSMT" w:hAnsi="TimesNewRomanPSMT"/>
        </w:rPr>
        <w:t xml:space="preserve">which compare the phenotypes displayed by the model upon perturbations with observations reported in the literature. The first column indicates the condition: knock-out/inhibition (-) or ectopic expression/activation (+). The second column provides the considered input configurations; all inputs are considered absent but ECM stiffening (ECM), cell-cell contact (CC) and possibly TGFB (1 for activated/present, * for any state). The remaining 10 columns correspond to phenotypes, those marked with a tick symbol are retrieved by the model under the specified condition and input configuration. </w:t>
      </w:r>
    </w:p>
    <w:p>
      <w:pPr>
        <w:pStyle w:val="Normal"/>
        <w:jc w:val="both"/>
        <w:rPr>
          <w:rFonts w:ascii="TimesNewRomanPSMT" w:hAnsi="TimesNewRomanPSMT"/>
        </w:rPr>
      </w:pPr>
      <w:r>
        <w:rPr>
          <w:rFonts w:ascii="TimesNewRomanPSMT" w:hAnsi="TimesNewRomanPSMT"/>
          <w:b/>
        </w:rPr>
        <w:t>(1</w:t>
      </w:r>
      <w:r>
        <w:rPr>
          <w:rFonts w:ascii="TimesNewRomanPSMT" w:hAnsi="TimesNewRomanPSMT"/>
          <w:b/>
          <w:vertAlign w:val="superscript"/>
        </w:rPr>
        <w:t>st</w:t>
      </w:r>
      <w:r>
        <w:rPr>
          <w:rFonts w:ascii="TimesNewRomanPSMT" w:hAnsi="TimesNewRomanPSMT"/>
          <w:b/>
        </w:rPr>
        <w:t xml:space="preserve"> row)</w:t>
      </w:r>
      <w:r>
        <w:rPr>
          <w:rFonts w:ascii="TimesNewRomanPSMT" w:hAnsi="TimesNewRomanPSMT"/>
        </w:rPr>
        <w:t xml:space="preserve"> no perturbation. </w:t>
      </w:r>
    </w:p>
    <w:p>
      <w:pPr>
        <w:pStyle w:val="Normal"/>
        <w:jc w:val="both"/>
        <w:rPr>
          <w:rFonts w:ascii="Times New Roman" w:hAnsi="Times New Roman" w:cs="Times New Roman"/>
        </w:rPr>
      </w:pPr>
      <w:r>
        <w:rPr>
          <w:rFonts w:ascii="TimesNewRomanPSMT" w:hAnsi="TimesNewRomanPSMT"/>
          <w:b/>
        </w:rPr>
        <w:t>(2</w:t>
      </w:r>
      <w:r>
        <w:rPr>
          <w:rFonts w:ascii="TimesNewRomanPSMT" w:hAnsi="TimesNewRomanPSMT"/>
          <w:b/>
          <w:vertAlign w:val="superscript"/>
        </w:rPr>
        <w:t>nd</w:t>
      </w:r>
      <w:r>
        <w:rPr>
          <w:rFonts w:ascii="TimesNewRomanPSMT" w:hAnsi="TimesNewRomanPSMT"/>
          <w:b/>
        </w:rPr>
        <w:t xml:space="preserve"> to 5</w:t>
      </w:r>
      <w:r>
        <w:rPr>
          <w:rFonts w:ascii="TimesNewRomanPSMT" w:hAnsi="TimesNewRomanPSMT"/>
          <w:b/>
          <w:vertAlign w:val="superscript"/>
        </w:rPr>
        <w:t>th</w:t>
      </w:r>
      <w:r>
        <w:rPr>
          <w:rFonts w:ascii="TimesNewRomanPSMT" w:hAnsi="TimesNewRomanPSMT"/>
          <w:b/>
        </w:rPr>
        <w:t xml:space="preserve"> row)</w:t>
      </w:r>
      <w:r>
        <w:rPr>
          <w:rFonts w:ascii="TimesNewRomanPSMT" w:hAnsi="TimesNewRomanPSMT"/>
        </w:rPr>
        <w:t xml:space="preserve"> Consistent with experimental observations showing that cells expressing </w:t>
      </w:r>
      <w:r>
        <w:rPr>
          <w:rFonts w:cs="Times New Roman" w:ascii="Times New Roman" w:hAnsi="Times New Roman"/>
        </w:rPr>
        <w:t>SNAIL or SLUG ectopically, or an activated form of RAS, or exposed to TGFB</w:t>
      </w:r>
      <w:r>
        <w:rPr>
          <w:rFonts w:cs="Times New Roman" w:ascii="Symbol" w:hAnsi="Symbol"/>
        </w:rPr>
        <w:t></w:t>
      </w:r>
      <w:r>
        <w:rPr>
          <w:rFonts w:cs="Times New Roman" w:ascii="Times New Roman" w:hAnsi="Times New Roman"/>
        </w:rPr>
        <w:t xml:space="preserve"> lose their epithelial characteristics and gain mesenchymal traits </w:t>
      </w:r>
      <w:r>
        <w:fldChar w:fldCharType="begin"/>
      </w:r>
      <w:r>
        <w:rPr>
          <w:rFonts w:cs="Times New Roman" w:ascii="Times New Roman" w:hAnsi="Times New Roman"/>
        </w:rPr>
        <w:instrText>ADDIN CSL_CITATION {"citationItems":[{"id":"ITEM-1","itemData":{"DOI":"10.1016/j.celrep.2013.11.034","ISSN":"22111247","author":[{"dropping-particle":"","family":"Javaid","given":"Sarah","non-dropping-particle":"","parse-names":false,"suffix":""},{"dropping-particle":"","family":"Zhang","given":"Jianmin","non-dropping-particle":"","parse-names":false,"suffix":""},{"dropping-particle":"","family":"Anderssen","given":"Endre","non-dropping-particle":"","parse-names":false,"suffix":""},{"dropping-particle":"","family":"Black","given":"Josh C.","non-dropping-particle":"","parse-names":false,"suffix":""},{"dropping-particle":"","family":"Wittner","given":"Ben S.","non-dropping-particle":"","parse-names":false,"suffix":""},{"dropping-particle":"","family":"Tajima","given":"Ken","non-dropping-particle":"","parse-names":false,"suffix":""},{"dropping-particle":"","family":"Ting","given":"David T.","non-dropping-particle":"","parse-names":false,"suffix":""},{"dropping-particle":"","family":"Smolen","given":"Gromoslaw A.","non-dropping-particle":"","parse-names":false,"suffix":""},{"dropping-particle":"","family":"Zubrowski","given":"Matthew","non-dropping-particle":"","parse-names":false,"suffix":""},{"dropping-particle":"","family":"Desai","given":"Rushil","non-dropping-particle":"","parse-names":false,"suffix":""},{"dropping-particle":"","family":"Maheswaran","given":"Shyamala","non-dropping-particle":"","parse-names":false,"suffix":""},{"dropping-particle":"","family":"Ramaswamy","given":"Sridhar","non-dropping-particle":"","parse-names":false,"suffix":""},{"dropping-particle":"","family":"Whetstine","given":"Johnathan R.","non-dropping-particle":"","parse-names":false,"suffix":""},{"dropping-particle":"","family":"Haber","given":"Daniel A.","non-dropping-particle":"","parse-names":false,"suffix":""}],"container-title":"Cell Reports","id":"ITEM-1","issue":"6","issued":{"date-parts":[["2013","12"]]},"page":"1679-1689","title":"Dynamic Chromatin Modification Sustains Epithelial-Mesenchymal Transition following Inducible Expression of Snail-1","type":"article-journal","volume":"5"},"uris":["http://www.mendeley.com/documents/?uuid=51ee375e-8860-4714-940a-1b5c08f00e8a"]},{"id":"ITEM-2","itemData":{"DOI":"10.1083/JCB.127.6.2021","ISSN":"0021-9525","PMID":"7806579","abstract":"The secreted polypeptide transforming growth factor-beta (TGF-beta) exerts its multiple activities through type I and II cell surface receptors. In epithelial cells, activation of the TGF-beta signal transduction pathways leads to inhibition of cell proliferation and an increase in extracellular matrix production. TGF-beta is widely expressed during development and its biological activity has been implicated in epithelial-mesenchymal interactions, e.g., in branching morphogenesis of the lung, kidney, and mammary gland, and in inductive events between mammary epithelium and stroma. In the present study, we investigated the effects of TGF-beta on mouse mammary epithelial cells in vitro. TGF-beta reversibly induced an alteration in the differentiation of normal mammary epithelial NMuMG cells from epithelial to fibroblastic phenotype. The change in cell morphology correlated with (a) decreased expression of the epithelial markers E-cadherin, ZO-1, and desmoplakin I and II; (b) increased expression of mesenchymal markers, such as fibronectin; and (c) a fibroblast-like reorganization of actin fibers. This phenotypic differentiation displays the hallmarks of an epithelial to mesenchymal transdifferentiation event. Since NMuMG cells make high levels of the type I TGF-beta receptor Tsk7L, yet lack expression of the ALK-5/R4 type I receptor which has been reported to mediate TGF-beta responsiveness, we evaluated the role of the Tsk7L receptor in TGF-beta-mediated transdifferentiation. We generated NMuMG cells that stably overexpress a truncated Tsk7L type I receptor that lacks most of the cytoplasmic kinase domain, thus function as a dominant negative mutant. These transfected cells no longer underwent epithelial to mesenchymal morphological change upon exposure to TGF-beta, yet still displayed some TGF-beta-mediated responses. We conclude that TGF-beta has the ability to modulate E-cadherin expression and induce a reversible epithelial to mesenchymal transdifferentiation in epithelial cells. Unlike other transdifferentiating growth factors, such as bFGF and HGF, these changes are accompanied by growth inhibition. Our results also implicate the Tsk7L type I receptor as mediating the TGF-beta-induced epithelial to mesenchymal transition.","author":[{"dropping-particle":"","family":"Miettinen","given":"P J","non-dropping-particle":"","parse-names":false,"suffix":""},{"dropping-particle":"","family":"Ebner","given":"R","non-dropping-particle":"","parse-names":false,"suffix":""},{"dropping-particle":"","family":"Lopez","given":"A R","non-dropping-particle":"","parse-names":false,"suffix":""},{"dropping-particle":"","family":"Derynck","given":"R","non-dropping-particle":"","parse-names":false,"suffix":""}],"container-title":"The Journal of cell biology","id":"ITEM-2","issue":"6 Pt 2","issued":{"date-parts":[["1994","12"]]},"page":"2021-36","publisher":"Rockefeller University Press","title":"TGF-beta induced transdifferentiation of mammary epithelial cells to mesenchymal cells: involvement of type I receptors.","type":"article-journal","volume":"127"},"uris":["http://www.mendeley.com/documents/?uuid=69563b61-fcf3-46a6-8958-073d43e73b4b"]},{"id":"ITEM-3","itemData":{"DOI":"10.1038/onc.2010.509","ISSN":"0950-9232","PMID":"21057535","abstract":"Epithelial-to-mesenchymal transition (EMT) is a critical event in the progression toward cancer metastasis. The intermediate filament protein vimentin is an important marker of EMT and a requisite regulator of mesenchymal cell migration. However, it is not known how vimentin functionally contributes to cancer cell invasion. Here, we report that ectopic expression of oncogenic H-Ras-V12G and Slug induces vimentin expression and migration in pre-malignant breast epithelial cells. Conversely, vimentin expression is necessary for Slug- or H-Ras-V12G-induced EMT-associated migration. Furthermore, silencing of vimentin in breast epithelial cells results in specific changes in invasiveness-related gene expression including upregulation of RAB25 (small GTPase Rab25) and downregulation of AXL (receptor tyrosine kinase Axl), PLAU (plasminogen activator, urokinase) and ITGB4 (integrin β4-subunit). Importantly, gene expression profiling analyses reveal that vimentin expression correlates positively/negatively with these genes also in multiple breast cancer cell lines and breast cancer patient samples. Focusing on the tyrosine kinase Axl, we show that induction of vimentin by EMT is associated with upregulation of Axl expression and that Axl enhances the migratory activity of pre-malignant breast epithelial cells. Using null and knock-down cells and overexpression models, we also show that regulation of breast cancer cell migration in two- and three-dimensional matrices by vimentin is Axl- dependent and that Axl functionally contributes to lung extravasation of breast cancer cells in mice. In conclusion, our data show that vimentin functionally contributes to EMT and is required for induction of Axl expression. Moreover, these results provide a molecular explanation for vimentin-dependent cancer cell migration during EMT by identifying Axl as a key proximal component in this process.","author":[{"dropping-particle":"","family":"Vuoriluoto","given":"K","non-dropping-particle":"","parse-names":false,"suffix":""},{"dropping-particle":"","family":"Haugen","given":"H","non-dropping-particle":"","parse-names":false,"suffix":""},{"dropping-particle":"","family":"Kiviluoto","given":"S","non-dropping-particle":"","parse-names":false,"suffix":""},{"dropping-particle":"","family":"Mpindi","given":"J-P","non-dropping-particle":"","parse-names":false,"suffix":""},{"dropping-particle":"","family":"Nevo","given":"J","non-dropping-particle":"","parse-names":false,"suffix":""},{"dropping-particle":"","family":"Gjerdrum","given":"C","non-dropping-particle":"","parse-names":false,"suffix":""},{"dropping-particle":"","family":"Tiron","given":"C","non-dropping-particle":"","parse-names":false,"suffix":""},{"dropping-particle":"","family":"Lorens","given":"J B","non-dropping-particle":"","parse-names":false,"suffix":""},{"dropping-particle":"","family":"Ivaska","given":"J","non-dropping-particle":"","parse-names":false,"suffix":""}],"container-title":"Oncogene","id":"ITEM-3","issue":"12","issued":{"date-parts":[["2011","3"]]},"page":"1436-1448","title":"Vimentin regulates EMT induction by Slug and oncogenic H-Ras and migration by governing Axl expression in breast cancer","type":"article-journal","volume":"30"},"uris":["http://www.mendeley.com/documents/?uuid=e8f33388-927f-4074-86d0-1407e65cff5a"]},{"id":"ITEM-4","itemData":{"DOI":"10.1016/J.BBRC.2013.03.124","ISSN":"0006-291X","abstract":"Inactivation of the tumor suppressor p53 and activation of the oncogene Ras are the two most pivotal events in tumor development. However, potential intersection between p53 and Ras activity during an EMT process, which plays a crucial role during malignant tumor progression, remains elusive. Here, we report that increased expression of wild type p53 suppressed H-RasV12-induced EMT phenotypes and restrained stem cell properties, through downregulation of MEK-ERK signaling pathways. In vivo experiments showed that p53 was able to inhibit H-RasV12-induced tumor growth of human mammary epithelial cells. This study elucidates a novel correlation between the tumor suppressor gene p53 and the oncogene Ras in regulating EMT program, and expands the knowledge about the function of p53 in EMT process.","author":[{"dropping-particle":"","family":"Zhang","given":"Jianchao","non-dropping-particle":"","parse-names":false,"suffix":""},{"dropping-particle":"","family":"Lei","given":"Yang","non-dropping-particle":"","parse-names":false,"suffix":""},{"dropping-particle":"","family":"Gao","given":"Xiaoge","non-dropping-particle":"","parse-names":false,"suffix":""},{"dropping-particle":"","family":"Liang","given":"Qian","non-dropping-particle":"","parse-names":false,"suffix":""},{"dropping-particle":"","family":"Li","given":"Lili","non-dropping-particle":"","parse-names":false,"suffix":""},{"dropping-particle":"","family":"Feng","given":"Jingxin","non-dropping-particle":"","parse-names":false,"suffix":""},{"dropping-particle":"","family":"Hou","given":"Pingfu","non-dropping-particle":"","parse-names":false,"suffix":""},{"dropping-particle":"","family":"Han","given":"Liping","non-dropping-particle":"","parse-names":false,"suffix":""},{"dropping-particle":"","family":"Zhang","given":"Yu","non-dropping-particle":"","parse-names":false,"suffix":""},{"dropping-particle":"","family":"Huang","given":"Baiqu","non-dropping-particle":"","parse-names":false,"suffix":""},{"dropping-particle":"","family":"Lu","given":"Jun","non-dropping-particle":"","parse-names":false,"suffix":""}],"container-title":"Biochemical and Biophysical Research Communications","id":"ITEM-4","issue":"3","issued":{"date-parts":[["2013","5","10"]]},"page":"606-613","publisher":"Academic Press","title":"p53 Attenuates the oncogenic Ras-induced epithelial–mesenchymal transition in human mammary epithelial cells","type":"article-journal","volume":"434"},"uris":["http://www.mendeley.com/documents/?uuid=1d5f8a72-8fa5-335c-b1cd-7fbd9f3be564"]}],"mendeley":{"formattedCitation":"(1–4)","manualFormatting":"(124–127)","plainTextFormattedCitation":"(1–4)"},"properties":{"noteIndex":0},"schema":"https://github.com/citation-style-language/schema/raw/master/csl-citation.json"}</w:instrText>
      </w:r>
      <w:r>
        <w:rPr>
          <w:rFonts w:cs="Times New Roman" w:ascii="Times New Roman" w:hAnsi="Times New Roman"/>
        </w:rPr>
      </w:r>
      <w:r>
        <w:rPr>
          <w:rFonts w:cs="Times New Roman" w:ascii="Times New Roman" w:hAnsi="Times New Roman"/>
        </w:rPr>
        <w:fldChar w:fldCharType="separate"/>
      </w:r>
      <w:r>
        <w:rPr>
          <w:rFonts w:cs="Times New Roman" w:ascii="Times New Roman" w:hAnsi="Times New Roman"/>
        </w:rPr>
        <w:t>(124–127)</w:t>
      </w:r>
      <w:r>
        <w:rPr>
          <w:rFonts w:cs="Times New Roman" w:ascii="Times New Roman" w:hAnsi="Times New Roman"/>
        </w:rPr>
      </w:r>
      <w:r>
        <w:rPr>
          <w:rFonts w:cs="Times New Roman" w:ascii="Times New Roman" w:hAnsi="Times New Roman"/>
        </w:rPr>
        <w:fldChar w:fldCharType="end"/>
      </w:r>
      <w:r>
        <w:rPr>
          <w:rFonts w:cs="Times New Roman" w:ascii="Times New Roman" w:hAnsi="Times New Roman"/>
        </w:rPr>
        <w:t xml:space="preserve">, fixing SNAIL, SLUG, RAS or the input TGFB to 1 in the model promoted the conversion of E1 and H3 into M phenotypes. </w:t>
      </w:r>
    </w:p>
    <w:p>
      <w:pPr>
        <w:pStyle w:val="Normal"/>
        <w:jc w:val="both"/>
        <w:rPr>
          <w:rFonts w:ascii="Times New Roman" w:hAnsi="Times New Roman" w:cs="Times New Roman"/>
        </w:rPr>
      </w:pPr>
      <w:r>
        <w:rPr>
          <w:rFonts w:cs="Times New Roman" w:ascii="Times New Roman" w:hAnsi="Times New Roman"/>
          <w:b/>
        </w:rPr>
        <w:t>(6</w:t>
      </w:r>
      <w:r>
        <w:rPr>
          <w:rFonts w:cs="Times New Roman" w:ascii="Times New Roman" w:hAnsi="Times New Roman"/>
          <w:b/>
          <w:vertAlign w:val="superscript"/>
        </w:rPr>
        <w:t>th</w:t>
      </w:r>
      <w:r>
        <w:rPr>
          <w:rFonts w:cs="Times New Roman" w:ascii="Times New Roman" w:hAnsi="Times New Roman"/>
          <w:b/>
        </w:rPr>
        <w:t xml:space="preserve"> and 7</w:t>
      </w:r>
      <w:r>
        <w:rPr>
          <w:rFonts w:cs="Times New Roman" w:ascii="Times New Roman" w:hAnsi="Times New Roman"/>
          <w:b/>
          <w:vertAlign w:val="superscript"/>
        </w:rPr>
        <w:t>th</w:t>
      </w:r>
      <w:r>
        <w:rPr>
          <w:rFonts w:cs="Times New Roman" w:ascii="Times New Roman" w:hAnsi="Times New Roman"/>
          <w:b/>
        </w:rPr>
        <w:t xml:space="preserve"> row) </w:t>
      </w:r>
      <w:r>
        <w:rPr>
          <w:rFonts w:cs="Times New Roman" w:ascii="Times New Roman" w:hAnsi="Times New Roman"/>
        </w:rPr>
        <w:t xml:space="preserve">TGFB-induced EMT requires SNAIL upregulation and miR200 downregulation, as silencing SNAIL or forcing miR200 expression in cells exposed to TGFB prevents ECad loss </w:t>
      </w:r>
      <w:r>
        <w:fldChar w:fldCharType="begin"/>
      </w:r>
      <w:r>
        <w:rPr>
          <w:rFonts w:cs="Times New Roman" w:ascii="Times New Roman" w:hAnsi="Times New Roman"/>
        </w:rPr>
        <w:instrText>ADDIN CSL_CITATION {"citationItems":[{"id":"ITEM-1","itemData":{"DOI":"10.1242/jcs.068692","ISSN":"0021-9533","PMID":"20930141","abstract":"Although TGF-β suppresses early stages of tumour development, it later contributes to tumour progression when cells become resistant to its suppressive effects. In addition to circumventing TGF-β-induced growth arrest and apoptosis, malignant tumour cells become capable of undergoing epithelial-to-mesenchymal transition (EMT), favouring invasion and metastasis. Therefore, defining the mechanisms that allow cancer cells to escape from the suppressive effects of TGF-β is fundamental to understand tumour progression and to design specific therapies. Here, we have examined the role of Snail1 as a suppressor of TGF-β-induced apoptosis in murine non-transformed hepatocytes, rat and human hepatocarcinoma cell lines and transgenic mice. We show that Snail1 confers resistance to TGF-β-induced cell death and that it is sufficient to induce EMT in adult hepatocytes, cells otherwise refractory to this transition upon exposure to TGF-β. Furthermore, we show that Snail1 silencing prevents EMT and restores the cell death response induced by TGF-β. As Snail1 is a known target of TGF-β signalling, our data indicate that Snail1 might transduce the tumour-promoting effects of TGF-β, namely the EMT concomitant with the resistance to cell death.","author":[{"dropping-particle":"","family":"Franco","given":"D. L.","non-dropping-particle":"","parse-names":false,"suffix":""},{"dropping-particle":"","family":"Mainez","given":"J.","non-dropping-particle":"","parse-names":false,"suffix":""},{"dropping-particle":"","family":"Vega","given":"S.","non-dropping-particle":"","parse-names":false,"suffix":""},{"dropping-particle":"","family":"Sancho","given":"P.","non-dropping-particle":"","parse-names":false,"suffix":""},{"dropping-particle":"","family":"Murillo","given":"M. M.","non-dropping-particle":"","parse-names":false,"suffix":""},{"dropping-particle":"","family":"Frutos","given":"C. A.","non-dropping-particle":"de","parse-names":false,"suffix":""},{"dropping-particle":"","family":"Castillo","given":"G.","non-dropping-particle":"del","parse-names":false,"suffix":""},{"dropping-particle":"","family":"Lopez-Blau","given":"C.","non-dropping-particle":"","parse-names":false,"suffix":""},{"dropping-particle":"","family":"Fabregat","given":"I.","non-dropping-particle":"","parse-names":false,"suffix":""},{"dropping-particle":"","family":"Nieto","given":"M. A.","non-dropping-particle":"","parse-names":false,"suffix":""}],"container-title":"Journal of Cell Science","id":"ITEM-1","issue":"20","issued":{"date-parts":[["2010","10","15"]]},"page":"3467-3477","title":"Snail1 suppresses TGF- -induced apoptosis and is sufficient to trigger EMT in hepatocytes","type":"article-journal","volume":"123"},"uris":["http://www.mendeley.com/documents/?uuid=5249d69c-84e6-3697-b4ff-46b8087c6aa1"]},{"id":"ITEM-2","itemData":{"DOI":"10.1038/ncb1722","ISSN":"1465-7392","PMID":"18376396","abstract":"Epithelial to mesenchymal transition (EMT) facilitates tissue remodelling during embryonic development and is viewed as an essential early step in tumour metastasis. We found that all five members of the microRNA-200 family (miR-200a, miR-200b, miR-200c, miR-141 and miR-429) and miR-205 were markedly downregulated in cells that had undergone EMT in response to transforming growth factor (TGF)-beta or to ectopic expression of the protein tyrosine phosphatase Pez. Enforced expression of the miR-200 family alone was sufficient to prevent TGF-beta-induced EMT. Together, these microRNAs cooperatively regulate expression of the E-cadherin transcriptional repressors ZEB1 (also known as deltaEF1) and SIP1 (also known as ZEB2), factors previously implicated in EMT and tumour metastasis. Inhibition of the microRNAs was sufficient to induce EMT in a process requiring upregulation of ZEB1 and/or SIP1. Conversely, ectopic expression of these microRNAs in mesenchymal cells initiated mesenchymal to epithelial transition (MET). Consistent with their role in regulating EMT, expression of these microRNAs was found to be lost in invasive breast cancer cell lines with mesenchymal phenotype. Expression of the miR-200 family was also lost in regions of metaplastic breast cancer specimens lacking E-cadherin. These data suggest that downregulation of the microRNAs may be an important step in tumour progression.","author":[{"dropping-particle":"","family":"Gregory","given":"Philip A.","non-dropping-particle":"","parse-names":false,"suffix":""},{"dropping-particle":"","family":"Bert","given":"Andrew G.","non-dropping-particle":"","parse-names":false,"suffix":""},{"dropping-particle":"","family":"Paterson","given":"Emily L.","non-dropping-particle":"","parse-names":false,"suffix":""},{"dropping-particle":"","family":"Barry","given":"Simon C.","non-dropping-particle":"","parse-names":false,"suffix":""},{"dropping-particle":"","family":"Tsykin","given":"Anna","non-dropping-particle":"","parse-names":false,"suffix":""},{"dropping-particle":"","family":"Farshid","given":"Gelareh","non-dropping-particle":"","parse-names":false,"suffix":""},{"dropping-particle":"","family":"Vadas","given":"Mathew A.","non-dropping-particle":"","parse-names":false,"suffix":""},{"dropping-particle":"","family":"Khew-Goodall","given":"Yeesim","non-dropping-particle":"","parse-names":false,"suffix":""},{"dropping-particle":"","family":"Goodall","given":"Gregory J.","non-dropping-particle":"","parse-names":false,"suffix":""}],"container-title":"Nature Cell Biology","id":"ITEM-2","issue":"5","issued":{"date-parts":[["2008","5","30"]]},"page":"593-601","title":"The miR-200 family and miR-205 regulate epithelial to mesenchymal transition by targeting ZEB1 and SIP1","type":"article-journal","volume":"10"},"uris":["http://www.mendeley.com/documents/?uuid=90960a94-602b-3eef-8484-ded3c3b44f01"]}],"mendeley":{"formattedCitation":"(5,6)","plainTextFormattedCitation":"(5,6)","previouslyFormattedCitation":"(5,6)"},"properties":{"noteIndex":0},"schema":"https://github.com/citation-style-language/schema/raw/master/csl-citation.json"}</w:instrText>
      </w:r>
      <w:r>
        <w:rPr>
          <w:rFonts w:cs="Times New Roman" w:ascii="Times New Roman" w:hAnsi="Times New Roman"/>
        </w:rPr>
      </w:r>
      <w:r>
        <w:rPr>
          <w:rFonts w:cs="Times New Roman" w:ascii="Times New Roman" w:hAnsi="Times New Roman"/>
        </w:rPr>
        <w:fldChar w:fldCharType="separate"/>
      </w:r>
      <w:r>
        <w:rPr>
          <w:rFonts w:cs="Times New Roman" w:ascii="Times New Roman" w:hAnsi="Times New Roman"/>
        </w:rPr>
        <w:t>(128,129)</w:t>
      </w:r>
      <w:r>
        <w:rPr>
          <w:rFonts w:cs="Times New Roman" w:ascii="Times New Roman" w:hAnsi="Times New Roman"/>
        </w:rPr>
      </w:r>
      <w:r>
        <w:rPr>
          <w:rFonts w:cs="Times New Roman" w:ascii="Times New Roman" w:hAnsi="Times New Roman"/>
        </w:rPr>
        <w:fldChar w:fldCharType="end"/>
      </w:r>
      <w:r>
        <w:rPr>
          <w:rFonts w:cs="Times New Roman" w:ascii="Times New Roman" w:hAnsi="Times New Roman"/>
        </w:rPr>
        <w:t xml:space="preserve">. According to these experimental observations, model perturbations showed that setting TGFB and miR200 at 1 or TGFB at 1 and SNAIL at 0, promoted the appearance of hybrid phenotypes, characterized by the presence of ECad. </w:t>
      </w:r>
    </w:p>
    <w:p>
      <w:pPr>
        <w:pStyle w:val="Normal"/>
        <w:jc w:val="both"/>
        <w:rPr>
          <w:rFonts w:ascii="Times New Roman" w:hAnsi="Times New Roman" w:cs="Times New Roman"/>
        </w:rPr>
      </w:pPr>
      <w:r>
        <w:rPr>
          <w:rFonts w:cs="Times New Roman" w:ascii="Times New Roman" w:hAnsi="Times New Roman"/>
          <w:b/>
        </w:rPr>
        <w:t>(8</w:t>
      </w:r>
      <w:r>
        <w:rPr>
          <w:rFonts w:cs="Times New Roman" w:ascii="Times New Roman" w:hAnsi="Times New Roman"/>
          <w:b/>
          <w:vertAlign w:val="superscript"/>
        </w:rPr>
        <w:t>th</w:t>
      </w:r>
      <w:r>
        <w:rPr>
          <w:rFonts w:cs="Times New Roman" w:ascii="Times New Roman" w:hAnsi="Times New Roman"/>
          <w:b/>
        </w:rPr>
        <w:t xml:space="preserve"> row)</w:t>
      </w:r>
      <w:r>
        <w:rPr>
          <w:rFonts w:cs="Times New Roman" w:ascii="Times New Roman" w:hAnsi="Times New Roman"/>
        </w:rPr>
        <w:t xml:space="preserve"> conversely, the model with a gain of FAK_SRC activity (FAK_SRC=2) was sufficient to induce phenotypes that lack AJs (H2, M2 and M3), reminiscent of the effect of FAK or SRC in promoting AJ disassembly </w:t>
      </w:r>
      <w:r>
        <w:fldChar w:fldCharType="begin"/>
      </w:r>
      <w:r>
        <w:rPr>
          <w:rFonts w:cs="Times New Roman" w:ascii="Times New Roman" w:hAnsi="Times New Roman"/>
        </w:rPr>
        <w:instrText>ADDIN CSL_CITATION {"citationItems":[{"id":"ITEM-1","itemData":{"ISSN":"0021-9525","PMID":"8425900","abstract":"Loss of histotypic organization of epithelial cells is a common feature in normal development as well as in the invasion of carcinomas. Here we show that the v-src oncogene is a potent effector of epithelial differentiation and invasiveness. MDCK epithelial cells transformed with a temperature-sensitive mutant of v-src exhibit a strictly epithelial phenotype at the nonpermissive temperature for pp60v-src activity (40.5 degrees C) but rapidly loose cell-to-cell contacts and acquire a fibroblast-like morphology after culture at the permissive temperature (35 degrees C). Furthermore, the invasiveness of the cells into collagen gels or into chick heart fragments was increased at the permissive temperature. The profound effects of v-src on intercellular adhesion were not linked to changes in the levels of expression of the epithelial cell adhesion molecule E-cadherin. Rather, we observed an increase in tyrosine phosphorylation of E-cadherin and, in particular, of the associated protein beta-catenin. These results suggest a mechanism by which v-src counteracts junctional assembly and thereby promotes invasiveness and dedifferentiation of epithelial cells through phosphorylation of the E-cadherin/catenin complex.","author":[{"dropping-particle":"","family":"Behrens","given":"J","non-dropping-particle":"","parse-names":false,"suffix":""},{"dropping-particle":"","family":"Vakaet","given":"L","non-dropping-particle":"","parse-names":false,"suffix":""},{"dropping-particle":"","family":"Friis","given":"R","non-dropping-particle":"","parse-names":false,"suffix":""},{"dropping-particle":"","family":"Winterhager","given":"E","non-dropping-particle":"","parse-names":false,"suffix":""},{"dropping-particle":"","family":"Roy","given":"F","non-dropping-particle":"Van","parse-names":false,"suffix":""},{"dropping-particle":"","family":"Mareel","given":"M M","non-dropping-particle":"","parse-names":false,"suffix":""},{"dropping-particle":"","family":"Birchmeier","given":"W","non-dropping-particle":"","parse-names":false,"suffix":""}],"container-title":"The Journal of cell biology","id":"ITEM-1","issue":"3","issued":{"date-parts":[["1993","2"]]},"page":"757-66","title":"Loss of epithelial differentiation and gain of invasiveness correlates with tyrosine phosphorylation of the E-cadherin/beta-catenin complex in cells transformed with a temperature-sensitive v-SRC gene.","type":"article-journal","volume":"120"},"uris":["http://www.mendeley.com/documents/?uuid=30a0df51-2d01-3a7a-9ca3-36fb2198dd0e"]}],"mendeley":{"formattedCitation":"(7)","plainTextFormattedCitation":"(7)","previouslyFormattedCitation":"(7)"},"properties":{"noteIndex":0},"schema":"https://github.com/citation-style-language/schema/raw/master/csl-citation.json"}</w:instrText>
      </w:r>
      <w:r>
        <w:rPr>
          <w:rFonts w:cs="Times New Roman" w:ascii="Times New Roman" w:hAnsi="Times New Roman"/>
        </w:rPr>
      </w:r>
      <w:r>
        <w:rPr>
          <w:rFonts w:cs="Times New Roman" w:ascii="Times New Roman" w:hAnsi="Times New Roman"/>
        </w:rPr>
        <w:fldChar w:fldCharType="separate"/>
      </w:r>
      <w:r>
        <w:rPr>
          <w:rFonts w:cs="Times New Roman" w:ascii="Times New Roman" w:hAnsi="Times New Roman"/>
        </w:rPr>
        <w:t>(130)</w:t>
      </w:r>
      <w:r>
        <w:rPr>
          <w:rFonts w:cs="Times New Roman" w:ascii="Times New Roman" w:hAnsi="Times New Roman"/>
        </w:rPr>
      </w:r>
      <w:r>
        <w:rPr>
          <w:rFonts w:cs="Times New Roman" w:ascii="Times New Roman" w:hAnsi="Times New Roman"/>
        </w:rPr>
        <w:fldChar w:fldCharType="end"/>
      </w:r>
      <w:r>
        <w:rPr>
          <w:rFonts w:cs="Times New Roman" w:ascii="Times New Roman" w:hAnsi="Times New Roman"/>
        </w:rPr>
        <w:t>.</w:t>
      </w:r>
    </w:p>
    <w:p>
      <w:pPr>
        <w:pStyle w:val="Normal"/>
        <w:jc w:val="both"/>
        <w:rPr/>
      </w:pPr>
      <w:r>
        <w:rPr>
          <w:rFonts w:cs="Times New Roman" w:ascii="Times New Roman" w:hAnsi="Times New Roman"/>
          <w:b/>
        </w:rPr>
        <w:t>(9</w:t>
      </w:r>
      <w:r>
        <w:rPr>
          <w:rFonts w:cs="Times New Roman" w:ascii="Times New Roman" w:hAnsi="Times New Roman"/>
          <w:b/>
          <w:vertAlign w:val="superscript"/>
        </w:rPr>
        <w:t>th</w:t>
      </w:r>
      <w:r>
        <w:rPr>
          <w:rFonts w:cs="Times New Roman" w:ascii="Times New Roman" w:hAnsi="Times New Roman"/>
          <w:b/>
        </w:rPr>
        <w:t xml:space="preserve"> row)</w:t>
      </w:r>
      <w:r>
        <w:rPr>
          <w:rFonts w:cs="Times New Roman" w:ascii="Times New Roman" w:hAnsi="Times New Roman"/>
        </w:rPr>
        <w:t xml:space="preserve"> phenotypes reached by the model with an EGFR gain of function (EGFR=1) exhibited all migrating abilities, reminiscent of the behavior of carcinoma cells overexpressing EGFR and treated with EGF </w:t>
      </w:r>
      <w:r>
        <w:fldChar w:fldCharType="begin"/>
      </w:r>
      <w:r>
        <w:rPr>
          <w:rFonts w:cs="Times New Roman" w:ascii="Times New Roman" w:hAnsi="Times New Roman"/>
        </w:rPr>
        <w:instrText>ADDIN CSL_CITATION {"citationItems":[{"id":"ITEM-1","itemData":{"DOI":"10.1128/MCB.21.12.4016-4031.2001","ISBN":"0270-7306 (Print)\\r0270-7306 (Linking)","ISSN":"0270-7306","PMID":"11359909","abstract":"Upregulated epidermal growth factor (EGF) receptor (EGFR) expression and EGFR-induced signaling have been correlated with progression to invasion and metastasis in a wide variety of carcinomas, but the mechanism behind this is not well understood. We show here that, in various human carcinoma cells that overexpress EGFR, EGF treatment induced rapid tyrosine dephosphorylation of focal adhesion kinase (FAK) associated with downregulation of its kinase activity. The downregulation of FAK activity was both required and sufficient for EGF-induced refractile morphological changes, detachment of cells from the extracellular matrix, and increased tumor cell motility, invasion, and metastasis. Tumor cells with downregulated FAK activity became less adherent to the extracellular matrix. However, once cells started reattaching, FAK activity was restored by activated integrin signaling. Moreover, this process of readhesion and spreading could not be abrogated by further EGF stimulation. Interruption of transforming growth factor alpha-EGFR autocrine regulation with an EGFR tyrosine kinase inhibitor led to a substantial increase in FAK tyrosine phosphorylation and inhibition of tumor cell invasion in vitro. Consistent with this, FAK tyrosine phosphorylation was reduced in cells from tumors growing in transplanted, athymic, nude mice, which have an intact autocrine regulation of the EGFR. We suggest that the dynamic regulation of FAK activity, initiated by EGF-induced downregulation of FAK leading to cell detachment and increased motility and invasion, followed by integrin-dependent reactivation during readhesion, plays a role in EGF-associated tumor invasion and metastasis.","author":[{"dropping-particle":"","family":"Lu","given":"Z.","non-dropping-particle":"","parse-names":false,"suffix":""},{"dropping-particle":"","family":"Jiang","given":"G.","non-dropping-particle":"","parse-names":false,"suffix":""},{"dropping-particle":"","family":"Blume-Jensen","given":"P.","non-dropping-particle":"","parse-names":false,"suffix":""},{"dropping-particle":"","family":"Hunter","given":"T.","non-dropping-particle":"","parse-names":false,"suffix":""}],"container-title":"Molecular and Cellular Biology","id":"ITEM-1","issue":"12","issued":{"date-parts":[["2001","6"]]},"page":"4016-4031","title":"Epidermal Growth Factor-Induced Tumor Cell Invasion and Metastasis Initiated by Dephosphorylation and Downregulation of Focal Adhesion Kinase","type":"article-journal","volume":"21"},"uris":["http://www.mendeley.com/documents/?uuid=1dad0fd8-a2b8-3de3-af7b-cd6e11824259","http://www.mendeley.com/documents/?uuid=907f6b41-78f0-45df-8b63-590e59aa1760"]}],"mendeley":{"formattedCitation":"(8)","plainTextFormattedCitation":"(8)","previouslyFormattedCitation":"(8)"},"properties":{"noteIndex":0},"schema":"https://github.com/citation-style-language/schema/raw/master/csl-citation.json"}</w:instrText>
      </w:r>
      <w:r>
        <w:rPr>
          <w:rFonts w:cs="Times New Roman" w:ascii="Times New Roman" w:hAnsi="Times New Roman"/>
        </w:rPr>
      </w:r>
      <w:r>
        <w:rPr>
          <w:rFonts w:cs="Times New Roman" w:ascii="Times New Roman" w:hAnsi="Times New Roman"/>
        </w:rPr>
        <w:fldChar w:fldCharType="separate"/>
      </w:r>
      <w:r>
        <w:rPr>
          <w:rFonts w:cs="Times New Roman" w:ascii="Times New Roman" w:hAnsi="Times New Roman"/>
        </w:rPr>
        <w:t>(131)</w:t>
      </w:r>
      <w:r>
        <w:rPr>
          <w:rFonts w:cs="Times New Roman" w:ascii="Times New Roman" w:hAnsi="Times New Roman"/>
        </w:rPr>
      </w:r>
      <w:r>
        <w:rPr>
          <w:rFonts w:cs="Times New Roman" w:ascii="Times New Roman" w:hAnsi="Times New Roman"/>
        </w:rPr>
        <w:fldChar w:fldCharType="end"/>
      </w:r>
      <w:r>
        <w:rPr>
          <w:rFonts w:cs="Times New Roman" w:ascii="Times New Roman" w:hAnsi="Times New Roman"/>
        </w:rPr>
        <w:t>.</w:t>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r>
        <w:br w:type="page"/>
      </w:r>
    </w:p>
    <w:p>
      <w:pPr>
        <w:pStyle w:val="Normal"/>
        <w:rPr>
          <w:rFonts w:ascii="Times New Roman" w:hAnsi="Times New Roman" w:cs="Times New Roman"/>
          <w:b/>
          <w:b/>
        </w:rPr>
      </w:pPr>
      <w:r>
        <w:rPr>
          <w:rFonts w:cs="Times New Roman" w:ascii="Times New Roman" w:hAnsi="Times New Roman"/>
          <w:b/>
        </w:rPr>
      </w:r>
    </w:p>
    <w:p>
      <w:pPr>
        <w:pStyle w:val="Normal"/>
        <w:rPr/>
      </w:pPr>
      <w:r>
        <w:rPr/>
      </w:r>
    </w:p>
    <w:p>
      <w:pPr>
        <w:pStyle w:val="Normal"/>
        <w:rPr/>
      </w:pPr>
      <w:r>
        <w:rPr/>
        <w:drawing>
          <wp:inline distT="0" distB="0" distL="0" distR="0">
            <wp:extent cx="5727700" cy="161734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tretch>
                      <a:fillRect/>
                    </a:stretch>
                  </pic:blipFill>
                  <pic:spPr bwMode="auto">
                    <a:xfrm>
                      <a:off x="0" y="0"/>
                      <a:ext cx="5727700" cy="1617345"/>
                    </a:xfrm>
                    <a:prstGeom prst="rect">
                      <a:avLst/>
                    </a:prstGeom>
                  </pic:spPr>
                </pic:pic>
              </a:graphicData>
            </a:graphic>
          </wp:inline>
        </w:drawing>
      </w:r>
    </w:p>
    <w:p>
      <w:pPr>
        <w:pStyle w:val="Normal"/>
        <w:jc w:val="both"/>
        <w:rPr>
          <w:rFonts w:ascii="Times New Roman" w:hAnsi="Times New Roman" w:cs="Times New Roman"/>
          <w:b/>
          <w:b/>
        </w:rPr>
      </w:pPr>
      <w:r>
        <w:rPr>
          <w:rFonts w:cs="Times New Roman" w:ascii="Times New Roman" w:hAnsi="Times New Roman"/>
          <w:b/>
        </w:rPr>
      </w:r>
    </w:p>
    <w:p>
      <w:pPr>
        <w:pStyle w:val="Normal"/>
        <w:jc w:val="both"/>
        <w:rPr/>
      </w:pPr>
      <w:r>
        <w:rPr>
          <w:rFonts w:cs="Times New Roman" w:ascii="Times New Roman" w:hAnsi="Times New Roman"/>
          <w:b/>
        </w:rPr>
        <w:t>Supplementary Figure S3: PTPRK, but not PTPRU or PTPRM, is downregulated by SRC (A)</w:t>
      </w:r>
      <w:r>
        <w:rPr>
          <w:rFonts w:cs="Times New Roman" w:ascii="Times New Roman" w:hAnsi="Times New Roman"/>
        </w:rPr>
        <w:t xml:space="preserve"> PTPRK or </w:t>
      </w:r>
      <w:r>
        <w:rPr>
          <w:rFonts w:cs="Times New Roman" w:ascii="Times New Roman" w:hAnsi="Times New Roman"/>
          <w:b/>
        </w:rPr>
        <w:t>(B)</w:t>
      </w:r>
      <w:r>
        <w:rPr>
          <w:rFonts w:cs="Times New Roman" w:ascii="Times New Roman" w:hAnsi="Times New Roman"/>
        </w:rPr>
        <w:t xml:space="preserve"> PTPRU or </w:t>
      </w:r>
      <w:r>
        <w:rPr>
          <w:rFonts w:cs="Times New Roman" w:ascii="Times New Roman" w:hAnsi="Times New Roman"/>
          <w:b/>
        </w:rPr>
        <w:t>(C)</w:t>
      </w:r>
      <w:r>
        <w:rPr>
          <w:rFonts w:cs="Times New Roman" w:ascii="Times New Roman" w:hAnsi="Times New Roman"/>
        </w:rPr>
        <w:t xml:space="preserve"> PTPRM mRNA levels normalized to GAPDH on extracts from MCF10A-ER-SRC cells treated with EtOH or TAM for 36 hours. Statistical significance was calculated using </w:t>
      </w:r>
      <w:r>
        <w:rPr>
          <w:rFonts w:eastAsia="Cambria" w:cs="Times New Roman" w:ascii="Times New Roman" w:hAnsi="Times New Roman"/>
        </w:rPr>
        <w:t xml:space="preserve">unpaired t-test. </w:t>
      </w:r>
      <w:r>
        <w:rPr>
          <w:rFonts w:cs="Times New Roman" w:ascii="Times New Roman" w:hAnsi="Times New Roman"/>
        </w:rPr>
        <w:t xml:space="preserve">Data are presented as mean </w:t>
      </w:r>
      <w:r>
        <w:rPr>
          <w:rFonts w:eastAsia="Times New Roman" w:cs="Times New Roman" w:ascii="Times New Roman" w:hAnsi="Times New Roman"/>
        </w:rPr>
        <w:t>± SD.</w:t>
      </w:r>
      <w:r>
        <w:rPr>
          <w:rStyle w:val="Strong"/>
          <w:rFonts w:cs="Times New Roman" w:ascii="Times New Roman" w:hAnsi="Times New Roman"/>
          <w:b w:val="false"/>
        </w:rPr>
        <w:t xml:space="preserve"> n.s. indicate non-significant; **** indicates P&lt;0.000 (unpaired t-test).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727700" cy="218503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5"/>
                    <a:stretch>
                      <a:fillRect/>
                    </a:stretch>
                  </pic:blipFill>
                  <pic:spPr bwMode="auto">
                    <a:xfrm>
                      <a:off x="0" y="0"/>
                      <a:ext cx="5727700" cy="2185035"/>
                    </a:xfrm>
                    <a:prstGeom prst="rect">
                      <a:avLst/>
                    </a:prstGeom>
                  </pic:spPr>
                </pic:pic>
              </a:graphicData>
            </a:graphic>
          </wp:inline>
        </w:drawing>
      </w:r>
    </w:p>
    <w:p>
      <w:pPr>
        <w:pStyle w:val="Normal"/>
        <w:rPr/>
      </w:pPr>
      <w:r>
        <w:rPr/>
      </w:r>
    </w:p>
    <w:p>
      <w:pPr>
        <w:pStyle w:val="Normal"/>
        <w:jc w:val="both"/>
        <w:rPr>
          <w:rFonts w:ascii="Times New Roman" w:hAnsi="Times New Roman" w:cs="Times New Roman"/>
          <w:b/>
          <w:b/>
        </w:rPr>
      </w:pPr>
      <w:r>
        <w:rPr>
          <w:rFonts w:cs="Times New Roman" w:ascii="Times New Roman" w:hAnsi="Times New Roman"/>
          <w:b/>
        </w:rPr>
      </w:r>
    </w:p>
    <w:p>
      <w:pPr>
        <w:pStyle w:val="Normal"/>
        <w:jc w:val="both"/>
        <w:rPr/>
      </w:pPr>
      <w:r>
        <w:rPr>
          <w:rFonts w:cs="Times New Roman" w:ascii="Times New Roman" w:hAnsi="Times New Roman"/>
          <w:b/>
        </w:rPr>
        <w:t xml:space="preserve">Supplementary Figure S4: </w:t>
      </w:r>
      <w:bookmarkStart w:id="0" w:name="_GoBack"/>
      <w:bookmarkEnd w:id="0"/>
      <w:r>
        <w:rPr>
          <w:rFonts w:cs="Times New Roman" w:ascii="Times New Roman" w:hAnsi="Times New Roman"/>
          <w:b/>
        </w:rPr>
        <w:t xml:space="preserve">SRC and ECM stiffening synergize to induce SLUG and ZEB expression. </w:t>
      </w:r>
      <w:r>
        <w:rPr>
          <w:rFonts w:cs="Times New Roman" w:ascii="Times New Roman" w:hAnsi="Times New Roman"/>
        </w:rPr>
        <w:t>S</w:t>
      </w:r>
      <w:r>
        <w:rPr>
          <w:rFonts w:cs="Times New Roman" w:ascii="Times New Roman" w:hAnsi="Times New Roman"/>
        </w:rPr>
        <w:t xml:space="preserve">imulation of SLUG </w:t>
      </w:r>
      <w:r>
        <w:rPr>
          <w:rFonts w:cs="Times New Roman" w:ascii="Times New Roman" w:hAnsi="Times New Roman"/>
          <w:b/>
        </w:rPr>
        <w:t>(A)</w:t>
      </w:r>
      <w:r>
        <w:rPr>
          <w:rFonts w:cs="Times New Roman" w:ascii="Times New Roman" w:hAnsi="Times New Roman"/>
        </w:rPr>
        <w:t xml:space="preserve"> or ZEB </w:t>
      </w:r>
      <w:r>
        <w:rPr>
          <w:rFonts w:cs="Times New Roman" w:ascii="Times New Roman" w:hAnsi="Times New Roman"/>
          <w:b/>
        </w:rPr>
        <w:t>(D)</w:t>
      </w:r>
      <w:r>
        <w:rPr>
          <w:rFonts w:cs="Times New Roman" w:ascii="Times New Roman" w:hAnsi="Times New Roman"/>
        </w:rPr>
        <w:t xml:space="preserve"> expression when FAK_SRC is overactivated (FAK_SRC</w:t>
      </w:r>
      <w:r>
        <w:rPr>
          <w:rFonts w:cs="Times New Roman" w:ascii="Times New Roman" w:hAnsi="Times New Roman"/>
          <w:vertAlign w:val="superscript"/>
        </w:rPr>
        <w:t>+</w:t>
      </w:r>
      <w:r>
        <w:rPr>
          <w:rFonts w:cs="Times New Roman" w:ascii="Times New Roman" w:hAnsi="Times New Roman"/>
        </w:rPr>
        <w:t xml:space="preserve">), starting from an E1 phenotype in condition of a soft (ECM=0) or a stiff (ECM=1) ECM. </w:t>
      </w:r>
    </w:p>
    <w:p>
      <w:pPr>
        <w:pStyle w:val="Normal"/>
        <w:rPr/>
      </w:pPr>
      <w:r>
        <w:rPr/>
      </w:r>
      <w:r>
        <w:br w:type="page"/>
      </w:r>
    </w:p>
    <w:p>
      <w:pPr>
        <w:pStyle w:val="Normal"/>
        <w:spacing w:lineRule="auto" w:line="360"/>
        <w:jc w:val="both"/>
        <w:rPr/>
      </w:pPr>
      <w:r>
        <w:rPr/>
        <w:drawing>
          <wp:inline distT="0" distB="0" distL="0" distR="0">
            <wp:extent cx="5727700" cy="707517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5727700" cy="7075170"/>
                    </a:xfrm>
                    <a:prstGeom prst="rect">
                      <a:avLst/>
                    </a:prstGeom>
                  </pic:spPr>
                </pic:pic>
              </a:graphicData>
            </a:graphic>
          </wp:inline>
        </w:drawing>
      </w:r>
    </w:p>
    <w:p>
      <w:pPr>
        <w:pStyle w:val="Normal"/>
        <w:jc w:val="both"/>
        <w:rPr>
          <w:rFonts w:ascii="Times New Roman" w:hAnsi="Times New Roman" w:cs="Times New Roman"/>
          <w:b/>
          <w:b/>
        </w:rPr>
      </w:pPr>
      <w:r>
        <w:rPr>
          <w:rFonts w:cs="Times New Roman" w:ascii="Times New Roman" w:hAnsi="Times New Roman"/>
          <w:b/>
        </w:rPr>
      </w:r>
    </w:p>
    <w:p>
      <w:pPr>
        <w:pStyle w:val="Normal"/>
        <w:jc w:val="both"/>
        <w:rPr/>
      </w:pPr>
      <w:r>
        <w:rPr>
          <w:rFonts w:cs="Times New Roman" w:ascii="Times New Roman" w:hAnsi="Times New Roman"/>
          <w:b/>
        </w:rPr>
        <w:t xml:space="preserve">Supplementary Figure S5: Stiffness measurement of 1 and 5 mg/mL collagen I gels by nanoindentation using AFM. </w:t>
      </w:r>
    </w:p>
    <w:p>
      <w:pPr>
        <w:pStyle w:val="Normal"/>
        <w:jc w:val="both"/>
        <w:rPr/>
      </w:pPr>
      <w:r>
        <w:rPr>
          <w:rFonts w:cs="Times New Roman" w:ascii="Times New Roman" w:hAnsi="Times New Roman"/>
          <w:b/>
        </w:rPr>
        <w:t>(A-B)</w:t>
      </w:r>
      <w:r>
        <w:rPr>
          <w:rFonts w:cs="Times New Roman" w:ascii="Times New Roman" w:hAnsi="Times New Roman"/>
        </w:rPr>
        <w:t xml:space="preserve"> 2D (A) and 3D (B) topography of the nanosurfaces of 1 or 5 mg/mL collagen I gels. </w:t>
      </w:r>
    </w:p>
    <w:p>
      <w:pPr>
        <w:pStyle w:val="Normal"/>
        <w:jc w:val="both"/>
        <w:rPr/>
      </w:pPr>
      <w:r>
        <w:rPr>
          <w:rFonts w:cs="Times New Roman" w:ascii="Times New Roman" w:hAnsi="Times New Roman"/>
          <w:b/>
        </w:rPr>
        <w:t>(C)</w:t>
      </w:r>
      <w:r>
        <w:rPr>
          <w:rFonts w:cs="Times New Roman" w:ascii="Times New Roman" w:hAnsi="Times New Roman"/>
        </w:rPr>
        <w:t xml:space="preserve"> Histograms representing the </w:t>
      </w:r>
      <w:bookmarkStart w:id="1" w:name="OLE_LINK1"/>
      <w:r>
        <w:rPr>
          <w:rFonts w:cs="Times New Roman" w:ascii="Times New Roman" w:hAnsi="Times New Roman"/>
        </w:rPr>
        <w:t>Apparent Young’s moduli</w:t>
      </w:r>
      <w:bookmarkEnd w:id="1"/>
      <w:r>
        <w:rPr>
          <w:rFonts w:cs="Times New Roman" w:ascii="Times New Roman" w:hAnsi="Times New Roman"/>
        </w:rPr>
        <w:t xml:space="preserve"> of 1 or 5 mg/mL collagen gels. </w:t>
      </w:r>
    </w:p>
    <w:p>
      <w:pPr>
        <w:pStyle w:val="Normal"/>
        <w:jc w:val="both"/>
        <w:rPr>
          <w:rFonts w:ascii="Times New Roman" w:hAnsi="Times New Roman" w:cs="Times New Roman"/>
        </w:rPr>
      </w:pPr>
      <w:r>
        <w:rPr>
          <w:rFonts w:cs="Times New Roman" w:ascii="Times New Roman" w:hAnsi="Times New Roman"/>
          <w:b/>
        </w:rPr>
        <w:t>(D)</w:t>
      </w:r>
      <w:r>
        <w:rPr>
          <w:rFonts w:cs="Times New Roman" w:ascii="Times New Roman" w:hAnsi="Times New Roman"/>
        </w:rPr>
        <w:t xml:space="preserve"> Apparent Young’s moduli from 1 or 5 mg/mL collagen gels. Measurements are from three biological replicates with a total of 2166 or 2691 force curves for 1 or 5 mg/mL collagen gels, respectively. Values represent mean ± SD. **** P&lt;0.0001 (unpaired t test with Welch’s correction).</w:t>
      </w:r>
    </w:p>
    <w:p>
      <w:pPr>
        <w:pStyle w:val="Normal"/>
        <w:jc w:val="both"/>
        <w:rPr>
          <w:rFonts w:ascii="Times New Roman" w:hAnsi="Times New Roman" w:cs="Times New Roman"/>
        </w:rPr>
      </w:pPr>
      <w:r>
        <w:rPr/>
        <w:drawing>
          <wp:inline distT="0" distB="0" distL="0" distR="0">
            <wp:extent cx="5727700" cy="3934460"/>
            <wp:effectExtent l="0" t="0" r="0" b="0"/>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7"/>
                    <a:stretch>
                      <a:fillRect/>
                    </a:stretch>
                  </pic:blipFill>
                  <pic:spPr bwMode="auto">
                    <a:xfrm>
                      <a:off x="0" y="0"/>
                      <a:ext cx="5727700" cy="3934460"/>
                    </a:xfrm>
                    <a:prstGeom prst="rect">
                      <a:avLst/>
                    </a:prstGeom>
                  </pic:spPr>
                </pic:pic>
              </a:graphicData>
            </a:graphic>
          </wp:inline>
        </w:drawing>
      </w:r>
    </w:p>
    <w:p>
      <w:pPr>
        <w:pStyle w:val="Normal"/>
        <w:rPr/>
      </w:pPr>
      <w:r>
        <w:rPr/>
      </w:r>
    </w:p>
    <w:p>
      <w:pPr>
        <w:pStyle w:val="Normal"/>
        <w:jc w:val="both"/>
        <w:rPr/>
      </w:pPr>
      <w:r>
        <w:rPr>
          <w:rFonts w:cs="Times New Roman" w:ascii="Times New Roman" w:hAnsi="Times New Roman"/>
          <w:b/>
        </w:rPr>
        <w:t xml:space="preserve">Supplementary Figure S6: SRC and the presence of a stiff collagen gel do not synergize to induce SLUG, ZEB1 or ZEB2 expression in MCF10A cells but cooperate to upregulate SLUG in MDCK cells.  </w:t>
      </w:r>
    </w:p>
    <w:p>
      <w:pPr>
        <w:pStyle w:val="Normal"/>
        <w:jc w:val="both"/>
        <w:rPr>
          <w:rFonts w:ascii="Times New Roman" w:hAnsi="Times New Roman" w:cs="Times New Roman"/>
          <w:b/>
          <w:b/>
        </w:rPr>
      </w:pPr>
      <w:r>
        <w:rPr>
          <w:rFonts w:cs="Times New Roman" w:ascii="Times New Roman" w:hAnsi="Times New Roman"/>
          <w:b/>
        </w:rPr>
        <w:t xml:space="preserve">(A and B) </w:t>
      </w:r>
      <w:r>
        <w:rPr>
          <w:rFonts w:cs="Times New Roman" w:ascii="Times New Roman" w:hAnsi="Times New Roman"/>
        </w:rPr>
        <w:t xml:space="preserve">ZEB1 </w:t>
      </w:r>
      <w:r>
        <w:rPr>
          <w:rFonts w:cs="Times New Roman" w:ascii="Times New Roman" w:hAnsi="Times New Roman"/>
          <w:b/>
        </w:rPr>
        <w:t>(A)</w:t>
      </w:r>
      <w:r>
        <w:rPr>
          <w:rFonts w:cs="Times New Roman" w:ascii="Times New Roman" w:hAnsi="Times New Roman"/>
        </w:rPr>
        <w:t xml:space="preserve"> or ZEB2 </w:t>
      </w:r>
      <w:r>
        <w:rPr>
          <w:rFonts w:cs="Times New Roman" w:ascii="Times New Roman" w:hAnsi="Times New Roman"/>
          <w:b/>
        </w:rPr>
        <w:t>(B)</w:t>
      </w:r>
      <w:r>
        <w:rPr>
          <w:rFonts w:cs="Times New Roman" w:ascii="Times New Roman" w:hAnsi="Times New Roman"/>
        </w:rPr>
        <w:t xml:space="preserve"> mRNA levels, normalized to GAPDH on extracts from MCF10A-ER-SRC cells plated on soft (1 mg/mL) or stiff (5 mg/mL) collagen gels and treated with EtOH or TAM for 24 hours. </w:t>
      </w:r>
      <w:r>
        <w:rPr>
          <w:rFonts w:cs="Times New Roman" w:ascii="Times New Roman" w:hAnsi="Times New Roman"/>
          <w:b/>
        </w:rPr>
        <w:t xml:space="preserve"> </w:t>
      </w:r>
    </w:p>
    <w:p>
      <w:pPr>
        <w:pStyle w:val="Normal"/>
        <w:jc w:val="both"/>
        <w:rPr/>
      </w:pPr>
      <w:r>
        <w:rPr>
          <w:rFonts w:cs="Times New Roman" w:ascii="Times New Roman" w:hAnsi="Times New Roman"/>
          <w:b/>
        </w:rPr>
        <w:t xml:space="preserve">(C, D) </w:t>
      </w:r>
      <w:r>
        <w:rPr>
          <w:rFonts w:cs="Times New Roman" w:ascii="Times New Roman" w:hAnsi="Times New Roman"/>
        </w:rPr>
        <w:t xml:space="preserve">SLUG mRNA levels, normalized to GAPDH on extracts from </w:t>
      </w:r>
      <w:r>
        <w:rPr>
          <w:rFonts w:cs="Times New Roman" w:ascii="Times New Roman" w:hAnsi="Times New Roman"/>
          <w:b/>
        </w:rPr>
        <w:t>(C)</w:t>
      </w:r>
      <w:r>
        <w:rPr>
          <w:rFonts w:cs="Times New Roman" w:ascii="Times New Roman" w:hAnsi="Times New Roman"/>
        </w:rPr>
        <w:t xml:space="preserve"> MCF10A-ER-SRC or </w:t>
      </w:r>
      <w:r>
        <w:rPr>
          <w:rFonts w:cs="Times New Roman" w:ascii="Times New Roman" w:hAnsi="Times New Roman"/>
          <w:b/>
        </w:rPr>
        <w:t>(D)</w:t>
      </w:r>
      <w:r>
        <w:rPr>
          <w:rFonts w:cs="Times New Roman" w:ascii="Times New Roman" w:hAnsi="Times New Roman"/>
        </w:rPr>
        <w:t xml:space="preserve"> MDCK-pTR cSRC</w:t>
      </w:r>
      <w:r>
        <w:rPr>
          <w:rFonts w:cs="Times New Roman" w:ascii="Times New Roman" w:hAnsi="Times New Roman"/>
          <w:vertAlign w:val="superscript"/>
        </w:rPr>
        <w:t>Y527F</w:t>
      </w:r>
      <w:r>
        <w:rPr>
          <w:rFonts w:cs="Times New Roman" w:ascii="Times New Roman" w:hAnsi="Times New Roman"/>
        </w:rPr>
        <w:t xml:space="preserve">-GFP cells plated on soft (1 mg/mL) or stiff (5 mg/mL) collagen gels and treated with EtOH or TAM for 24 hours or with EtOH or tet for 48 hours. </w:t>
      </w:r>
    </w:p>
    <w:p>
      <w:pPr>
        <w:pStyle w:val="Normal"/>
        <w:jc w:val="both"/>
        <w:rPr/>
      </w:pPr>
      <w:r>
        <w:rPr>
          <w:rFonts w:cs="Times New Roman" w:ascii="Times New Roman" w:hAnsi="Times New Roman"/>
          <w:b/>
        </w:rPr>
        <w:t xml:space="preserve"> </w:t>
      </w:r>
      <w:r>
        <w:rPr>
          <w:rFonts w:cs="Times New Roman" w:ascii="Times New Roman" w:hAnsi="Times New Roman"/>
        </w:rPr>
        <w:t xml:space="preserve">Quantifications are presented as mean </w:t>
      </w:r>
      <w:r>
        <w:rPr>
          <w:rFonts w:eastAsia="Times New Roman" w:cs="Times New Roman" w:ascii="Times New Roman" w:hAnsi="Times New Roman"/>
        </w:rPr>
        <w:t>± SD.</w:t>
      </w:r>
      <w:r>
        <w:rPr>
          <w:rStyle w:val="Strong"/>
          <w:rFonts w:cs="Times New Roman" w:ascii="Times New Roman" w:hAnsi="Times New Roman"/>
          <w:b w:val="false"/>
        </w:rPr>
        <w:t xml:space="preserve"> n.s. indicate non-significant; ** indicates P&lt;0.005; **** indicates P&lt;0.000</w:t>
      </w:r>
      <w:r>
        <w:rPr>
          <w:rStyle w:val="Strong"/>
          <w:rFonts w:cs="Times New Roman" w:ascii="Times New Roman" w:hAnsi="Times New Roman"/>
        </w:rPr>
        <w:t xml:space="preserve"> </w:t>
      </w:r>
      <w:r>
        <w:rPr>
          <w:rStyle w:val="Strong"/>
          <w:rFonts w:cs="Times New Roman" w:ascii="Times New Roman" w:hAnsi="Times New Roman"/>
          <w:b w:val="false"/>
        </w:rPr>
        <w:t>(</w:t>
      </w:r>
      <w:r>
        <w:rPr>
          <w:rFonts w:eastAsia="Cambria" w:cs="Times New Roman" w:ascii="Times New Roman" w:hAnsi="Times New Roman"/>
        </w:rPr>
        <w:t xml:space="preserve">one-way ANOVA). </w:t>
      </w:r>
    </w:p>
    <w:p>
      <w:pPr>
        <w:pStyle w:val="Normal"/>
        <w:rPr/>
      </w:pPr>
      <w:r>
        <w:rPr/>
      </w:r>
    </w:p>
    <w:p>
      <w:pPr>
        <w:pStyle w:val="Normal"/>
        <w:rPr/>
      </w:pPr>
      <w:r>
        <w:rPr/>
      </w:r>
    </w:p>
    <w:p>
      <w:pPr>
        <w:pStyle w:val="Normal"/>
        <w:rPr/>
      </w:pPr>
      <w:r>
        <w:rPr/>
      </w:r>
    </w:p>
    <w:p>
      <w:pPr>
        <w:pStyle w:val="Normal"/>
        <w:spacing w:lineRule="auto" w:line="360"/>
        <w:jc w:val="both"/>
        <w:rPr/>
      </w:pPr>
      <w:r>
        <w:rPr/>
        <w:drawing>
          <wp:inline distT="0" distB="0" distL="0" distR="0">
            <wp:extent cx="5727700" cy="5217795"/>
            <wp:effectExtent l="0" t="0" r="0" b="0"/>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8"/>
                    <a:stretch>
                      <a:fillRect/>
                    </a:stretch>
                  </pic:blipFill>
                  <pic:spPr bwMode="auto">
                    <a:xfrm>
                      <a:off x="0" y="0"/>
                      <a:ext cx="5727700" cy="5217795"/>
                    </a:xfrm>
                    <a:prstGeom prst="rect">
                      <a:avLst/>
                    </a:prstGeom>
                  </pic:spPr>
                </pic:pic>
              </a:graphicData>
            </a:graphic>
          </wp:inline>
        </w:drawing>
      </w:r>
    </w:p>
    <w:p>
      <w:pPr>
        <w:pStyle w:val="Normal"/>
        <w:spacing w:lineRule="auto" w:line="360"/>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eastAsia="Times New Roman" w:cs="Times New Roman"/>
        </w:rPr>
      </w:pPr>
      <w:r>
        <w:rPr>
          <w:rFonts w:cs="Times New Roman" w:ascii="Times New Roman" w:hAnsi="Times New Roman"/>
          <w:b/>
        </w:rPr>
        <w:t xml:space="preserve">Supplementary Figure S7: </w:t>
      </w:r>
      <w:r>
        <w:rPr>
          <w:rFonts w:eastAsia="Times New Roman" w:cs="Times New Roman" w:ascii="Times New Roman" w:hAnsi="Times New Roman"/>
          <w:b/>
        </w:rPr>
        <w:t>“Weak” reprogramming graph</w:t>
      </w:r>
      <w:r>
        <w:rPr>
          <w:rFonts w:eastAsia="Times New Roman" w:cs="Times New Roman" w:ascii="Times New Roman" w:hAnsi="Times New Roman"/>
        </w:rPr>
        <w:t xml:space="preserve"> displaying potential reprogramming trajectories between phenotypes, under specific input combinations (edge labels). Here, an edge means that there is a trajectory from at least one state of the source phenotype towards a state of the target phenotype without passing through a state of a third phenotype.</w:t>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360"/>
        <w:jc w:val="both"/>
        <w:rPr>
          <w:rFonts w:ascii="Times New Roman" w:hAnsi="Times New Roman" w:eastAsia="Times New Roman" w:cs="Times New Roman"/>
          <w:b/>
          <w:b/>
        </w:rPr>
      </w:pPr>
      <w:r>
        <w:rPr>
          <w:rFonts w:eastAsia="Times New Roman" w:cs="Times New Roman" w:ascii="Times New Roman" w:hAnsi="Times New Roman"/>
          <w:b/>
        </w:rPr>
      </w:r>
    </w:p>
    <w:p>
      <w:pPr>
        <w:pStyle w:val="Normal"/>
        <w:rPr/>
      </w:pPr>
      <w:r>
        <w:rPr/>
        <w:drawing>
          <wp:inline distT="0" distB="0" distL="0" distR="0">
            <wp:extent cx="5727700" cy="4861560"/>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tretch>
                      <a:fillRect/>
                    </a:stretch>
                  </pic:blipFill>
                  <pic:spPr bwMode="auto">
                    <a:xfrm>
                      <a:off x="0" y="0"/>
                      <a:ext cx="5727700" cy="4861560"/>
                    </a:xfrm>
                    <a:prstGeom prst="rect">
                      <a:avLst/>
                    </a:prstGeom>
                  </pic:spPr>
                </pic:pic>
              </a:graphicData>
            </a:graphic>
          </wp:inline>
        </w:drawing>
      </w:r>
    </w:p>
    <w:p>
      <w:pPr>
        <w:pStyle w:val="Normal"/>
        <w:jc w:val="both"/>
        <w:rPr>
          <w:rFonts w:ascii="Times New Roman" w:hAnsi="Times New Roman" w:eastAsia="Times New Roman" w:cs="Times New Roman"/>
          <w:b/>
          <w:b/>
        </w:rPr>
      </w:pPr>
      <w:r>
        <w:rPr>
          <w:rFonts w:eastAsia="Times New Roman" w:cs="Times New Roman" w:ascii="Times New Roman" w:hAnsi="Times New Roman"/>
          <w:b/>
        </w:rPr>
      </w:r>
    </w:p>
    <w:p>
      <w:pPr>
        <w:pStyle w:val="Normal"/>
        <w:jc w:val="both"/>
        <w:rPr>
          <w:rFonts w:ascii="Times New Roman" w:hAnsi="Times New Roman" w:eastAsia="Times New Roman" w:cs="Times New Roman"/>
        </w:rPr>
      </w:pPr>
      <w:r>
        <w:rPr>
          <w:rFonts w:eastAsia="Times New Roman" w:cs="Times New Roman" w:ascii="Times New Roman" w:hAnsi="Times New Roman"/>
          <w:b/>
        </w:rPr>
        <w:t>Supplementary Figure S8: “Strong” reprogramming graph</w:t>
      </w:r>
      <w:r>
        <w:rPr>
          <w:rFonts w:eastAsia="Times New Roman" w:cs="Times New Roman" w:ascii="Times New Roman" w:hAnsi="Times New Roman"/>
        </w:rPr>
        <w:t xml:space="preserve"> displaying potential reprogramming trajectories between phenotypes, under specific input combinations (edge labels). Here, an edge means that there is a trajectory from every state of the source phenotype towards a state of the target phenotype without passing through a state of a third phenotype. Self-loops indicate that under the input indicated by the edge label, the phenotype is stable.</w:t>
      </w:r>
    </w:p>
    <w:p>
      <w:pPr>
        <w:pStyle w:val="Normal"/>
        <w:spacing w:lineRule="auto" w:line="360"/>
        <w:jc w:val="both"/>
        <w:rPr/>
      </w:pPr>
      <w:r>
        <w:rPr/>
      </w:r>
    </w:p>
    <w:p>
      <w:pPr>
        <w:pStyle w:val="Normal"/>
        <w:rPr/>
      </w:pPr>
      <w:r>
        <w:rPr/>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TimesNewRomanPS">
    <w:charset w:val="01"/>
    <w:family w:val="roman"/>
    <w:pitch w:val="variable"/>
  </w:font>
  <w:font w:name="TimesNewRomanPSMT">
    <w:charset w:val="01"/>
    <w:family w:val="roman"/>
    <w:pitch w:val="variable"/>
  </w:font>
  <w:font w:name="Symbol">
    <w:charset w:val="01"/>
    <w:family w:val="roman"/>
    <w:pitch w:val="variable"/>
  </w:font>
</w:fonts>
</file>

<file path=word/settings.xml><?xml version="1.0" encoding="utf-8"?>
<w:settings xmlns:w="http://schemas.openxmlformats.org/wordprocessingml/2006/main">
  <w:zoom w:percent="89"/>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Strong">
    <w:name w:val="Strong"/>
    <w:qFormat/>
    <w:rsid w:val="00a7332b"/>
    <w:rPr>
      <w:b/>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tif"/><Relationship Id="rId6" Type="http://schemas.openxmlformats.org/officeDocument/2006/relationships/image" Target="media/image5.jpeg"/><Relationship Id="rId7" Type="http://schemas.openxmlformats.org/officeDocument/2006/relationships/image" Target="media/image6.tif"/><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LibreOffice/6.4.0.3$MacOSX_X86_64 LibreOffice_project/b0a288ab3d2d4774cb44b62f04d5d28733ac6df8</Application>
  <Pages>8</Pages>
  <Words>782</Words>
  <Characters>4125</Characters>
  <CharactersWithSpaces>4885</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2020-03-11T15:26:00Z</dcterms:created>
  <dc:creator>Microsoft Office User</dc:creator>
  <dc:description/>
  <dc:language>en-GB</dc:language>
  <cp:lastModifiedBy/>
  <cp:lastPrinted>2020-02-07T01:52:00Z</cp:lastPrinted>
  <dcterms:modified xsi:type="dcterms:W3CDTF">2020-03-11T17:39:06Z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