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74DE67" w14:textId="27E0EE41" w:rsidR="00014C62" w:rsidRPr="00350683" w:rsidRDefault="006C6A11" w:rsidP="00540250">
      <w:pPr>
        <w:pStyle w:val="Heading1"/>
      </w:pPr>
      <w:bookmarkStart w:id="0" w:name="_Toc12041584"/>
      <w:bookmarkStart w:id="1" w:name="_Toc12041742"/>
      <w:bookmarkStart w:id="2" w:name="_Toc15283956"/>
      <w:bookmarkStart w:id="3" w:name="_Toc16606376"/>
      <w:bookmarkStart w:id="4" w:name="_Toc27885938"/>
      <w:bookmarkStart w:id="5" w:name="_GoBack"/>
      <w:bookmarkEnd w:id="5"/>
      <w:r w:rsidRPr="00350683">
        <w:t xml:space="preserve">Supplementary </w:t>
      </w:r>
      <w:r w:rsidR="00014C62" w:rsidRPr="00350683">
        <w:t>information</w:t>
      </w:r>
      <w:bookmarkEnd w:id="0"/>
      <w:bookmarkEnd w:id="1"/>
      <w:bookmarkEnd w:id="2"/>
      <w:bookmarkEnd w:id="3"/>
      <w:bookmarkEnd w:id="4"/>
    </w:p>
    <w:p w14:paraId="074CD577" w14:textId="57981AC1" w:rsidR="003A274A" w:rsidRDefault="00350683" w:rsidP="007F5325">
      <w:pPr>
        <w:pStyle w:val="TOC1"/>
        <w:rPr>
          <w:rFonts w:asciiTheme="minorHAnsi" w:eastAsiaTheme="minorEastAsia" w:hAnsiTheme="minorHAnsi" w:cstheme="minorBidi"/>
          <w:bCs w:val="0"/>
          <w:lang w:eastAsia="zh-CN"/>
        </w:rPr>
      </w:pPr>
      <w:r>
        <w:fldChar w:fldCharType="begin"/>
      </w:r>
      <w:r>
        <w:instrText xml:space="preserve"> TOC \o "1-3" \h \z \u </w:instrText>
      </w:r>
      <w:r>
        <w:fldChar w:fldCharType="separate"/>
      </w:r>
      <w:hyperlink w:anchor="_Toc27885938" w:history="1">
        <w:r w:rsidR="003A274A" w:rsidRPr="00D543D2">
          <w:rPr>
            <w:rStyle w:val="Hyperlink"/>
          </w:rPr>
          <w:t>Supplementary information</w:t>
        </w:r>
        <w:r w:rsidR="003A274A">
          <w:rPr>
            <w:webHidden/>
          </w:rPr>
          <w:tab/>
        </w:r>
        <w:r w:rsidR="003A274A">
          <w:rPr>
            <w:webHidden/>
          </w:rPr>
          <w:fldChar w:fldCharType="begin"/>
        </w:r>
        <w:r w:rsidR="003A274A">
          <w:rPr>
            <w:webHidden/>
          </w:rPr>
          <w:instrText xml:space="preserve"> PAGEREF _Toc27885938 \h </w:instrText>
        </w:r>
        <w:r w:rsidR="003A274A">
          <w:rPr>
            <w:webHidden/>
          </w:rPr>
        </w:r>
        <w:r w:rsidR="003A274A">
          <w:rPr>
            <w:webHidden/>
          </w:rPr>
          <w:fldChar w:fldCharType="separate"/>
        </w:r>
        <w:r w:rsidR="00237A2A">
          <w:rPr>
            <w:webHidden/>
          </w:rPr>
          <w:t>1</w:t>
        </w:r>
        <w:r w:rsidR="003A274A">
          <w:rPr>
            <w:webHidden/>
          </w:rPr>
          <w:fldChar w:fldCharType="end"/>
        </w:r>
      </w:hyperlink>
    </w:p>
    <w:p w14:paraId="29A5F52C" w14:textId="5DEA9616" w:rsidR="003A274A" w:rsidRDefault="0085341E" w:rsidP="007F5325">
      <w:pPr>
        <w:pStyle w:val="TOC1"/>
        <w:rPr>
          <w:rFonts w:asciiTheme="minorHAnsi" w:eastAsiaTheme="minorEastAsia" w:hAnsiTheme="minorHAnsi" w:cstheme="minorBidi"/>
          <w:bCs w:val="0"/>
          <w:lang w:eastAsia="zh-CN"/>
        </w:rPr>
      </w:pPr>
      <w:hyperlink w:anchor="_Toc27885939" w:history="1">
        <w:r w:rsidR="003A274A" w:rsidRPr="00D543D2">
          <w:rPr>
            <w:rStyle w:val="Hyperlink"/>
          </w:rPr>
          <w:t>Supplementary Materials 1: Tumor Volume Data Analysis</w:t>
        </w:r>
        <w:r w:rsidR="003A274A">
          <w:rPr>
            <w:webHidden/>
          </w:rPr>
          <w:tab/>
        </w:r>
        <w:r w:rsidR="003A274A">
          <w:rPr>
            <w:webHidden/>
          </w:rPr>
          <w:fldChar w:fldCharType="begin"/>
        </w:r>
        <w:r w:rsidR="003A274A">
          <w:rPr>
            <w:webHidden/>
          </w:rPr>
          <w:instrText xml:space="preserve"> PAGEREF _Toc27885939 \h </w:instrText>
        </w:r>
        <w:r w:rsidR="003A274A">
          <w:rPr>
            <w:webHidden/>
          </w:rPr>
        </w:r>
        <w:r w:rsidR="003A274A">
          <w:rPr>
            <w:webHidden/>
          </w:rPr>
          <w:fldChar w:fldCharType="separate"/>
        </w:r>
        <w:r w:rsidR="00237A2A">
          <w:rPr>
            <w:webHidden/>
          </w:rPr>
          <w:t>2</w:t>
        </w:r>
        <w:r w:rsidR="003A274A">
          <w:rPr>
            <w:webHidden/>
          </w:rPr>
          <w:fldChar w:fldCharType="end"/>
        </w:r>
      </w:hyperlink>
    </w:p>
    <w:p w14:paraId="5EBB62A3" w14:textId="111DA279" w:rsidR="003A274A" w:rsidRDefault="0085341E" w:rsidP="007F5325">
      <w:pPr>
        <w:pStyle w:val="TOC2"/>
        <w:rPr>
          <w:rFonts w:asciiTheme="minorHAnsi" w:eastAsiaTheme="minorEastAsia" w:hAnsiTheme="minorHAnsi" w:cstheme="minorBidi"/>
          <w:noProof/>
          <w:lang w:eastAsia="zh-CN"/>
        </w:rPr>
      </w:pPr>
      <w:hyperlink w:anchor="_Toc27885940" w:history="1">
        <w:r w:rsidR="003A274A" w:rsidRPr="00D543D2">
          <w:rPr>
            <w:rStyle w:val="Hyperlink"/>
            <w:noProof/>
          </w:rPr>
          <w:t>Tumor Volume Data Analysis Metrics</w:t>
        </w:r>
        <w:r w:rsidR="003A274A">
          <w:rPr>
            <w:noProof/>
            <w:webHidden/>
          </w:rPr>
          <w:tab/>
        </w:r>
        <w:r w:rsidR="003A274A">
          <w:rPr>
            <w:noProof/>
            <w:webHidden/>
          </w:rPr>
          <w:fldChar w:fldCharType="begin"/>
        </w:r>
        <w:r w:rsidR="003A274A">
          <w:rPr>
            <w:noProof/>
            <w:webHidden/>
          </w:rPr>
          <w:instrText xml:space="preserve"> PAGEREF _Toc27885940 \h </w:instrText>
        </w:r>
        <w:r w:rsidR="003A274A">
          <w:rPr>
            <w:noProof/>
            <w:webHidden/>
          </w:rPr>
        </w:r>
        <w:r w:rsidR="003A274A">
          <w:rPr>
            <w:noProof/>
            <w:webHidden/>
          </w:rPr>
          <w:fldChar w:fldCharType="separate"/>
        </w:r>
        <w:r w:rsidR="00237A2A">
          <w:rPr>
            <w:noProof/>
            <w:webHidden/>
          </w:rPr>
          <w:t>2</w:t>
        </w:r>
        <w:r w:rsidR="003A274A">
          <w:rPr>
            <w:noProof/>
            <w:webHidden/>
          </w:rPr>
          <w:fldChar w:fldCharType="end"/>
        </w:r>
      </w:hyperlink>
    </w:p>
    <w:p w14:paraId="55C3F642" w14:textId="4D0FC86D" w:rsidR="003A274A" w:rsidRDefault="0085341E" w:rsidP="007F5325">
      <w:pPr>
        <w:pStyle w:val="TOC3"/>
        <w:tabs>
          <w:tab w:val="right" w:leader="dot" w:pos="9360"/>
        </w:tabs>
        <w:rPr>
          <w:rFonts w:asciiTheme="minorHAnsi" w:eastAsiaTheme="minorEastAsia" w:hAnsiTheme="minorHAnsi" w:cstheme="minorBidi"/>
          <w:noProof/>
          <w:lang w:eastAsia="zh-CN"/>
        </w:rPr>
      </w:pPr>
      <w:hyperlink w:anchor="_Toc27885941" w:history="1">
        <w:r w:rsidR="003A274A" w:rsidRPr="00D543D2">
          <w:rPr>
            <w:rStyle w:val="Hyperlink"/>
            <w:noProof/>
          </w:rPr>
          <w:t>Percent Change in tumor volume (</w:t>
        </w:r>
        <m:oMath>
          <m:r>
            <m:rPr>
              <m:sty m:val="p"/>
            </m:rPr>
            <w:rPr>
              <w:rStyle w:val="Hyperlink"/>
              <w:rFonts w:ascii="Cambria Math" w:hAnsi="Cambria Math"/>
              <w:noProof/>
            </w:rPr>
            <m:t xml:space="preserve">ΔVt </m:t>
          </m:r>
        </m:oMath>
        <w:r w:rsidR="003A274A" w:rsidRPr="00D543D2">
          <w:rPr>
            <w:rStyle w:val="Hyperlink"/>
            <w:noProof/>
          </w:rPr>
          <w:t>)</w:t>
        </w:r>
        <w:r w:rsidR="003A274A">
          <w:rPr>
            <w:noProof/>
            <w:webHidden/>
          </w:rPr>
          <w:tab/>
        </w:r>
        <w:r w:rsidR="003A274A">
          <w:rPr>
            <w:noProof/>
            <w:webHidden/>
          </w:rPr>
          <w:fldChar w:fldCharType="begin"/>
        </w:r>
        <w:r w:rsidR="003A274A">
          <w:rPr>
            <w:noProof/>
            <w:webHidden/>
          </w:rPr>
          <w:instrText xml:space="preserve"> PAGEREF _Toc27885941 \h </w:instrText>
        </w:r>
        <w:r w:rsidR="003A274A">
          <w:rPr>
            <w:noProof/>
            <w:webHidden/>
          </w:rPr>
        </w:r>
        <w:r w:rsidR="003A274A">
          <w:rPr>
            <w:noProof/>
            <w:webHidden/>
          </w:rPr>
          <w:fldChar w:fldCharType="separate"/>
        </w:r>
        <w:r w:rsidR="00237A2A">
          <w:rPr>
            <w:noProof/>
            <w:webHidden/>
          </w:rPr>
          <w:t>2</w:t>
        </w:r>
        <w:r w:rsidR="003A274A">
          <w:rPr>
            <w:noProof/>
            <w:webHidden/>
          </w:rPr>
          <w:fldChar w:fldCharType="end"/>
        </w:r>
      </w:hyperlink>
    </w:p>
    <w:p w14:paraId="59CB2328" w14:textId="030D6ABB" w:rsidR="003A274A" w:rsidRDefault="0085341E" w:rsidP="007F5325">
      <w:pPr>
        <w:pStyle w:val="TOC3"/>
        <w:tabs>
          <w:tab w:val="right" w:leader="dot" w:pos="9360"/>
        </w:tabs>
        <w:rPr>
          <w:rFonts w:asciiTheme="minorHAnsi" w:eastAsiaTheme="minorEastAsia" w:hAnsiTheme="minorHAnsi" w:cstheme="minorBidi"/>
          <w:noProof/>
          <w:lang w:eastAsia="zh-CN"/>
        </w:rPr>
      </w:pPr>
      <w:hyperlink w:anchor="_Toc27885942" w:history="1">
        <w:r w:rsidR="003A274A" w:rsidRPr="00D543D2">
          <w:rPr>
            <w:rStyle w:val="Hyperlink"/>
            <w:noProof/>
          </w:rPr>
          <w:t>Area under the tumor growth curve up to time t (</w:t>
        </w:r>
        <m:oMath>
          <m:r>
            <m:rPr>
              <m:sty m:val="p"/>
            </m:rPr>
            <w:rPr>
              <w:rStyle w:val="Hyperlink"/>
              <w:rFonts w:ascii="Cambria Math" w:hAnsi="Cambria Math"/>
              <w:noProof/>
            </w:rPr>
            <m:t>aAUCt</m:t>
          </m:r>
        </m:oMath>
        <w:r w:rsidR="003A274A" w:rsidRPr="00D543D2">
          <w:rPr>
            <w:rStyle w:val="Hyperlink"/>
            <w:noProof/>
          </w:rPr>
          <w:t>)</w:t>
        </w:r>
        <w:r w:rsidR="003A274A">
          <w:rPr>
            <w:noProof/>
            <w:webHidden/>
          </w:rPr>
          <w:tab/>
        </w:r>
        <w:r w:rsidR="003A274A">
          <w:rPr>
            <w:noProof/>
            <w:webHidden/>
          </w:rPr>
          <w:fldChar w:fldCharType="begin"/>
        </w:r>
        <w:r w:rsidR="003A274A">
          <w:rPr>
            <w:noProof/>
            <w:webHidden/>
          </w:rPr>
          <w:instrText xml:space="preserve"> PAGEREF _Toc27885942 \h </w:instrText>
        </w:r>
        <w:r w:rsidR="003A274A">
          <w:rPr>
            <w:noProof/>
            <w:webHidden/>
          </w:rPr>
        </w:r>
        <w:r w:rsidR="003A274A">
          <w:rPr>
            <w:noProof/>
            <w:webHidden/>
          </w:rPr>
          <w:fldChar w:fldCharType="separate"/>
        </w:r>
        <w:r w:rsidR="00237A2A">
          <w:rPr>
            <w:noProof/>
            <w:webHidden/>
          </w:rPr>
          <w:t>2</w:t>
        </w:r>
        <w:r w:rsidR="003A274A">
          <w:rPr>
            <w:noProof/>
            <w:webHidden/>
          </w:rPr>
          <w:fldChar w:fldCharType="end"/>
        </w:r>
      </w:hyperlink>
    </w:p>
    <w:p w14:paraId="6110A5EC" w14:textId="0FA343D0" w:rsidR="003A274A" w:rsidRDefault="0085341E" w:rsidP="007F5325">
      <w:pPr>
        <w:pStyle w:val="TOC3"/>
        <w:tabs>
          <w:tab w:val="right" w:leader="dot" w:pos="9360"/>
        </w:tabs>
        <w:rPr>
          <w:rFonts w:asciiTheme="minorHAnsi" w:eastAsiaTheme="minorEastAsia" w:hAnsiTheme="minorHAnsi" w:cstheme="minorBidi"/>
          <w:noProof/>
          <w:lang w:eastAsia="zh-CN"/>
        </w:rPr>
      </w:pPr>
      <w:hyperlink w:anchor="_Toc27885943" w:history="1">
        <w:r w:rsidR="003A274A" w:rsidRPr="00D543D2">
          <w:rPr>
            <w:rStyle w:val="Hyperlink"/>
            <w:noProof/>
          </w:rPr>
          <w:t>Adjusted area under the curve (</w:t>
        </w:r>
        <m:oMath>
          <m:r>
            <m:rPr>
              <m:sty m:val="p"/>
            </m:rPr>
            <w:rPr>
              <w:rStyle w:val="Hyperlink"/>
              <w:rFonts w:ascii="Cambria Math" w:hAnsi="Cambria Math"/>
              <w:noProof/>
            </w:rPr>
            <m:t>aAUCmax</m:t>
          </m:r>
        </m:oMath>
        <w:r w:rsidR="003A274A" w:rsidRPr="00D543D2">
          <w:rPr>
            <w:rStyle w:val="Hyperlink"/>
            <w:noProof/>
          </w:rPr>
          <w:t>)</w:t>
        </w:r>
        <w:r w:rsidR="003A274A">
          <w:rPr>
            <w:noProof/>
            <w:webHidden/>
          </w:rPr>
          <w:tab/>
        </w:r>
        <w:r w:rsidR="003A274A">
          <w:rPr>
            <w:noProof/>
            <w:webHidden/>
          </w:rPr>
          <w:fldChar w:fldCharType="begin"/>
        </w:r>
        <w:r w:rsidR="003A274A">
          <w:rPr>
            <w:noProof/>
            <w:webHidden/>
          </w:rPr>
          <w:instrText xml:space="preserve"> PAGEREF _Toc27885943 \h </w:instrText>
        </w:r>
        <w:r w:rsidR="003A274A">
          <w:rPr>
            <w:noProof/>
            <w:webHidden/>
          </w:rPr>
        </w:r>
        <w:r w:rsidR="003A274A">
          <w:rPr>
            <w:noProof/>
            <w:webHidden/>
          </w:rPr>
          <w:fldChar w:fldCharType="separate"/>
        </w:r>
        <w:r w:rsidR="00237A2A">
          <w:rPr>
            <w:noProof/>
            <w:webHidden/>
          </w:rPr>
          <w:t>3</w:t>
        </w:r>
        <w:r w:rsidR="003A274A">
          <w:rPr>
            <w:noProof/>
            <w:webHidden/>
          </w:rPr>
          <w:fldChar w:fldCharType="end"/>
        </w:r>
      </w:hyperlink>
    </w:p>
    <w:p w14:paraId="56BA3A41" w14:textId="05DBB656" w:rsidR="003A274A" w:rsidRDefault="0085341E" w:rsidP="007F5325">
      <w:pPr>
        <w:pStyle w:val="TOC3"/>
        <w:tabs>
          <w:tab w:val="right" w:leader="dot" w:pos="9360"/>
        </w:tabs>
        <w:rPr>
          <w:rFonts w:asciiTheme="minorHAnsi" w:eastAsiaTheme="minorEastAsia" w:hAnsiTheme="minorHAnsi" w:cstheme="minorBidi"/>
          <w:noProof/>
          <w:lang w:eastAsia="zh-CN"/>
        </w:rPr>
      </w:pPr>
      <w:hyperlink w:anchor="_Toc27885944" w:history="1">
        <w:r w:rsidR="003A274A" w:rsidRPr="00D543D2">
          <w:rPr>
            <w:rStyle w:val="Hyperlink"/>
            <w:noProof/>
          </w:rPr>
          <w:t>RECIST criteria (</w:t>
        </w:r>
        <m:oMath>
          <m:r>
            <m:rPr>
              <m:sty m:val="p"/>
            </m:rPr>
            <w:rPr>
              <w:rStyle w:val="Hyperlink"/>
              <w:rFonts w:ascii="Cambria Math" w:hAnsi="Cambria Math"/>
              <w:noProof/>
            </w:rPr>
            <m:t>RECISTt,c</m:t>
          </m:r>
        </m:oMath>
        <w:r w:rsidR="003A274A" w:rsidRPr="00D543D2">
          <w:rPr>
            <w:rStyle w:val="Hyperlink"/>
            <w:noProof/>
          </w:rPr>
          <w:t>)</w:t>
        </w:r>
        <w:r w:rsidR="003A274A">
          <w:rPr>
            <w:noProof/>
            <w:webHidden/>
          </w:rPr>
          <w:tab/>
        </w:r>
        <w:r w:rsidR="003A274A">
          <w:rPr>
            <w:noProof/>
            <w:webHidden/>
          </w:rPr>
          <w:fldChar w:fldCharType="begin"/>
        </w:r>
        <w:r w:rsidR="003A274A">
          <w:rPr>
            <w:noProof/>
            <w:webHidden/>
          </w:rPr>
          <w:instrText xml:space="preserve"> PAGEREF _Toc27885944 \h </w:instrText>
        </w:r>
        <w:r w:rsidR="003A274A">
          <w:rPr>
            <w:noProof/>
            <w:webHidden/>
          </w:rPr>
        </w:r>
        <w:r w:rsidR="003A274A">
          <w:rPr>
            <w:noProof/>
            <w:webHidden/>
          </w:rPr>
          <w:fldChar w:fldCharType="separate"/>
        </w:r>
        <w:r w:rsidR="00237A2A">
          <w:rPr>
            <w:noProof/>
            <w:webHidden/>
          </w:rPr>
          <w:t>3</w:t>
        </w:r>
        <w:r w:rsidR="003A274A">
          <w:rPr>
            <w:noProof/>
            <w:webHidden/>
          </w:rPr>
          <w:fldChar w:fldCharType="end"/>
        </w:r>
      </w:hyperlink>
    </w:p>
    <w:p w14:paraId="4159C28E" w14:textId="06C3B45B" w:rsidR="003A274A" w:rsidRDefault="0085341E" w:rsidP="007F5325">
      <w:pPr>
        <w:pStyle w:val="TOC3"/>
        <w:tabs>
          <w:tab w:val="right" w:leader="dot" w:pos="9360"/>
        </w:tabs>
        <w:rPr>
          <w:rFonts w:asciiTheme="minorHAnsi" w:eastAsiaTheme="minorEastAsia" w:hAnsiTheme="minorHAnsi" w:cstheme="minorBidi"/>
          <w:noProof/>
          <w:lang w:eastAsia="zh-CN"/>
        </w:rPr>
      </w:pPr>
      <w:hyperlink w:anchor="_Toc27885945" w:history="1">
        <w:r w:rsidR="003A274A" w:rsidRPr="00D543D2">
          <w:rPr>
            <w:rStyle w:val="Hyperlink"/>
            <w:noProof/>
          </w:rPr>
          <w:t>Tumor Growth Inhibition (</w:t>
        </w:r>
        <m:oMath>
          <m:r>
            <m:rPr>
              <m:sty m:val="p"/>
            </m:rPr>
            <w:rPr>
              <w:rStyle w:val="Hyperlink"/>
              <w:rFonts w:ascii="Cambria Math" w:hAnsi="Cambria Math"/>
              <w:noProof/>
            </w:rPr>
            <m:t>TGIt</m:t>
          </m:r>
        </m:oMath>
        <w:r w:rsidR="003A274A" w:rsidRPr="00D543D2">
          <w:rPr>
            <w:rStyle w:val="Hyperlink"/>
            <w:noProof/>
          </w:rPr>
          <w:t>)</w:t>
        </w:r>
        <w:r w:rsidR="003A274A">
          <w:rPr>
            <w:noProof/>
            <w:webHidden/>
          </w:rPr>
          <w:tab/>
        </w:r>
        <w:r w:rsidR="003A274A">
          <w:rPr>
            <w:noProof/>
            <w:webHidden/>
          </w:rPr>
          <w:fldChar w:fldCharType="begin"/>
        </w:r>
        <w:r w:rsidR="003A274A">
          <w:rPr>
            <w:noProof/>
            <w:webHidden/>
          </w:rPr>
          <w:instrText xml:space="preserve"> PAGEREF _Toc27885945 \h </w:instrText>
        </w:r>
        <w:r w:rsidR="003A274A">
          <w:rPr>
            <w:noProof/>
            <w:webHidden/>
          </w:rPr>
        </w:r>
        <w:r w:rsidR="003A274A">
          <w:rPr>
            <w:noProof/>
            <w:webHidden/>
          </w:rPr>
          <w:fldChar w:fldCharType="separate"/>
        </w:r>
        <w:r w:rsidR="00237A2A">
          <w:rPr>
            <w:noProof/>
            <w:webHidden/>
          </w:rPr>
          <w:t>3</w:t>
        </w:r>
        <w:r w:rsidR="003A274A">
          <w:rPr>
            <w:noProof/>
            <w:webHidden/>
          </w:rPr>
          <w:fldChar w:fldCharType="end"/>
        </w:r>
      </w:hyperlink>
    </w:p>
    <w:p w14:paraId="2B898D7D" w14:textId="58D29162" w:rsidR="003A274A" w:rsidRDefault="0085341E" w:rsidP="007F5325">
      <w:pPr>
        <w:pStyle w:val="TOC3"/>
        <w:tabs>
          <w:tab w:val="right" w:leader="dot" w:pos="9360"/>
        </w:tabs>
        <w:rPr>
          <w:rFonts w:asciiTheme="minorHAnsi" w:eastAsiaTheme="minorEastAsia" w:hAnsiTheme="minorHAnsi" w:cstheme="minorBidi"/>
          <w:noProof/>
          <w:lang w:eastAsia="zh-CN"/>
        </w:rPr>
      </w:pPr>
      <w:hyperlink w:anchor="_Toc27885946" w:history="1">
        <w:r w:rsidR="003A274A" w:rsidRPr="00D543D2">
          <w:rPr>
            <w:rStyle w:val="Hyperlink"/>
            <w:noProof/>
          </w:rPr>
          <w:t>Progression-free Survival (</w:t>
        </w:r>
        <m:oMath>
          <m:r>
            <m:rPr>
              <m:sty m:val="p"/>
            </m:rPr>
            <w:rPr>
              <w:rStyle w:val="Hyperlink"/>
              <w:rFonts w:ascii="Cambria Math" w:hAnsi="Cambria Math"/>
              <w:noProof/>
            </w:rPr>
            <m:t>PFSδ</m:t>
          </m:r>
        </m:oMath>
        <w:r w:rsidR="003A274A" w:rsidRPr="00D543D2">
          <w:rPr>
            <w:rStyle w:val="Hyperlink"/>
            <w:noProof/>
          </w:rPr>
          <w:t>)</w:t>
        </w:r>
        <w:r w:rsidR="003A274A">
          <w:rPr>
            <w:noProof/>
            <w:webHidden/>
          </w:rPr>
          <w:tab/>
        </w:r>
        <w:r w:rsidR="003A274A">
          <w:rPr>
            <w:noProof/>
            <w:webHidden/>
          </w:rPr>
          <w:fldChar w:fldCharType="begin"/>
        </w:r>
        <w:r w:rsidR="003A274A">
          <w:rPr>
            <w:noProof/>
            <w:webHidden/>
          </w:rPr>
          <w:instrText xml:space="preserve"> PAGEREF _Toc27885946 \h </w:instrText>
        </w:r>
        <w:r w:rsidR="003A274A">
          <w:rPr>
            <w:noProof/>
            <w:webHidden/>
          </w:rPr>
        </w:r>
        <w:r w:rsidR="003A274A">
          <w:rPr>
            <w:noProof/>
            <w:webHidden/>
          </w:rPr>
          <w:fldChar w:fldCharType="separate"/>
        </w:r>
        <w:r w:rsidR="00237A2A">
          <w:rPr>
            <w:noProof/>
            <w:webHidden/>
          </w:rPr>
          <w:t>4</w:t>
        </w:r>
        <w:r w:rsidR="003A274A">
          <w:rPr>
            <w:noProof/>
            <w:webHidden/>
          </w:rPr>
          <w:fldChar w:fldCharType="end"/>
        </w:r>
      </w:hyperlink>
    </w:p>
    <w:p w14:paraId="5705CE53" w14:textId="02D6D91D" w:rsidR="003A274A" w:rsidRDefault="0085341E" w:rsidP="007F5325">
      <w:pPr>
        <w:pStyle w:val="TOC2"/>
        <w:rPr>
          <w:rFonts w:asciiTheme="minorHAnsi" w:eastAsiaTheme="minorEastAsia" w:hAnsiTheme="minorHAnsi" w:cstheme="minorBidi"/>
          <w:noProof/>
          <w:lang w:eastAsia="zh-CN"/>
        </w:rPr>
      </w:pPr>
      <w:hyperlink w:anchor="_Toc27885947" w:history="1">
        <w:r w:rsidR="003A274A" w:rsidRPr="00D543D2">
          <w:rPr>
            <w:rStyle w:val="Hyperlink"/>
            <w:noProof/>
          </w:rPr>
          <w:t>Tumor volume data Analysis using R</w:t>
        </w:r>
        <w:r w:rsidR="003A274A">
          <w:rPr>
            <w:noProof/>
            <w:webHidden/>
          </w:rPr>
          <w:tab/>
        </w:r>
        <w:r w:rsidR="003A274A">
          <w:rPr>
            <w:noProof/>
            <w:webHidden/>
          </w:rPr>
          <w:fldChar w:fldCharType="begin"/>
        </w:r>
        <w:r w:rsidR="003A274A">
          <w:rPr>
            <w:noProof/>
            <w:webHidden/>
          </w:rPr>
          <w:instrText xml:space="preserve"> PAGEREF _Toc27885947 \h </w:instrText>
        </w:r>
        <w:r w:rsidR="003A274A">
          <w:rPr>
            <w:noProof/>
            <w:webHidden/>
          </w:rPr>
        </w:r>
        <w:r w:rsidR="003A274A">
          <w:rPr>
            <w:noProof/>
            <w:webHidden/>
          </w:rPr>
          <w:fldChar w:fldCharType="separate"/>
        </w:r>
        <w:r w:rsidR="00237A2A">
          <w:rPr>
            <w:noProof/>
            <w:webHidden/>
          </w:rPr>
          <w:t>4</w:t>
        </w:r>
        <w:r w:rsidR="003A274A">
          <w:rPr>
            <w:noProof/>
            <w:webHidden/>
          </w:rPr>
          <w:fldChar w:fldCharType="end"/>
        </w:r>
      </w:hyperlink>
    </w:p>
    <w:p w14:paraId="14C91ECC" w14:textId="43491D8F" w:rsidR="003A274A" w:rsidRDefault="0085341E" w:rsidP="007F5325">
      <w:pPr>
        <w:pStyle w:val="TOC3"/>
        <w:tabs>
          <w:tab w:val="right" w:leader="dot" w:pos="9360"/>
        </w:tabs>
        <w:rPr>
          <w:rFonts w:asciiTheme="minorHAnsi" w:eastAsiaTheme="minorEastAsia" w:hAnsiTheme="minorHAnsi" w:cstheme="minorBidi"/>
          <w:noProof/>
          <w:lang w:eastAsia="zh-CN"/>
        </w:rPr>
      </w:pPr>
      <w:hyperlink w:anchor="_Toc27885948" w:history="1">
        <w:r w:rsidR="003A274A" w:rsidRPr="00D543D2">
          <w:rPr>
            <w:rStyle w:val="Hyperlink"/>
            <w:noProof/>
          </w:rPr>
          <w:t>Input Data</w:t>
        </w:r>
        <w:r w:rsidR="003A274A">
          <w:rPr>
            <w:noProof/>
            <w:webHidden/>
          </w:rPr>
          <w:tab/>
        </w:r>
        <w:r w:rsidR="003A274A">
          <w:rPr>
            <w:noProof/>
            <w:webHidden/>
          </w:rPr>
          <w:fldChar w:fldCharType="begin"/>
        </w:r>
        <w:r w:rsidR="003A274A">
          <w:rPr>
            <w:noProof/>
            <w:webHidden/>
          </w:rPr>
          <w:instrText xml:space="preserve"> PAGEREF _Toc27885948 \h </w:instrText>
        </w:r>
        <w:r w:rsidR="003A274A">
          <w:rPr>
            <w:noProof/>
            <w:webHidden/>
          </w:rPr>
        </w:r>
        <w:r w:rsidR="003A274A">
          <w:rPr>
            <w:noProof/>
            <w:webHidden/>
          </w:rPr>
          <w:fldChar w:fldCharType="separate"/>
        </w:r>
        <w:r w:rsidR="00237A2A">
          <w:rPr>
            <w:noProof/>
            <w:webHidden/>
          </w:rPr>
          <w:t>5</w:t>
        </w:r>
        <w:r w:rsidR="003A274A">
          <w:rPr>
            <w:noProof/>
            <w:webHidden/>
          </w:rPr>
          <w:fldChar w:fldCharType="end"/>
        </w:r>
      </w:hyperlink>
    </w:p>
    <w:p w14:paraId="02AF2705" w14:textId="705023B2" w:rsidR="003A274A" w:rsidRDefault="0085341E" w:rsidP="007F5325">
      <w:pPr>
        <w:pStyle w:val="TOC3"/>
        <w:tabs>
          <w:tab w:val="right" w:leader="dot" w:pos="9360"/>
        </w:tabs>
        <w:rPr>
          <w:rFonts w:asciiTheme="minorHAnsi" w:eastAsiaTheme="minorEastAsia" w:hAnsiTheme="minorHAnsi" w:cstheme="minorBidi"/>
          <w:noProof/>
          <w:lang w:eastAsia="zh-CN"/>
        </w:rPr>
      </w:pPr>
      <w:hyperlink w:anchor="_Toc27885949" w:history="1">
        <w:r w:rsidR="003A274A" w:rsidRPr="00D543D2">
          <w:rPr>
            <w:rStyle w:val="Hyperlink"/>
            <w:rFonts w:eastAsia="Lora"/>
            <w:noProof/>
          </w:rPr>
          <w:t>Instructions for running tumor volume analysis R scripts</w:t>
        </w:r>
        <w:r w:rsidR="003A274A">
          <w:rPr>
            <w:noProof/>
            <w:webHidden/>
          </w:rPr>
          <w:tab/>
        </w:r>
        <w:r w:rsidR="003A274A">
          <w:rPr>
            <w:noProof/>
            <w:webHidden/>
          </w:rPr>
          <w:fldChar w:fldCharType="begin"/>
        </w:r>
        <w:r w:rsidR="003A274A">
          <w:rPr>
            <w:noProof/>
            <w:webHidden/>
          </w:rPr>
          <w:instrText xml:space="preserve"> PAGEREF _Toc27885949 \h </w:instrText>
        </w:r>
        <w:r w:rsidR="003A274A">
          <w:rPr>
            <w:noProof/>
            <w:webHidden/>
          </w:rPr>
        </w:r>
        <w:r w:rsidR="003A274A">
          <w:rPr>
            <w:noProof/>
            <w:webHidden/>
          </w:rPr>
          <w:fldChar w:fldCharType="separate"/>
        </w:r>
        <w:r w:rsidR="00237A2A">
          <w:rPr>
            <w:noProof/>
            <w:webHidden/>
          </w:rPr>
          <w:t>7</w:t>
        </w:r>
        <w:r w:rsidR="003A274A">
          <w:rPr>
            <w:noProof/>
            <w:webHidden/>
          </w:rPr>
          <w:fldChar w:fldCharType="end"/>
        </w:r>
      </w:hyperlink>
    </w:p>
    <w:p w14:paraId="1478930E" w14:textId="7A7DE3B1" w:rsidR="003A274A" w:rsidRDefault="0085341E" w:rsidP="007F5325">
      <w:pPr>
        <w:pStyle w:val="TOC1"/>
        <w:rPr>
          <w:rFonts w:asciiTheme="minorHAnsi" w:eastAsiaTheme="minorEastAsia" w:hAnsiTheme="minorHAnsi" w:cstheme="minorBidi"/>
          <w:bCs w:val="0"/>
          <w:lang w:eastAsia="zh-CN"/>
        </w:rPr>
      </w:pPr>
      <w:hyperlink w:anchor="_Toc27885950" w:history="1">
        <w:r w:rsidR="003A274A" w:rsidRPr="00D543D2">
          <w:rPr>
            <w:rStyle w:val="Hyperlink"/>
          </w:rPr>
          <w:t xml:space="preserve">Supplementary Materials 2: </w:t>
        </w:r>
        <w:r w:rsidR="003A274A" w:rsidRPr="00D543D2">
          <w:rPr>
            <w:rStyle w:val="Hyperlink"/>
            <w:shd w:val="clear" w:color="auto" w:fill="FFFFFF"/>
          </w:rPr>
          <w:t>Comparison of Growth kinetics of PDX models at each site</w:t>
        </w:r>
        <w:r w:rsidR="003A274A">
          <w:rPr>
            <w:webHidden/>
          </w:rPr>
          <w:tab/>
        </w:r>
        <w:r w:rsidR="003A274A">
          <w:rPr>
            <w:webHidden/>
          </w:rPr>
          <w:fldChar w:fldCharType="begin"/>
        </w:r>
        <w:r w:rsidR="003A274A">
          <w:rPr>
            <w:webHidden/>
          </w:rPr>
          <w:instrText xml:space="preserve"> PAGEREF _Toc27885950 \h </w:instrText>
        </w:r>
        <w:r w:rsidR="003A274A">
          <w:rPr>
            <w:webHidden/>
          </w:rPr>
        </w:r>
        <w:r w:rsidR="003A274A">
          <w:rPr>
            <w:webHidden/>
          </w:rPr>
          <w:fldChar w:fldCharType="separate"/>
        </w:r>
        <w:r w:rsidR="00237A2A">
          <w:rPr>
            <w:webHidden/>
          </w:rPr>
          <w:t>8</w:t>
        </w:r>
        <w:r w:rsidR="003A274A">
          <w:rPr>
            <w:webHidden/>
          </w:rPr>
          <w:fldChar w:fldCharType="end"/>
        </w:r>
      </w:hyperlink>
    </w:p>
    <w:p w14:paraId="70AE4851" w14:textId="189BF545" w:rsidR="003A274A" w:rsidRDefault="0085341E" w:rsidP="007F5325">
      <w:pPr>
        <w:pStyle w:val="TOC1"/>
        <w:rPr>
          <w:rFonts w:asciiTheme="minorHAnsi" w:eastAsiaTheme="minorEastAsia" w:hAnsiTheme="minorHAnsi" w:cstheme="minorBidi"/>
          <w:bCs w:val="0"/>
          <w:lang w:eastAsia="zh-CN"/>
        </w:rPr>
      </w:pPr>
      <w:hyperlink w:anchor="_Toc27885951" w:history="1">
        <w:r w:rsidR="003A274A" w:rsidRPr="00D543D2">
          <w:rPr>
            <w:rStyle w:val="Hyperlink"/>
          </w:rPr>
          <w:t>Supplementary Materials 3: Mouse Read Disambiguation</w:t>
        </w:r>
        <w:r w:rsidR="003A274A">
          <w:rPr>
            <w:webHidden/>
          </w:rPr>
          <w:tab/>
        </w:r>
        <w:r w:rsidR="003A274A">
          <w:rPr>
            <w:webHidden/>
          </w:rPr>
          <w:fldChar w:fldCharType="begin"/>
        </w:r>
        <w:r w:rsidR="003A274A">
          <w:rPr>
            <w:webHidden/>
          </w:rPr>
          <w:instrText xml:space="preserve"> PAGEREF _Toc27885951 \h </w:instrText>
        </w:r>
        <w:r w:rsidR="003A274A">
          <w:rPr>
            <w:webHidden/>
          </w:rPr>
        </w:r>
        <w:r w:rsidR="003A274A">
          <w:rPr>
            <w:webHidden/>
          </w:rPr>
          <w:fldChar w:fldCharType="separate"/>
        </w:r>
        <w:r w:rsidR="00237A2A">
          <w:rPr>
            <w:webHidden/>
          </w:rPr>
          <w:t>18</w:t>
        </w:r>
        <w:r w:rsidR="003A274A">
          <w:rPr>
            <w:webHidden/>
          </w:rPr>
          <w:fldChar w:fldCharType="end"/>
        </w:r>
      </w:hyperlink>
    </w:p>
    <w:p w14:paraId="69194029" w14:textId="6F54C53D" w:rsidR="003A274A" w:rsidRDefault="0085341E" w:rsidP="007F5325">
      <w:pPr>
        <w:pStyle w:val="TOC2"/>
        <w:rPr>
          <w:rFonts w:asciiTheme="minorHAnsi" w:eastAsiaTheme="minorEastAsia" w:hAnsiTheme="minorHAnsi" w:cstheme="minorBidi"/>
          <w:noProof/>
          <w:lang w:eastAsia="zh-CN"/>
        </w:rPr>
      </w:pPr>
      <w:hyperlink w:anchor="_Toc27885952" w:history="1">
        <w:r w:rsidR="003A274A" w:rsidRPr="00D543D2">
          <w:rPr>
            <w:rStyle w:val="Hyperlink"/>
            <w:noProof/>
          </w:rPr>
          <w:t>Methods</w:t>
        </w:r>
        <w:r w:rsidR="003A274A">
          <w:rPr>
            <w:noProof/>
            <w:webHidden/>
          </w:rPr>
          <w:tab/>
        </w:r>
        <w:r w:rsidR="003A274A">
          <w:rPr>
            <w:noProof/>
            <w:webHidden/>
          </w:rPr>
          <w:fldChar w:fldCharType="begin"/>
        </w:r>
        <w:r w:rsidR="003A274A">
          <w:rPr>
            <w:noProof/>
            <w:webHidden/>
          </w:rPr>
          <w:instrText xml:space="preserve"> PAGEREF _Toc27885952 \h </w:instrText>
        </w:r>
        <w:r w:rsidR="003A274A">
          <w:rPr>
            <w:noProof/>
            <w:webHidden/>
          </w:rPr>
        </w:r>
        <w:r w:rsidR="003A274A">
          <w:rPr>
            <w:noProof/>
            <w:webHidden/>
          </w:rPr>
          <w:fldChar w:fldCharType="separate"/>
        </w:r>
        <w:r w:rsidR="00237A2A">
          <w:rPr>
            <w:noProof/>
            <w:webHidden/>
          </w:rPr>
          <w:t>18</w:t>
        </w:r>
        <w:r w:rsidR="003A274A">
          <w:rPr>
            <w:noProof/>
            <w:webHidden/>
          </w:rPr>
          <w:fldChar w:fldCharType="end"/>
        </w:r>
      </w:hyperlink>
    </w:p>
    <w:p w14:paraId="08BF651A" w14:textId="294094AE" w:rsidR="003A274A" w:rsidRDefault="0085341E" w:rsidP="007F5325">
      <w:pPr>
        <w:pStyle w:val="TOC3"/>
        <w:tabs>
          <w:tab w:val="right" w:leader="dot" w:pos="9360"/>
        </w:tabs>
        <w:rPr>
          <w:rFonts w:asciiTheme="minorHAnsi" w:eastAsiaTheme="minorEastAsia" w:hAnsiTheme="minorHAnsi" w:cstheme="minorBidi"/>
          <w:noProof/>
          <w:lang w:eastAsia="zh-CN"/>
        </w:rPr>
      </w:pPr>
      <w:hyperlink w:anchor="_Toc27885953" w:history="1">
        <w:r w:rsidR="003A274A" w:rsidRPr="00D543D2">
          <w:rPr>
            <w:rStyle w:val="Hyperlink"/>
            <w:noProof/>
          </w:rPr>
          <w:t>Simulated Data</w:t>
        </w:r>
        <w:r w:rsidR="003A274A">
          <w:rPr>
            <w:noProof/>
            <w:webHidden/>
          </w:rPr>
          <w:tab/>
        </w:r>
        <w:r w:rsidR="003A274A">
          <w:rPr>
            <w:noProof/>
            <w:webHidden/>
          </w:rPr>
          <w:fldChar w:fldCharType="begin"/>
        </w:r>
        <w:r w:rsidR="003A274A">
          <w:rPr>
            <w:noProof/>
            <w:webHidden/>
          </w:rPr>
          <w:instrText xml:space="preserve"> PAGEREF _Toc27885953 \h </w:instrText>
        </w:r>
        <w:r w:rsidR="003A274A">
          <w:rPr>
            <w:noProof/>
            <w:webHidden/>
          </w:rPr>
        </w:r>
        <w:r w:rsidR="003A274A">
          <w:rPr>
            <w:noProof/>
            <w:webHidden/>
          </w:rPr>
          <w:fldChar w:fldCharType="separate"/>
        </w:r>
        <w:r w:rsidR="00237A2A">
          <w:rPr>
            <w:noProof/>
            <w:webHidden/>
          </w:rPr>
          <w:t>18</w:t>
        </w:r>
        <w:r w:rsidR="003A274A">
          <w:rPr>
            <w:noProof/>
            <w:webHidden/>
          </w:rPr>
          <w:fldChar w:fldCharType="end"/>
        </w:r>
      </w:hyperlink>
    </w:p>
    <w:p w14:paraId="319641C1" w14:textId="1D06714B" w:rsidR="003A274A" w:rsidRDefault="0085341E" w:rsidP="007F5325">
      <w:pPr>
        <w:pStyle w:val="TOC3"/>
        <w:tabs>
          <w:tab w:val="right" w:leader="dot" w:pos="9360"/>
        </w:tabs>
        <w:rPr>
          <w:rFonts w:asciiTheme="minorHAnsi" w:eastAsiaTheme="minorEastAsia" w:hAnsiTheme="minorHAnsi" w:cstheme="minorBidi"/>
          <w:noProof/>
          <w:lang w:eastAsia="zh-CN"/>
        </w:rPr>
      </w:pPr>
      <w:hyperlink w:anchor="_Toc27885954" w:history="1">
        <w:r w:rsidR="003A274A" w:rsidRPr="00D543D2">
          <w:rPr>
            <w:rStyle w:val="Hyperlink"/>
            <w:noProof/>
          </w:rPr>
          <w:t>Mouse Read Deconvolution Tools</w:t>
        </w:r>
        <w:r w:rsidR="003A274A">
          <w:rPr>
            <w:noProof/>
            <w:webHidden/>
          </w:rPr>
          <w:tab/>
        </w:r>
        <w:r w:rsidR="003A274A">
          <w:rPr>
            <w:noProof/>
            <w:webHidden/>
          </w:rPr>
          <w:fldChar w:fldCharType="begin"/>
        </w:r>
        <w:r w:rsidR="003A274A">
          <w:rPr>
            <w:noProof/>
            <w:webHidden/>
          </w:rPr>
          <w:instrText xml:space="preserve"> PAGEREF _Toc27885954 \h </w:instrText>
        </w:r>
        <w:r w:rsidR="003A274A">
          <w:rPr>
            <w:noProof/>
            <w:webHidden/>
          </w:rPr>
        </w:r>
        <w:r w:rsidR="003A274A">
          <w:rPr>
            <w:noProof/>
            <w:webHidden/>
          </w:rPr>
          <w:fldChar w:fldCharType="separate"/>
        </w:r>
        <w:r w:rsidR="00237A2A">
          <w:rPr>
            <w:noProof/>
            <w:webHidden/>
          </w:rPr>
          <w:t>18</w:t>
        </w:r>
        <w:r w:rsidR="003A274A">
          <w:rPr>
            <w:noProof/>
            <w:webHidden/>
          </w:rPr>
          <w:fldChar w:fldCharType="end"/>
        </w:r>
      </w:hyperlink>
    </w:p>
    <w:p w14:paraId="6C656280" w14:textId="6ECFFC2D" w:rsidR="003A274A" w:rsidRDefault="0085341E" w:rsidP="007F5325">
      <w:pPr>
        <w:pStyle w:val="TOC3"/>
        <w:tabs>
          <w:tab w:val="right" w:leader="dot" w:pos="9360"/>
        </w:tabs>
        <w:rPr>
          <w:rFonts w:asciiTheme="minorHAnsi" w:eastAsiaTheme="minorEastAsia" w:hAnsiTheme="minorHAnsi" w:cstheme="minorBidi"/>
          <w:noProof/>
          <w:lang w:eastAsia="zh-CN"/>
        </w:rPr>
      </w:pPr>
      <w:hyperlink w:anchor="_Toc27885955" w:history="1">
        <w:r w:rsidR="003A274A" w:rsidRPr="00D543D2">
          <w:rPr>
            <w:rStyle w:val="Hyperlink"/>
            <w:noProof/>
          </w:rPr>
          <w:t>Read Alignment</w:t>
        </w:r>
        <w:r w:rsidR="003A274A">
          <w:rPr>
            <w:noProof/>
            <w:webHidden/>
          </w:rPr>
          <w:tab/>
        </w:r>
        <w:r w:rsidR="003A274A">
          <w:rPr>
            <w:noProof/>
            <w:webHidden/>
          </w:rPr>
          <w:fldChar w:fldCharType="begin"/>
        </w:r>
        <w:r w:rsidR="003A274A">
          <w:rPr>
            <w:noProof/>
            <w:webHidden/>
          </w:rPr>
          <w:instrText xml:space="preserve"> PAGEREF _Toc27885955 \h </w:instrText>
        </w:r>
        <w:r w:rsidR="003A274A">
          <w:rPr>
            <w:noProof/>
            <w:webHidden/>
          </w:rPr>
        </w:r>
        <w:r w:rsidR="003A274A">
          <w:rPr>
            <w:noProof/>
            <w:webHidden/>
          </w:rPr>
          <w:fldChar w:fldCharType="separate"/>
        </w:r>
        <w:r w:rsidR="00237A2A">
          <w:rPr>
            <w:noProof/>
            <w:webHidden/>
          </w:rPr>
          <w:t>19</w:t>
        </w:r>
        <w:r w:rsidR="003A274A">
          <w:rPr>
            <w:noProof/>
            <w:webHidden/>
          </w:rPr>
          <w:fldChar w:fldCharType="end"/>
        </w:r>
      </w:hyperlink>
    </w:p>
    <w:p w14:paraId="0880BD18" w14:textId="20D95DA2" w:rsidR="003A274A" w:rsidRDefault="0085341E" w:rsidP="007F5325">
      <w:pPr>
        <w:pStyle w:val="TOC2"/>
        <w:rPr>
          <w:rFonts w:asciiTheme="minorHAnsi" w:eastAsiaTheme="minorEastAsia" w:hAnsiTheme="minorHAnsi" w:cstheme="minorBidi"/>
          <w:noProof/>
          <w:lang w:eastAsia="zh-CN"/>
        </w:rPr>
      </w:pPr>
      <w:hyperlink w:anchor="_Toc27885956" w:history="1">
        <w:r w:rsidR="003A274A" w:rsidRPr="00D543D2">
          <w:rPr>
            <w:rStyle w:val="Hyperlink"/>
            <w:noProof/>
          </w:rPr>
          <w:t>Results</w:t>
        </w:r>
        <w:r w:rsidR="003A274A">
          <w:rPr>
            <w:noProof/>
            <w:webHidden/>
          </w:rPr>
          <w:tab/>
        </w:r>
        <w:r w:rsidR="003A274A">
          <w:rPr>
            <w:noProof/>
            <w:webHidden/>
          </w:rPr>
          <w:fldChar w:fldCharType="begin"/>
        </w:r>
        <w:r w:rsidR="003A274A">
          <w:rPr>
            <w:noProof/>
            <w:webHidden/>
          </w:rPr>
          <w:instrText xml:space="preserve"> PAGEREF _Toc27885956 \h </w:instrText>
        </w:r>
        <w:r w:rsidR="003A274A">
          <w:rPr>
            <w:noProof/>
            <w:webHidden/>
          </w:rPr>
        </w:r>
        <w:r w:rsidR="003A274A">
          <w:rPr>
            <w:noProof/>
            <w:webHidden/>
          </w:rPr>
          <w:fldChar w:fldCharType="separate"/>
        </w:r>
        <w:r w:rsidR="00237A2A">
          <w:rPr>
            <w:noProof/>
            <w:webHidden/>
          </w:rPr>
          <w:t>19</w:t>
        </w:r>
        <w:r w:rsidR="003A274A">
          <w:rPr>
            <w:noProof/>
            <w:webHidden/>
          </w:rPr>
          <w:fldChar w:fldCharType="end"/>
        </w:r>
      </w:hyperlink>
    </w:p>
    <w:p w14:paraId="4DE2E71C" w14:textId="68F6C886" w:rsidR="003A274A" w:rsidRDefault="0085341E" w:rsidP="007F5325">
      <w:pPr>
        <w:pStyle w:val="TOC3"/>
        <w:tabs>
          <w:tab w:val="right" w:leader="dot" w:pos="9360"/>
        </w:tabs>
        <w:rPr>
          <w:rFonts w:asciiTheme="minorHAnsi" w:eastAsiaTheme="minorEastAsia" w:hAnsiTheme="minorHAnsi" w:cstheme="minorBidi"/>
          <w:noProof/>
          <w:lang w:eastAsia="zh-CN"/>
        </w:rPr>
      </w:pPr>
      <w:hyperlink w:anchor="_Toc27885957" w:history="1">
        <w:r w:rsidR="003A274A" w:rsidRPr="00D543D2">
          <w:rPr>
            <w:rStyle w:val="Hyperlink"/>
            <w:noProof/>
          </w:rPr>
          <w:t>Benchmarking of human-mouse read disambiguation</w:t>
        </w:r>
        <w:r w:rsidR="003A274A">
          <w:rPr>
            <w:noProof/>
            <w:webHidden/>
          </w:rPr>
          <w:tab/>
        </w:r>
        <w:r w:rsidR="003A274A">
          <w:rPr>
            <w:noProof/>
            <w:webHidden/>
          </w:rPr>
          <w:fldChar w:fldCharType="begin"/>
        </w:r>
        <w:r w:rsidR="003A274A">
          <w:rPr>
            <w:noProof/>
            <w:webHidden/>
          </w:rPr>
          <w:instrText xml:space="preserve"> PAGEREF _Toc27885957 \h </w:instrText>
        </w:r>
        <w:r w:rsidR="003A274A">
          <w:rPr>
            <w:noProof/>
            <w:webHidden/>
          </w:rPr>
        </w:r>
        <w:r w:rsidR="003A274A">
          <w:rPr>
            <w:noProof/>
            <w:webHidden/>
          </w:rPr>
          <w:fldChar w:fldCharType="separate"/>
        </w:r>
        <w:r w:rsidR="00237A2A">
          <w:rPr>
            <w:noProof/>
            <w:webHidden/>
          </w:rPr>
          <w:t>19</w:t>
        </w:r>
        <w:r w:rsidR="003A274A">
          <w:rPr>
            <w:noProof/>
            <w:webHidden/>
          </w:rPr>
          <w:fldChar w:fldCharType="end"/>
        </w:r>
      </w:hyperlink>
    </w:p>
    <w:p w14:paraId="14C8E927" w14:textId="0C5D84B3" w:rsidR="003A274A" w:rsidRDefault="0085341E" w:rsidP="007F5325">
      <w:pPr>
        <w:pStyle w:val="TOC1"/>
        <w:rPr>
          <w:rFonts w:asciiTheme="minorHAnsi" w:eastAsiaTheme="minorEastAsia" w:hAnsiTheme="minorHAnsi" w:cstheme="minorBidi"/>
          <w:bCs w:val="0"/>
          <w:lang w:eastAsia="zh-CN"/>
        </w:rPr>
      </w:pPr>
      <w:hyperlink w:anchor="_Toc27885958" w:history="1">
        <w:r w:rsidR="003A274A" w:rsidRPr="00D543D2">
          <w:rPr>
            <w:rStyle w:val="Hyperlink"/>
          </w:rPr>
          <w:t>Supplementary Materials 4: Tumor Normal WES Variant Calling</w:t>
        </w:r>
        <w:r w:rsidR="003A274A">
          <w:rPr>
            <w:webHidden/>
          </w:rPr>
          <w:tab/>
        </w:r>
        <w:r w:rsidR="003A274A">
          <w:rPr>
            <w:webHidden/>
          </w:rPr>
          <w:fldChar w:fldCharType="begin"/>
        </w:r>
        <w:r w:rsidR="003A274A">
          <w:rPr>
            <w:webHidden/>
          </w:rPr>
          <w:instrText xml:space="preserve"> PAGEREF _Toc27885958 \h </w:instrText>
        </w:r>
        <w:r w:rsidR="003A274A">
          <w:rPr>
            <w:webHidden/>
          </w:rPr>
        </w:r>
        <w:r w:rsidR="003A274A">
          <w:rPr>
            <w:webHidden/>
          </w:rPr>
          <w:fldChar w:fldCharType="separate"/>
        </w:r>
        <w:r w:rsidR="00237A2A">
          <w:rPr>
            <w:webHidden/>
          </w:rPr>
          <w:t>21</w:t>
        </w:r>
        <w:r w:rsidR="003A274A">
          <w:rPr>
            <w:webHidden/>
          </w:rPr>
          <w:fldChar w:fldCharType="end"/>
        </w:r>
      </w:hyperlink>
    </w:p>
    <w:p w14:paraId="7AA537AF" w14:textId="40520E12" w:rsidR="003A274A" w:rsidRDefault="0085341E" w:rsidP="007F5325">
      <w:pPr>
        <w:pStyle w:val="TOC2"/>
        <w:rPr>
          <w:rFonts w:asciiTheme="minorHAnsi" w:eastAsiaTheme="minorEastAsia" w:hAnsiTheme="minorHAnsi" w:cstheme="minorBidi"/>
          <w:noProof/>
          <w:lang w:eastAsia="zh-CN"/>
        </w:rPr>
      </w:pPr>
      <w:hyperlink w:anchor="_Toc27885959" w:history="1">
        <w:r w:rsidR="003A274A" w:rsidRPr="00D543D2">
          <w:rPr>
            <w:rStyle w:val="Hyperlink"/>
            <w:noProof/>
          </w:rPr>
          <w:t>Benchmark Datasets</w:t>
        </w:r>
        <w:r w:rsidR="003A274A">
          <w:rPr>
            <w:noProof/>
            <w:webHidden/>
          </w:rPr>
          <w:tab/>
        </w:r>
        <w:r w:rsidR="003A274A">
          <w:rPr>
            <w:noProof/>
            <w:webHidden/>
          </w:rPr>
          <w:fldChar w:fldCharType="begin"/>
        </w:r>
        <w:r w:rsidR="003A274A">
          <w:rPr>
            <w:noProof/>
            <w:webHidden/>
          </w:rPr>
          <w:instrText xml:space="preserve"> PAGEREF _Toc27885959 \h </w:instrText>
        </w:r>
        <w:r w:rsidR="003A274A">
          <w:rPr>
            <w:noProof/>
            <w:webHidden/>
          </w:rPr>
        </w:r>
        <w:r w:rsidR="003A274A">
          <w:rPr>
            <w:noProof/>
            <w:webHidden/>
          </w:rPr>
          <w:fldChar w:fldCharType="separate"/>
        </w:r>
        <w:r w:rsidR="00237A2A">
          <w:rPr>
            <w:noProof/>
            <w:webHidden/>
          </w:rPr>
          <w:t>21</w:t>
        </w:r>
        <w:r w:rsidR="003A274A">
          <w:rPr>
            <w:noProof/>
            <w:webHidden/>
          </w:rPr>
          <w:fldChar w:fldCharType="end"/>
        </w:r>
      </w:hyperlink>
    </w:p>
    <w:p w14:paraId="2F562F75" w14:textId="7FEA2B84" w:rsidR="003A274A" w:rsidRDefault="0085341E" w:rsidP="007F5325">
      <w:pPr>
        <w:pStyle w:val="TOC2"/>
        <w:rPr>
          <w:rFonts w:asciiTheme="minorHAnsi" w:eastAsiaTheme="minorEastAsia" w:hAnsiTheme="minorHAnsi" w:cstheme="minorBidi"/>
          <w:noProof/>
          <w:lang w:eastAsia="zh-CN"/>
        </w:rPr>
      </w:pPr>
      <w:hyperlink w:anchor="_Toc27885960" w:history="1">
        <w:r w:rsidR="003A274A" w:rsidRPr="00D543D2">
          <w:rPr>
            <w:rStyle w:val="Hyperlink"/>
            <w:noProof/>
          </w:rPr>
          <w:t>Workflow testing</w:t>
        </w:r>
        <w:r w:rsidR="003A274A">
          <w:rPr>
            <w:noProof/>
            <w:webHidden/>
          </w:rPr>
          <w:tab/>
        </w:r>
        <w:r w:rsidR="003A274A">
          <w:rPr>
            <w:noProof/>
            <w:webHidden/>
          </w:rPr>
          <w:fldChar w:fldCharType="begin"/>
        </w:r>
        <w:r w:rsidR="003A274A">
          <w:rPr>
            <w:noProof/>
            <w:webHidden/>
          </w:rPr>
          <w:instrText xml:space="preserve"> PAGEREF _Toc27885960 \h </w:instrText>
        </w:r>
        <w:r w:rsidR="003A274A">
          <w:rPr>
            <w:noProof/>
            <w:webHidden/>
          </w:rPr>
        </w:r>
        <w:r w:rsidR="003A274A">
          <w:rPr>
            <w:noProof/>
            <w:webHidden/>
          </w:rPr>
          <w:fldChar w:fldCharType="separate"/>
        </w:r>
        <w:r w:rsidR="00237A2A">
          <w:rPr>
            <w:noProof/>
            <w:webHidden/>
          </w:rPr>
          <w:t>21</w:t>
        </w:r>
        <w:r w:rsidR="003A274A">
          <w:rPr>
            <w:noProof/>
            <w:webHidden/>
          </w:rPr>
          <w:fldChar w:fldCharType="end"/>
        </w:r>
      </w:hyperlink>
    </w:p>
    <w:p w14:paraId="18677126" w14:textId="1B5C6787" w:rsidR="003A274A" w:rsidRDefault="0085341E" w:rsidP="007F5325">
      <w:pPr>
        <w:pStyle w:val="TOC1"/>
        <w:rPr>
          <w:rFonts w:asciiTheme="minorHAnsi" w:eastAsiaTheme="minorEastAsia" w:hAnsiTheme="minorHAnsi" w:cstheme="minorBidi"/>
          <w:bCs w:val="0"/>
          <w:lang w:eastAsia="zh-CN"/>
        </w:rPr>
      </w:pPr>
      <w:hyperlink w:anchor="_Toc27885961" w:history="1">
        <w:r w:rsidR="003A274A" w:rsidRPr="00D543D2">
          <w:rPr>
            <w:rStyle w:val="Hyperlink"/>
          </w:rPr>
          <w:t>Supplementary Materials 5: Comparison of Tumor-normal whole exome workflow performance for each of the submitted workflows</w:t>
        </w:r>
        <w:r w:rsidR="003A274A">
          <w:rPr>
            <w:webHidden/>
          </w:rPr>
          <w:tab/>
        </w:r>
        <w:r w:rsidR="003A274A">
          <w:rPr>
            <w:webHidden/>
          </w:rPr>
          <w:fldChar w:fldCharType="begin"/>
        </w:r>
        <w:r w:rsidR="003A274A">
          <w:rPr>
            <w:webHidden/>
          </w:rPr>
          <w:instrText xml:space="preserve"> PAGEREF _Toc27885961 \h </w:instrText>
        </w:r>
        <w:r w:rsidR="003A274A">
          <w:rPr>
            <w:webHidden/>
          </w:rPr>
        </w:r>
        <w:r w:rsidR="003A274A">
          <w:rPr>
            <w:webHidden/>
          </w:rPr>
          <w:fldChar w:fldCharType="separate"/>
        </w:r>
        <w:r w:rsidR="00237A2A">
          <w:rPr>
            <w:webHidden/>
          </w:rPr>
          <w:t>23</w:t>
        </w:r>
        <w:r w:rsidR="003A274A">
          <w:rPr>
            <w:webHidden/>
          </w:rPr>
          <w:fldChar w:fldCharType="end"/>
        </w:r>
      </w:hyperlink>
    </w:p>
    <w:p w14:paraId="536C89E2" w14:textId="6A938A63" w:rsidR="003A274A" w:rsidRDefault="0085341E" w:rsidP="007F5325">
      <w:pPr>
        <w:pStyle w:val="TOC1"/>
        <w:rPr>
          <w:rFonts w:asciiTheme="minorHAnsi" w:eastAsiaTheme="minorEastAsia" w:hAnsiTheme="minorHAnsi" w:cstheme="minorBidi"/>
          <w:bCs w:val="0"/>
          <w:lang w:eastAsia="zh-CN"/>
        </w:rPr>
      </w:pPr>
      <w:hyperlink w:anchor="_Toc27885962" w:history="1">
        <w:r w:rsidR="003A274A" w:rsidRPr="00D543D2">
          <w:rPr>
            <w:rStyle w:val="Hyperlink"/>
          </w:rPr>
          <w:t>Supplementary Materials 6: Workflows selected to process PDX whole exome and RNA-seq data</w:t>
        </w:r>
        <w:r w:rsidR="003A274A">
          <w:rPr>
            <w:webHidden/>
          </w:rPr>
          <w:tab/>
        </w:r>
        <w:r w:rsidR="003A274A">
          <w:rPr>
            <w:webHidden/>
          </w:rPr>
          <w:fldChar w:fldCharType="begin"/>
        </w:r>
        <w:r w:rsidR="003A274A">
          <w:rPr>
            <w:webHidden/>
          </w:rPr>
          <w:instrText xml:space="preserve"> PAGEREF _Toc27885962 \h </w:instrText>
        </w:r>
        <w:r w:rsidR="003A274A">
          <w:rPr>
            <w:webHidden/>
          </w:rPr>
        </w:r>
        <w:r w:rsidR="003A274A">
          <w:rPr>
            <w:webHidden/>
          </w:rPr>
          <w:fldChar w:fldCharType="separate"/>
        </w:r>
        <w:r w:rsidR="00237A2A">
          <w:rPr>
            <w:webHidden/>
          </w:rPr>
          <w:t>29</w:t>
        </w:r>
        <w:r w:rsidR="003A274A">
          <w:rPr>
            <w:webHidden/>
          </w:rPr>
          <w:fldChar w:fldCharType="end"/>
        </w:r>
      </w:hyperlink>
    </w:p>
    <w:p w14:paraId="05F27D18" w14:textId="3930D686" w:rsidR="003A274A" w:rsidRDefault="0085341E" w:rsidP="007F5325">
      <w:pPr>
        <w:pStyle w:val="TOC1"/>
        <w:rPr>
          <w:rFonts w:asciiTheme="minorHAnsi" w:eastAsiaTheme="minorEastAsia" w:hAnsiTheme="minorHAnsi" w:cstheme="minorBidi"/>
          <w:bCs w:val="0"/>
          <w:lang w:eastAsia="zh-CN"/>
        </w:rPr>
      </w:pPr>
      <w:hyperlink w:anchor="_Toc27885963" w:history="1">
        <w:r w:rsidR="003A274A" w:rsidRPr="00D543D2">
          <w:rPr>
            <w:rStyle w:val="Hyperlink"/>
          </w:rPr>
          <w:t>Supplementary Materials 7: Gene expression analysis using RNA-Seq workflow</w:t>
        </w:r>
        <w:r w:rsidR="003A274A">
          <w:rPr>
            <w:webHidden/>
          </w:rPr>
          <w:tab/>
        </w:r>
        <w:r w:rsidR="003A274A">
          <w:rPr>
            <w:webHidden/>
          </w:rPr>
          <w:fldChar w:fldCharType="begin"/>
        </w:r>
        <w:r w:rsidR="003A274A">
          <w:rPr>
            <w:webHidden/>
          </w:rPr>
          <w:instrText xml:space="preserve"> PAGEREF _Toc27885963 \h </w:instrText>
        </w:r>
        <w:r w:rsidR="003A274A">
          <w:rPr>
            <w:webHidden/>
          </w:rPr>
        </w:r>
        <w:r w:rsidR="003A274A">
          <w:rPr>
            <w:webHidden/>
          </w:rPr>
          <w:fldChar w:fldCharType="separate"/>
        </w:r>
        <w:r w:rsidR="00237A2A">
          <w:rPr>
            <w:webHidden/>
          </w:rPr>
          <w:t>31</w:t>
        </w:r>
        <w:r w:rsidR="003A274A">
          <w:rPr>
            <w:webHidden/>
          </w:rPr>
          <w:fldChar w:fldCharType="end"/>
        </w:r>
      </w:hyperlink>
    </w:p>
    <w:p w14:paraId="42B5BAF7" w14:textId="21A2B55D" w:rsidR="003A274A" w:rsidRDefault="0085341E" w:rsidP="007F5325">
      <w:pPr>
        <w:pStyle w:val="TOC2"/>
        <w:rPr>
          <w:rFonts w:asciiTheme="minorHAnsi" w:eastAsiaTheme="minorEastAsia" w:hAnsiTheme="minorHAnsi" w:cstheme="minorBidi"/>
          <w:noProof/>
          <w:lang w:eastAsia="zh-CN"/>
        </w:rPr>
      </w:pPr>
      <w:hyperlink w:anchor="_Toc27885964" w:history="1">
        <w:r w:rsidR="003A274A" w:rsidRPr="00D543D2">
          <w:rPr>
            <w:rStyle w:val="Hyperlink"/>
            <w:noProof/>
          </w:rPr>
          <w:t>Description</w:t>
        </w:r>
        <w:r w:rsidR="003A274A">
          <w:rPr>
            <w:noProof/>
            <w:webHidden/>
          </w:rPr>
          <w:tab/>
        </w:r>
        <w:r w:rsidR="003A274A">
          <w:rPr>
            <w:noProof/>
            <w:webHidden/>
          </w:rPr>
          <w:fldChar w:fldCharType="begin"/>
        </w:r>
        <w:r w:rsidR="003A274A">
          <w:rPr>
            <w:noProof/>
            <w:webHidden/>
          </w:rPr>
          <w:instrText xml:space="preserve"> PAGEREF _Toc27885964 \h </w:instrText>
        </w:r>
        <w:r w:rsidR="003A274A">
          <w:rPr>
            <w:noProof/>
            <w:webHidden/>
          </w:rPr>
        </w:r>
        <w:r w:rsidR="003A274A">
          <w:rPr>
            <w:noProof/>
            <w:webHidden/>
          </w:rPr>
          <w:fldChar w:fldCharType="separate"/>
        </w:r>
        <w:r w:rsidR="00237A2A">
          <w:rPr>
            <w:noProof/>
            <w:webHidden/>
          </w:rPr>
          <w:t>31</w:t>
        </w:r>
        <w:r w:rsidR="003A274A">
          <w:rPr>
            <w:noProof/>
            <w:webHidden/>
          </w:rPr>
          <w:fldChar w:fldCharType="end"/>
        </w:r>
      </w:hyperlink>
    </w:p>
    <w:p w14:paraId="50D266E1" w14:textId="7A146CB9" w:rsidR="003A274A" w:rsidRDefault="0085341E" w:rsidP="007F5325">
      <w:pPr>
        <w:pStyle w:val="TOC2"/>
        <w:rPr>
          <w:rFonts w:asciiTheme="minorHAnsi" w:eastAsiaTheme="minorEastAsia" w:hAnsiTheme="minorHAnsi" w:cstheme="minorBidi"/>
          <w:noProof/>
          <w:lang w:eastAsia="zh-CN"/>
        </w:rPr>
      </w:pPr>
      <w:hyperlink w:anchor="_Toc27885965" w:history="1">
        <w:r w:rsidR="003A274A" w:rsidRPr="00D543D2">
          <w:rPr>
            <w:rStyle w:val="Hyperlink"/>
            <w:noProof/>
          </w:rPr>
          <w:t>Essential Requirements</w:t>
        </w:r>
        <w:r w:rsidR="003A274A">
          <w:rPr>
            <w:noProof/>
            <w:webHidden/>
          </w:rPr>
          <w:tab/>
        </w:r>
        <w:r w:rsidR="003A274A">
          <w:rPr>
            <w:noProof/>
            <w:webHidden/>
          </w:rPr>
          <w:fldChar w:fldCharType="begin"/>
        </w:r>
        <w:r w:rsidR="003A274A">
          <w:rPr>
            <w:noProof/>
            <w:webHidden/>
          </w:rPr>
          <w:instrText xml:space="preserve"> PAGEREF _Toc27885965 \h </w:instrText>
        </w:r>
        <w:r w:rsidR="003A274A">
          <w:rPr>
            <w:noProof/>
            <w:webHidden/>
          </w:rPr>
        </w:r>
        <w:r w:rsidR="003A274A">
          <w:rPr>
            <w:noProof/>
            <w:webHidden/>
          </w:rPr>
          <w:fldChar w:fldCharType="separate"/>
        </w:r>
        <w:r w:rsidR="00237A2A">
          <w:rPr>
            <w:noProof/>
            <w:webHidden/>
          </w:rPr>
          <w:t>31</w:t>
        </w:r>
        <w:r w:rsidR="003A274A">
          <w:rPr>
            <w:noProof/>
            <w:webHidden/>
          </w:rPr>
          <w:fldChar w:fldCharType="end"/>
        </w:r>
      </w:hyperlink>
    </w:p>
    <w:p w14:paraId="32C194B7" w14:textId="7C9C0165" w:rsidR="003A274A" w:rsidRDefault="0085341E" w:rsidP="007F5325">
      <w:pPr>
        <w:pStyle w:val="TOC2"/>
        <w:rPr>
          <w:rFonts w:asciiTheme="minorHAnsi" w:eastAsiaTheme="minorEastAsia" w:hAnsiTheme="minorHAnsi" w:cstheme="minorBidi"/>
          <w:noProof/>
          <w:lang w:eastAsia="zh-CN"/>
        </w:rPr>
      </w:pPr>
      <w:hyperlink w:anchor="_Toc27885966" w:history="1">
        <w:r w:rsidR="003A274A" w:rsidRPr="00D543D2">
          <w:rPr>
            <w:rStyle w:val="Hyperlink"/>
            <w:noProof/>
          </w:rPr>
          <w:t>Reference Files and Workflow Details</w:t>
        </w:r>
        <w:r w:rsidR="003A274A">
          <w:rPr>
            <w:noProof/>
            <w:webHidden/>
          </w:rPr>
          <w:tab/>
        </w:r>
        <w:r w:rsidR="003A274A">
          <w:rPr>
            <w:noProof/>
            <w:webHidden/>
          </w:rPr>
          <w:fldChar w:fldCharType="begin"/>
        </w:r>
        <w:r w:rsidR="003A274A">
          <w:rPr>
            <w:noProof/>
            <w:webHidden/>
          </w:rPr>
          <w:instrText xml:space="preserve"> PAGEREF _Toc27885966 \h </w:instrText>
        </w:r>
        <w:r w:rsidR="003A274A">
          <w:rPr>
            <w:noProof/>
            <w:webHidden/>
          </w:rPr>
        </w:r>
        <w:r w:rsidR="003A274A">
          <w:rPr>
            <w:noProof/>
            <w:webHidden/>
          </w:rPr>
          <w:fldChar w:fldCharType="separate"/>
        </w:r>
        <w:r w:rsidR="00237A2A">
          <w:rPr>
            <w:noProof/>
            <w:webHidden/>
          </w:rPr>
          <w:t>32</w:t>
        </w:r>
        <w:r w:rsidR="003A274A">
          <w:rPr>
            <w:noProof/>
            <w:webHidden/>
          </w:rPr>
          <w:fldChar w:fldCharType="end"/>
        </w:r>
      </w:hyperlink>
    </w:p>
    <w:p w14:paraId="4772F531" w14:textId="07EE7A34" w:rsidR="003A274A" w:rsidRDefault="0085341E" w:rsidP="007F5325">
      <w:pPr>
        <w:pStyle w:val="TOC2"/>
        <w:rPr>
          <w:rFonts w:asciiTheme="minorHAnsi" w:eastAsiaTheme="minorEastAsia" w:hAnsiTheme="minorHAnsi" w:cstheme="minorBidi"/>
          <w:noProof/>
          <w:lang w:eastAsia="zh-CN"/>
        </w:rPr>
      </w:pPr>
      <w:hyperlink w:anchor="_Toc27885967" w:history="1">
        <w:r w:rsidR="003A274A" w:rsidRPr="00D543D2">
          <w:rPr>
            <w:rStyle w:val="Hyperlink"/>
            <w:noProof/>
          </w:rPr>
          <w:t>Workflow Steps and Notable Parameters</w:t>
        </w:r>
        <w:r w:rsidR="003A274A">
          <w:rPr>
            <w:noProof/>
            <w:webHidden/>
          </w:rPr>
          <w:tab/>
        </w:r>
        <w:r w:rsidR="003A274A">
          <w:rPr>
            <w:noProof/>
            <w:webHidden/>
          </w:rPr>
          <w:fldChar w:fldCharType="begin"/>
        </w:r>
        <w:r w:rsidR="003A274A">
          <w:rPr>
            <w:noProof/>
            <w:webHidden/>
          </w:rPr>
          <w:instrText xml:space="preserve"> PAGEREF _Toc27885967 \h </w:instrText>
        </w:r>
        <w:r w:rsidR="003A274A">
          <w:rPr>
            <w:noProof/>
            <w:webHidden/>
          </w:rPr>
        </w:r>
        <w:r w:rsidR="003A274A">
          <w:rPr>
            <w:noProof/>
            <w:webHidden/>
          </w:rPr>
          <w:fldChar w:fldCharType="separate"/>
        </w:r>
        <w:r w:rsidR="00237A2A">
          <w:rPr>
            <w:noProof/>
            <w:webHidden/>
          </w:rPr>
          <w:t>32</w:t>
        </w:r>
        <w:r w:rsidR="003A274A">
          <w:rPr>
            <w:noProof/>
            <w:webHidden/>
          </w:rPr>
          <w:fldChar w:fldCharType="end"/>
        </w:r>
      </w:hyperlink>
    </w:p>
    <w:p w14:paraId="203521EF" w14:textId="62D2CFC4" w:rsidR="003A274A" w:rsidRDefault="0085341E" w:rsidP="007F5325">
      <w:pPr>
        <w:pStyle w:val="TOC1"/>
        <w:rPr>
          <w:rFonts w:asciiTheme="minorHAnsi" w:eastAsiaTheme="minorEastAsia" w:hAnsiTheme="minorHAnsi" w:cstheme="minorBidi"/>
          <w:bCs w:val="0"/>
          <w:lang w:eastAsia="zh-CN"/>
        </w:rPr>
      </w:pPr>
      <w:hyperlink w:anchor="_Toc27885968" w:history="1">
        <w:r w:rsidR="003A274A" w:rsidRPr="00D543D2">
          <w:rPr>
            <w:rStyle w:val="Hyperlink"/>
          </w:rPr>
          <w:t>Supplementary Materials 8: Comparisons of xenograft sequence data across PDTCs</w:t>
        </w:r>
        <w:r w:rsidR="003A274A">
          <w:rPr>
            <w:webHidden/>
          </w:rPr>
          <w:tab/>
        </w:r>
        <w:r w:rsidR="003A274A">
          <w:rPr>
            <w:webHidden/>
          </w:rPr>
          <w:fldChar w:fldCharType="begin"/>
        </w:r>
        <w:r w:rsidR="003A274A">
          <w:rPr>
            <w:webHidden/>
          </w:rPr>
          <w:instrText xml:space="preserve"> PAGEREF _Toc27885968 \h </w:instrText>
        </w:r>
        <w:r w:rsidR="003A274A">
          <w:rPr>
            <w:webHidden/>
          </w:rPr>
        </w:r>
        <w:r w:rsidR="003A274A">
          <w:rPr>
            <w:webHidden/>
          </w:rPr>
          <w:fldChar w:fldCharType="separate"/>
        </w:r>
        <w:r w:rsidR="00237A2A">
          <w:rPr>
            <w:webHidden/>
          </w:rPr>
          <w:t>34</w:t>
        </w:r>
        <w:r w:rsidR="003A274A">
          <w:rPr>
            <w:webHidden/>
          </w:rPr>
          <w:fldChar w:fldCharType="end"/>
        </w:r>
      </w:hyperlink>
    </w:p>
    <w:p w14:paraId="3E2FBF12" w14:textId="0CC6FD9E" w:rsidR="00350683" w:rsidRDefault="00350683" w:rsidP="007F5325">
      <w:pPr>
        <w:spacing w:line="276" w:lineRule="auto"/>
        <w:rPr>
          <w:b/>
          <w:bCs/>
        </w:rPr>
      </w:pPr>
      <w:r>
        <w:fldChar w:fldCharType="end"/>
      </w:r>
      <w:r>
        <w:br w:type="page"/>
      </w:r>
    </w:p>
    <w:p w14:paraId="3DD3548C" w14:textId="13B5B143" w:rsidR="007B2DE2" w:rsidRPr="00350683" w:rsidRDefault="006C6A11" w:rsidP="00540250">
      <w:pPr>
        <w:pStyle w:val="Heading1"/>
      </w:pPr>
      <w:bookmarkStart w:id="6" w:name="_Toc27885939"/>
      <w:r w:rsidRPr="00350683">
        <w:lastRenderedPageBreak/>
        <w:t>Supplementar</w:t>
      </w:r>
      <w:r w:rsidR="00F6464B" w:rsidRPr="00350683">
        <w:t>y Materials 1</w:t>
      </w:r>
      <w:r w:rsidR="00411D03" w:rsidRPr="00350683">
        <w:t xml:space="preserve">: </w:t>
      </w:r>
      <w:r w:rsidR="00133674" w:rsidRPr="00350683">
        <w:t xml:space="preserve">Tumor </w:t>
      </w:r>
      <w:r w:rsidR="00BA69F2">
        <w:t>V</w:t>
      </w:r>
      <w:r w:rsidRPr="00350683">
        <w:t xml:space="preserve">olume </w:t>
      </w:r>
      <w:r w:rsidR="00BA69F2">
        <w:t>D</w:t>
      </w:r>
      <w:r w:rsidR="00133674" w:rsidRPr="00350683">
        <w:t>ata</w:t>
      </w:r>
      <w:r w:rsidRPr="00350683">
        <w:t xml:space="preserve"> Analysis</w:t>
      </w:r>
      <w:bookmarkEnd w:id="6"/>
      <w:r w:rsidRPr="00350683">
        <w:t xml:space="preserve"> </w:t>
      </w:r>
    </w:p>
    <w:p w14:paraId="1B0799BC" w14:textId="49C5F423" w:rsidR="003B5290" w:rsidRDefault="003B5290" w:rsidP="003B5290">
      <w:pPr>
        <w:pStyle w:val="Heading2"/>
      </w:pPr>
      <w:bookmarkStart w:id="7" w:name="_Toc27885940"/>
      <w:r w:rsidRPr="00350683">
        <w:t xml:space="preserve">Tumor </w:t>
      </w:r>
      <w:r>
        <w:t>V</w:t>
      </w:r>
      <w:r w:rsidRPr="00350683">
        <w:t xml:space="preserve">olume </w:t>
      </w:r>
      <w:r>
        <w:t>D</w:t>
      </w:r>
      <w:r w:rsidRPr="00350683">
        <w:t xml:space="preserve">ata Analysis </w:t>
      </w:r>
      <w:r>
        <w:t>Metrics</w:t>
      </w:r>
      <w:bookmarkEnd w:id="7"/>
    </w:p>
    <w:p w14:paraId="2DB60731" w14:textId="77777777" w:rsidR="00BA69F2" w:rsidRDefault="003B5290" w:rsidP="00BA69F2">
      <w:pPr>
        <w:pStyle w:val="PaperParagraph"/>
      </w:pPr>
      <w:r>
        <w:t xml:space="preserve">Computational definitions of metrics used in this paper follow. </w:t>
      </w:r>
    </w:p>
    <w:p w14:paraId="0FD03092" w14:textId="533EDD20" w:rsidR="003B5290" w:rsidRPr="00BA69F2" w:rsidRDefault="003B5290" w:rsidP="00BA69F2">
      <w:pPr>
        <w:pStyle w:val="Heading3"/>
      </w:pPr>
      <w:bookmarkStart w:id="8" w:name="_Toc27885941"/>
      <w:r w:rsidRPr="00BA69F2">
        <w:t>Percent Change in tumor volume (</w:t>
      </w:r>
      <m:oMath>
        <m:sSub>
          <m:sSubPr>
            <m:ctrlPr>
              <w:rPr>
                <w:rFonts w:ascii="Cambria Math" w:hAnsi="Cambria Math"/>
              </w:rPr>
            </m:ctrlPr>
          </m:sSubPr>
          <m:e>
            <m:r>
              <m:rPr>
                <m:sty m:val="bi"/>
              </m:rPr>
              <w:rPr>
                <w:rFonts w:ascii="Cambria Math" w:hAnsi="Cambria Math"/>
              </w:rPr>
              <m:t>Δ</m:t>
            </m:r>
          </m:e>
          <m:sub>
            <m:sSub>
              <m:sSubPr>
                <m:ctrlPr>
                  <w:rPr>
                    <w:rFonts w:ascii="Cambria Math" w:hAnsi="Cambria Math"/>
                  </w:rPr>
                </m:ctrlPr>
              </m:sSubPr>
              <m:e>
                <m:r>
                  <m:rPr>
                    <m:sty m:val="bi"/>
                  </m:rPr>
                  <w:rPr>
                    <w:rFonts w:ascii="Cambria Math" w:hAnsi="Cambria Math"/>
                  </w:rPr>
                  <m:t>V</m:t>
                </m:r>
              </m:e>
              <m:sub>
                <m:r>
                  <m:rPr>
                    <m:sty m:val="bi"/>
                  </m:rPr>
                  <w:rPr>
                    <w:rFonts w:ascii="Cambria Math" w:hAnsi="Cambria Math"/>
                  </w:rPr>
                  <m:t>t</m:t>
                </m:r>
                <m:r>
                  <m:rPr>
                    <m:sty m:val="b"/>
                  </m:rPr>
                  <w:rPr>
                    <w:rFonts w:ascii="Cambria Math" w:hAnsi="Cambria Math"/>
                  </w:rPr>
                  <m:t xml:space="preserve"> </m:t>
                </m:r>
              </m:sub>
            </m:sSub>
          </m:sub>
        </m:sSub>
      </m:oMath>
      <w:r w:rsidRPr="00BA69F2">
        <w:t>)</w:t>
      </w:r>
      <w:bookmarkEnd w:id="8"/>
    </w:p>
    <w:p w14:paraId="58E26677" w14:textId="2E9E73E0" w:rsidR="003B5290" w:rsidRDefault="003B5290" w:rsidP="002F051C">
      <w:pPr>
        <w:pStyle w:val="PaperParagraph"/>
      </w:pPr>
      <w:r>
        <w:t xml:space="preserve">For an individual mouse, the response was determined by computing percent change in tumor volume from baseline to time as follows: % tumor volume change = </w:t>
      </w:r>
      <m:oMath>
        <m:sSub>
          <m:sSubPr>
            <m:ctrlPr>
              <w:rPr>
                <w:rFonts w:ascii="Cambria Math" w:hAnsi="Cambria Math"/>
              </w:rPr>
            </m:ctrlPr>
          </m:sSubPr>
          <m:e>
            <m:r>
              <w:rPr>
                <w:rFonts w:ascii="Cambria Math" w:hAnsi="Cambria Math"/>
              </w:rPr>
              <m:t>Δ</m:t>
            </m:r>
          </m:e>
          <m:sub>
            <m:sSub>
              <m:sSubPr>
                <m:ctrlPr>
                  <w:rPr>
                    <w:rFonts w:ascii="Cambria Math" w:hAnsi="Cambria Math"/>
                    <w:b/>
                  </w:rPr>
                </m:ctrlPr>
              </m:sSubPr>
              <m:e>
                <m:r>
                  <m:rPr>
                    <m:sty m:val="bi"/>
                  </m:rPr>
                  <w:rPr>
                    <w:rFonts w:ascii="Cambria Math" w:hAnsi="Cambria Math"/>
                  </w:rPr>
                  <m:t>V</m:t>
                </m:r>
              </m:e>
              <m:sub>
                <m:r>
                  <m:rPr>
                    <m:sty m:val="bi"/>
                  </m:rPr>
                  <w:rPr>
                    <w:rFonts w:ascii="Cambria Math" w:hAnsi="Cambria Math"/>
                  </w:rPr>
                  <m:t xml:space="preserve">t </m:t>
                </m:r>
              </m:sub>
            </m:sSub>
          </m:sub>
        </m:sSub>
        <m:r>
          <m:rPr>
            <m:sty m:val="bi"/>
          </m:rPr>
          <w:rPr>
            <w:rFonts w:ascii="Cambria Math" w:hAnsi="Cambria Math"/>
          </w:rPr>
          <m:t>=</m:t>
        </m:r>
        <m:f>
          <m:fPr>
            <m:ctrlPr>
              <w:rPr>
                <w:rFonts w:ascii="Cambria Math" w:hAnsi="Cambria Math"/>
                <w:b/>
              </w:rPr>
            </m:ctrlPr>
          </m:fPr>
          <m:num>
            <m:sSub>
              <m:sSubPr>
                <m:ctrlPr>
                  <w:rPr>
                    <w:rFonts w:ascii="Cambria Math" w:hAnsi="Cambria Math"/>
                    <w:b/>
                  </w:rPr>
                </m:ctrlPr>
              </m:sSubPr>
              <m:e>
                <m:r>
                  <m:rPr>
                    <m:sty m:val="bi"/>
                  </m:rPr>
                  <w:rPr>
                    <w:rFonts w:ascii="Cambria Math" w:hAnsi="Cambria Math"/>
                  </w:rPr>
                  <m:t>V</m:t>
                </m:r>
              </m:e>
              <m:sub>
                <m:r>
                  <m:rPr>
                    <m:sty m:val="bi"/>
                  </m:rPr>
                  <w:rPr>
                    <w:rFonts w:ascii="Cambria Math" w:hAnsi="Cambria Math"/>
                  </w:rPr>
                  <m:t xml:space="preserve">t </m:t>
                </m:r>
              </m:sub>
            </m:sSub>
            <m:r>
              <m:rPr>
                <m:sty m:val="bi"/>
              </m:rPr>
              <w:rPr>
                <w:rFonts w:ascii="Cambria Math" w:hAnsi="Cambria Math"/>
              </w:rPr>
              <m:t>-</m:t>
            </m:r>
            <m:sSub>
              <m:sSubPr>
                <m:ctrlPr>
                  <w:rPr>
                    <w:rFonts w:ascii="Cambria Math" w:hAnsi="Cambria Math"/>
                    <w:b/>
                  </w:rPr>
                </m:ctrlPr>
              </m:sSubPr>
              <m:e>
                <m:r>
                  <m:rPr>
                    <m:sty m:val="bi"/>
                  </m:rPr>
                  <w:rPr>
                    <w:rFonts w:ascii="Cambria Math" w:hAnsi="Cambria Math"/>
                  </w:rPr>
                  <m:t>V</m:t>
                </m:r>
              </m:e>
              <m:sub>
                <m:r>
                  <m:rPr>
                    <m:sty m:val="bi"/>
                  </m:rPr>
                  <w:rPr>
                    <w:rFonts w:ascii="Cambria Math" w:hAnsi="Cambria Math"/>
                  </w:rPr>
                  <m:t>0</m:t>
                </m:r>
              </m:sub>
            </m:sSub>
          </m:num>
          <m:den>
            <m:sSub>
              <m:sSubPr>
                <m:ctrlPr>
                  <w:rPr>
                    <w:rFonts w:ascii="Cambria Math" w:hAnsi="Cambria Math"/>
                    <w:b/>
                  </w:rPr>
                </m:ctrlPr>
              </m:sSubPr>
              <m:e>
                <m:r>
                  <m:rPr>
                    <m:sty m:val="bi"/>
                  </m:rPr>
                  <w:rPr>
                    <w:rFonts w:ascii="Cambria Math" w:hAnsi="Cambria Math"/>
                  </w:rPr>
                  <m:t>V</m:t>
                </m:r>
              </m:e>
              <m:sub>
                <m:r>
                  <m:rPr>
                    <m:sty m:val="bi"/>
                  </m:rPr>
                  <w:rPr>
                    <w:rFonts w:ascii="Cambria Math" w:hAnsi="Cambria Math"/>
                  </w:rPr>
                  <m:t>0</m:t>
                </m:r>
              </m:sub>
            </m:sSub>
          </m:den>
        </m:f>
        <m:r>
          <m:rPr>
            <m:sty m:val="bi"/>
          </m:rPr>
          <w:rPr>
            <w:rFonts w:ascii="Cambria Math" w:hAnsi="Cambria Math"/>
          </w:rPr>
          <m:t>×100</m:t>
        </m:r>
      </m:oMath>
      <w:r>
        <w:t xml:space="preserve">,  where </w:t>
      </w:r>
      <m:oMath>
        <m:sSub>
          <m:sSubPr>
            <m:ctrlPr>
              <w:rPr>
                <w:rFonts w:ascii="Cambria Math" w:hAnsi="Cambria Math"/>
              </w:rPr>
            </m:ctrlPr>
          </m:sSubPr>
          <m:e>
            <m:r>
              <w:rPr>
                <w:rFonts w:ascii="Cambria Math" w:hAnsi="Cambria Math"/>
              </w:rPr>
              <m:t>V</m:t>
            </m:r>
          </m:e>
          <m:sub>
            <m:r>
              <w:rPr>
                <w:rFonts w:ascii="Cambria Math" w:hAnsi="Cambria Math"/>
              </w:rPr>
              <m:t xml:space="preserve">t </m:t>
            </m:r>
          </m:sub>
        </m:sSub>
      </m:oMath>
      <w:r>
        <w:t xml:space="preserve"> is the tumor volume at time t and </w:t>
      </w:r>
      <m:oMath>
        <m:sSub>
          <m:sSubPr>
            <m:ctrlPr>
              <w:rPr>
                <w:rFonts w:ascii="Cambria Math" w:hAnsi="Cambria Math"/>
              </w:rPr>
            </m:ctrlPr>
          </m:sSubPr>
          <m:e>
            <m:r>
              <w:rPr>
                <w:rFonts w:ascii="Cambria Math" w:hAnsi="Cambria Math"/>
              </w:rPr>
              <m:t>V</m:t>
            </m:r>
          </m:e>
          <m:sub>
            <m:r>
              <w:rPr>
                <w:rFonts w:ascii="Cambria Math" w:hAnsi="Cambria Math"/>
              </w:rPr>
              <m:t>0</m:t>
            </m:r>
          </m:sub>
        </m:sSub>
      </m:oMath>
      <w:r>
        <w:t xml:space="preserve"> is the tumor volume at baseline. For animals for which there is no tumor volume measurement at time t but which have flanking volume measurements at time </w:t>
      </w:r>
      <m:oMath>
        <m:sSub>
          <m:sSubPr>
            <m:ctrlPr>
              <w:rPr>
                <w:rFonts w:ascii="Cambria Math" w:hAnsi="Cambria Math"/>
              </w:rPr>
            </m:ctrlPr>
          </m:sSubPr>
          <m:e>
            <m:r>
              <w:rPr>
                <w:rFonts w:ascii="Cambria Math" w:hAnsi="Cambria Math"/>
              </w:rPr>
              <m:t>t</m:t>
            </m:r>
          </m:e>
          <m:sub>
            <m:r>
              <w:rPr>
                <w:rFonts w:ascii="Cambria Math" w:hAnsi="Cambria Math"/>
              </w:rPr>
              <m:t>0</m:t>
            </m:r>
          </m:sub>
        </m:sSub>
      </m:oMath>
      <w:r>
        <w:t xml:space="preserve"> and </w:t>
      </w:r>
      <m:oMath>
        <m:sSub>
          <m:sSubPr>
            <m:ctrlPr>
              <w:rPr>
                <w:rFonts w:ascii="Cambria Math" w:hAnsi="Cambria Math"/>
              </w:rPr>
            </m:ctrlPr>
          </m:sSubPr>
          <m:e>
            <m:r>
              <w:rPr>
                <w:rFonts w:ascii="Cambria Math" w:hAnsi="Cambria Math"/>
              </w:rPr>
              <m:t>t</m:t>
            </m:r>
          </m:e>
          <m:sub>
            <m:r>
              <w:rPr>
                <w:rFonts w:ascii="Cambria Math" w:hAnsi="Cambria Math"/>
              </w:rPr>
              <m:t>1</m:t>
            </m:r>
          </m:sub>
        </m:sSub>
      </m:oMath>
      <w:r>
        <w:t xml:space="preserve"> such that </w:t>
      </w:r>
      <m:oMath>
        <m:sSub>
          <m:sSubPr>
            <m:ctrlPr>
              <w:rPr>
                <w:rFonts w:ascii="Cambria Math" w:hAnsi="Cambria Math"/>
              </w:rPr>
            </m:ctrlPr>
          </m:sSubPr>
          <m:e>
            <m:r>
              <w:rPr>
                <w:rFonts w:ascii="Cambria Math" w:hAnsi="Cambria Math"/>
              </w:rPr>
              <m:t>t</m:t>
            </m:r>
          </m:e>
          <m:sub>
            <m:r>
              <w:rPr>
                <w:rFonts w:ascii="Cambria Math" w:hAnsi="Cambria Math"/>
              </w:rPr>
              <m:t>0</m:t>
            </m:r>
          </m:sub>
        </m:sSub>
        <m:r>
          <w:rPr>
            <w:rFonts w:ascii="Cambria Math" w:hAnsi="Cambria Math"/>
          </w:rPr>
          <m:t>&lt;t&lt;</m:t>
        </m:r>
        <m:sSub>
          <m:sSubPr>
            <m:ctrlPr>
              <w:rPr>
                <w:rFonts w:ascii="Cambria Math" w:hAnsi="Cambria Math"/>
              </w:rPr>
            </m:ctrlPr>
          </m:sSubPr>
          <m:e>
            <m:r>
              <w:rPr>
                <w:rFonts w:ascii="Cambria Math" w:hAnsi="Cambria Math"/>
              </w:rPr>
              <m:t>t</m:t>
            </m:r>
          </m:e>
          <m:sub>
            <m:r>
              <w:rPr>
                <w:rFonts w:ascii="Cambria Math" w:hAnsi="Cambria Math"/>
              </w:rPr>
              <m:t xml:space="preserve">1 </m:t>
            </m:r>
          </m:sub>
        </m:sSub>
      </m:oMath>
      <w:r>
        <w:t xml:space="preserve">, then we use linear interpolation to compute the measurement.  That is, we compute </w:t>
      </w:r>
    </w:p>
    <w:p w14:paraId="0081D952" w14:textId="77777777" w:rsidR="003B5290" w:rsidRDefault="0085341E" w:rsidP="003B5290">
      <w:pPr>
        <w:pStyle w:val="equation"/>
        <w:jc w:val="left"/>
      </w:pPr>
      <m:oMathPara>
        <m:oMath>
          <m:sSub>
            <m:sSubPr>
              <m:ctrlPr/>
            </m:sSubPr>
            <m:e>
              <m:r>
                <m:t>Δ</m:t>
              </m:r>
            </m:e>
            <m:sub>
              <m:sSub>
                <m:sSubPr>
                  <m:ctrlPr/>
                </m:sSubPr>
                <m:e>
                  <m:r>
                    <m:t>V</m:t>
                  </m:r>
                </m:e>
                <m:sub>
                  <m:r>
                    <m:t>t</m:t>
                  </m:r>
                </m:sub>
              </m:sSub>
            </m:sub>
          </m:sSub>
          <m:r>
            <m:t>=</m:t>
          </m:r>
          <m:sSub>
            <m:sSubPr>
              <m:ctrlPr/>
            </m:sSubPr>
            <m:e>
              <m:r>
                <m:t>Δ</m:t>
              </m:r>
            </m:e>
            <m:sub>
              <m:sSub>
                <m:sSubPr>
                  <m:ctrlPr/>
                </m:sSubPr>
                <m:e>
                  <m:r>
                    <m:t>V</m:t>
                  </m:r>
                </m:e>
                <m:sub>
                  <m:r>
                    <m:t>0</m:t>
                  </m:r>
                </m:sub>
              </m:sSub>
            </m:sub>
          </m:sSub>
          <m:r>
            <m:t>+β(t-</m:t>
          </m:r>
          <m:sSub>
            <m:sSubPr>
              <m:ctrlPr/>
            </m:sSubPr>
            <m:e>
              <m:r>
                <m:t>t</m:t>
              </m:r>
            </m:e>
            <m:sub>
              <m:r>
                <m:t>0</m:t>
              </m:r>
            </m:sub>
          </m:sSub>
          <m:r>
            <m:t>)</m:t>
          </m:r>
        </m:oMath>
      </m:oMathPara>
    </w:p>
    <w:p w14:paraId="107ADC75" w14:textId="77777777" w:rsidR="003B5290" w:rsidRDefault="003B5290" w:rsidP="002F051C">
      <w:pPr>
        <w:pStyle w:val="PaperParagraph"/>
      </w:pPr>
      <w:r>
        <w:t xml:space="preserve">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Δ</m:t>
            </m:r>
          </m:e>
          <m:sub>
            <m:sSub>
              <m:sSubPr>
                <m:ctrlPr>
                  <w:rPr>
                    <w:rFonts w:ascii="Cambria Math" w:hAnsi="Cambria Math"/>
                  </w:rPr>
                </m:ctrlPr>
              </m:sSubPr>
              <m:e>
                <m:r>
                  <w:rPr>
                    <w:rFonts w:ascii="Cambria Math" w:hAnsi="Cambria Math"/>
                  </w:rPr>
                  <m:t>V</m:t>
                </m:r>
              </m:e>
              <m:sub>
                <m:r>
                  <w:rPr>
                    <w:rFonts w:ascii="Cambria Math" w:hAnsi="Cambria Math"/>
                  </w:rPr>
                  <m:t>t</m:t>
                </m:r>
                <m:r>
                  <m:rPr>
                    <m:sty m:val="p"/>
                  </m:rPr>
                  <w:rPr>
                    <w:rFonts w:ascii="Cambria Math" w:hAnsi="Cambria Math"/>
                  </w:rPr>
                  <m:t>1</m:t>
                </m:r>
              </m:sub>
            </m:sSub>
          </m:sub>
        </m:sSub>
        <m:r>
          <m:rPr>
            <m:sty m:val="p"/>
          </m:rPr>
          <w:rPr>
            <w:rFonts w:ascii="Cambria Math" w:hAnsi="Cambria Math"/>
          </w:rPr>
          <m:t>-</m:t>
        </m:r>
        <m:sSub>
          <m:sSubPr>
            <m:ctrlPr>
              <w:rPr>
                <w:rFonts w:ascii="Cambria Math" w:hAnsi="Cambria Math"/>
              </w:rPr>
            </m:ctrlPr>
          </m:sSubPr>
          <m:e>
            <m:r>
              <w:rPr>
                <w:rFonts w:ascii="Cambria Math" w:hAnsi="Cambria Math"/>
              </w:rPr>
              <m:t>Δ</m:t>
            </m:r>
          </m:e>
          <m:sub>
            <m:sSub>
              <m:sSubPr>
                <m:ctrlPr>
                  <w:rPr>
                    <w:rFonts w:ascii="Cambria Math" w:hAnsi="Cambria Math"/>
                  </w:rPr>
                </m:ctrlPr>
              </m:sSubPr>
              <m:e>
                <m:r>
                  <w:rPr>
                    <w:rFonts w:ascii="Cambria Math" w:hAnsi="Cambria Math"/>
                  </w:rPr>
                  <m:t>V</m:t>
                </m:r>
              </m:e>
              <m:sub>
                <m:r>
                  <w:rPr>
                    <w:rFonts w:ascii="Cambria Math" w:hAnsi="Cambria Math"/>
                  </w:rPr>
                  <m:t>t</m:t>
                </m:r>
                <m:r>
                  <m:rPr>
                    <m:sty m:val="p"/>
                  </m:rPr>
                  <w:rPr>
                    <w:rFonts w:ascii="Cambria Math" w:hAnsi="Cambria Math"/>
                  </w:rPr>
                  <m:t>0</m:t>
                </m:r>
              </m:sub>
            </m:sSub>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0</m:t>
            </m:r>
          </m:sub>
        </m:sSub>
        <m:r>
          <m:rPr>
            <m:sty m:val="p"/>
          </m:rPr>
          <w:rPr>
            <w:rFonts w:ascii="Cambria Math" w:hAnsi="Cambria Math"/>
          </w:rPr>
          <m:t>)</m:t>
        </m:r>
      </m:oMath>
      <w:r>
        <w:t>.</w:t>
      </w:r>
    </w:p>
    <w:p w14:paraId="54683AC9" w14:textId="77777777" w:rsidR="003B5290" w:rsidRDefault="003B5290" w:rsidP="002F051C">
      <w:pPr>
        <w:pStyle w:val="PaperParagraph"/>
      </w:pPr>
      <w:r>
        <w:t>All responses defined below were based on the interpolated tumor volume changes.</w:t>
      </w:r>
    </w:p>
    <w:p w14:paraId="3DA424E6" w14:textId="77777777" w:rsidR="003B5290" w:rsidRPr="003B5290" w:rsidRDefault="003B5290" w:rsidP="003B5290">
      <w:pPr>
        <w:pStyle w:val="Heading3"/>
      </w:pPr>
      <w:bookmarkStart w:id="9" w:name="_Toc12018419"/>
      <w:bookmarkStart w:id="10" w:name="_Toc12041567"/>
      <w:bookmarkStart w:id="11" w:name="_Toc12041725"/>
      <w:bookmarkStart w:id="12" w:name="_Toc12437869"/>
      <w:bookmarkStart w:id="13" w:name="_Toc12438331"/>
      <w:bookmarkStart w:id="14" w:name="_Toc15283932"/>
      <w:bookmarkStart w:id="15" w:name="_Toc16606354"/>
      <w:bookmarkStart w:id="16" w:name="_Toc27885942"/>
      <w:r w:rsidRPr="003B5290">
        <w:t>Area under the tumor growth curve up to time t (</w:t>
      </w:r>
      <m:oMath>
        <m:r>
          <m:rPr>
            <m:sty m:val="bi"/>
          </m:rPr>
          <w:rPr>
            <w:rFonts w:ascii="Cambria Math" w:hAnsi="Cambria Math"/>
          </w:rPr>
          <m:t>aAU</m:t>
        </m:r>
        <m:sSub>
          <m:sSubPr>
            <m:ctrlPr>
              <w:rPr>
                <w:rFonts w:ascii="Cambria Math" w:hAnsi="Cambria Math"/>
              </w:rPr>
            </m:ctrlPr>
          </m:sSubPr>
          <m:e>
            <m:r>
              <m:rPr>
                <m:sty m:val="bi"/>
              </m:rPr>
              <w:rPr>
                <w:rFonts w:ascii="Cambria Math" w:hAnsi="Cambria Math"/>
              </w:rPr>
              <m:t>C</m:t>
            </m:r>
          </m:e>
          <m:sub>
            <m:r>
              <m:rPr>
                <m:sty m:val="bi"/>
              </m:rPr>
              <w:rPr>
                <w:rFonts w:ascii="Cambria Math" w:hAnsi="Cambria Math"/>
              </w:rPr>
              <m:t>t</m:t>
            </m:r>
          </m:sub>
        </m:sSub>
      </m:oMath>
      <w:r w:rsidRPr="003B5290">
        <w:t>)</w:t>
      </w:r>
      <w:bookmarkEnd w:id="9"/>
      <w:bookmarkEnd w:id="10"/>
      <w:bookmarkEnd w:id="11"/>
      <w:bookmarkEnd w:id="12"/>
      <w:bookmarkEnd w:id="13"/>
      <w:bookmarkEnd w:id="14"/>
      <w:bookmarkEnd w:id="15"/>
      <w:bookmarkEnd w:id="16"/>
    </w:p>
    <w:p w14:paraId="5D284EB0" w14:textId="77777777" w:rsidR="003B5290" w:rsidRDefault="003B5290" w:rsidP="002F051C">
      <w:pPr>
        <w:pStyle w:val="PaperParagraph"/>
      </w:pPr>
      <w:r>
        <w:t xml:space="preserve">For this measure, we computed the area under the tumor growth curve from baseline up to time t, normalized by dividing by t. With this normalization factor, the interpretation of this measure is the average percent change in tumor size from baseline to time. If there was no tumor measurement at time t but measurements at flanking measurements at time </w:t>
      </w:r>
      <m:oMath>
        <m:sSub>
          <m:sSubPr>
            <m:ctrlPr>
              <w:rPr>
                <w:rFonts w:ascii="Cambria Math" w:hAnsi="Cambria Math"/>
              </w:rPr>
            </m:ctrlPr>
          </m:sSubPr>
          <m:e>
            <m:r>
              <w:rPr>
                <w:rFonts w:ascii="Cambria Math" w:hAnsi="Cambria Math"/>
              </w:rPr>
              <m:t>t</m:t>
            </m:r>
          </m:e>
          <m:sub>
            <m:r>
              <w:rPr>
                <w:rFonts w:ascii="Cambria Math" w:hAnsi="Cambria Math"/>
              </w:rPr>
              <m:t>0</m:t>
            </m:r>
          </m:sub>
        </m:sSub>
      </m:oMath>
      <w:r>
        <w:t xml:space="preserve"> and </w:t>
      </w:r>
      <m:oMath>
        <m:sSub>
          <m:sSubPr>
            <m:ctrlPr>
              <w:rPr>
                <w:rFonts w:ascii="Cambria Math" w:hAnsi="Cambria Math"/>
              </w:rPr>
            </m:ctrlPr>
          </m:sSubPr>
          <m:e>
            <m:r>
              <w:rPr>
                <w:rFonts w:ascii="Cambria Math" w:hAnsi="Cambria Math"/>
              </w:rPr>
              <m:t>t</m:t>
            </m:r>
          </m:e>
          <m:sub>
            <m:r>
              <w:rPr>
                <w:rFonts w:ascii="Cambria Math" w:hAnsi="Cambria Math"/>
              </w:rPr>
              <m:t>1</m:t>
            </m:r>
          </m:sub>
        </m:sSub>
      </m:oMath>
      <w:r>
        <w:t xml:space="preserve"> such that </w:t>
      </w:r>
      <m:oMath>
        <m:sSub>
          <m:sSubPr>
            <m:ctrlPr>
              <w:rPr>
                <w:rFonts w:ascii="Cambria Math" w:hAnsi="Cambria Math"/>
              </w:rPr>
            </m:ctrlPr>
          </m:sSubPr>
          <m:e>
            <m:r>
              <w:rPr>
                <w:rFonts w:ascii="Cambria Math" w:hAnsi="Cambria Math"/>
              </w:rPr>
              <m:t>t</m:t>
            </m:r>
          </m:e>
          <m:sub>
            <m:r>
              <w:rPr>
                <w:rFonts w:ascii="Cambria Math" w:hAnsi="Cambria Math"/>
              </w:rPr>
              <m:t>0</m:t>
            </m:r>
          </m:sub>
        </m:sSub>
        <m:r>
          <w:rPr>
            <w:rFonts w:ascii="Cambria Math" w:hAnsi="Cambria Math"/>
          </w:rPr>
          <m:t>&lt;t&lt;</m:t>
        </m:r>
        <m:sSub>
          <m:sSubPr>
            <m:ctrlPr>
              <w:rPr>
                <w:rFonts w:ascii="Cambria Math" w:hAnsi="Cambria Math"/>
              </w:rPr>
            </m:ctrlPr>
          </m:sSubPr>
          <m:e>
            <m:r>
              <w:rPr>
                <w:rFonts w:ascii="Cambria Math" w:hAnsi="Cambria Math"/>
              </w:rPr>
              <m:t>t</m:t>
            </m:r>
          </m:e>
          <m:sub>
            <m:r>
              <w:rPr>
                <w:rFonts w:ascii="Cambria Math" w:hAnsi="Cambria Math"/>
              </w:rPr>
              <m:t xml:space="preserve">1 </m:t>
            </m:r>
          </m:sub>
        </m:sSub>
      </m:oMath>
      <w:r>
        <w:t>, then we used linear interpolation to estimate the tumor volume at t.</w:t>
      </w:r>
    </w:p>
    <w:p w14:paraId="6E5FAC8C" w14:textId="1FC4D085" w:rsidR="003B5290" w:rsidRPr="003B5290" w:rsidRDefault="003B5290" w:rsidP="003B5290">
      <w:pPr>
        <w:pStyle w:val="Heading3"/>
      </w:pPr>
      <w:bookmarkStart w:id="17" w:name="_Toc12018420"/>
      <w:bookmarkStart w:id="18" w:name="_Toc12041568"/>
      <w:bookmarkStart w:id="19" w:name="_Toc12041726"/>
      <w:bookmarkStart w:id="20" w:name="_Toc12437870"/>
      <w:bookmarkStart w:id="21" w:name="_Toc12438332"/>
      <w:bookmarkStart w:id="22" w:name="_Toc15283933"/>
      <w:bookmarkStart w:id="23" w:name="_Toc16606355"/>
      <w:bookmarkStart w:id="24" w:name="_Toc27885943"/>
      <w:r w:rsidRPr="003B5290">
        <w:lastRenderedPageBreak/>
        <w:t>Adjusted area under the curve (</w:t>
      </w:r>
      <m:oMath>
        <m:r>
          <m:rPr>
            <m:sty m:val="bi"/>
          </m:rPr>
          <w:rPr>
            <w:rFonts w:ascii="Cambria Math" w:hAnsi="Cambria Math"/>
          </w:rPr>
          <m:t>aAU</m:t>
        </m:r>
        <m:sSub>
          <m:sSubPr>
            <m:ctrlPr>
              <w:rPr>
                <w:rFonts w:ascii="Cambria Math" w:hAnsi="Cambria Math"/>
              </w:rPr>
            </m:ctrlPr>
          </m:sSubPr>
          <m:e>
            <m:r>
              <m:rPr>
                <m:sty m:val="bi"/>
              </m:rPr>
              <w:rPr>
                <w:rFonts w:ascii="Cambria Math" w:hAnsi="Cambria Math"/>
              </w:rPr>
              <m:t>C</m:t>
            </m:r>
          </m:e>
          <m:sub>
            <m:r>
              <m:rPr>
                <m:sty m:val="bi"/>
              </m:rPr>
              <w:rPr>
                <w:rFonts w:ascii="Cambria Math" w:hAnsi="Cambria Math"/>
              </w:rPr>
              <m:t>max</m:t>
            </m:r>
          </m:sub>
        </m:sSub>
      </m:oMath>
      <w:r w:rsidRPr="003B5290">
        <w:t>)</w:t>
      </w:r>
      <w:bookmarkEnd w:id="17"/>
      <w:bookmarkEnd w:id="18"/>
      <w:bookmarkEnd w:id="19"/>
      <w:bookmarkEnd w:id="20"/>
      <w:bookmarkEnd w:id="21"/>
      <w:bookmarkEnd w:id="22"/>
      <w:bookmarkEnd w:id="23"/>
      <w:bookmarkEnd w:id="24"/>
    </w:p>
    <w:p w14:paraId="676B654D" w14:textId="77777777" w:rsidR="003B5290" w:rsidRDefault="003B5290" w:rsidP="002F051C">
      <w:pPr>
        <w:pStyle w:val="PaperParagraph"/>
      </w:pPr>
      <w:r>
        <w:t xml:space="preserve">We also computed the area under the curve from baseline to the last measurement time point, which for animal i is given by notation </w:t>
      </w:r>
      <m:oMath>
        <m:sSub>
          <m:sSubPr>
            <m:ctrlPr>
              <w:rPr>
                <w:rFonts w:ascii="Cambria Math" w:hAnsi="Cambria Math"/>
              </w:rPr>
            </m:ctrlPr>
          </m:sSubPr>
          <m:e>
            <m:r>
              <w:rPr>
                <w:rFonts w:ascii="Cambria Math" w:hAnsi="Cambria Math"/>
              </w:rPr>
              <m:t>τ</m:t>
            </m:r>
          </m:e>
          <m:sub>
            <m:r>
              <w:rPr>
                <w:rFonts w:ascii="Cambria Math" w:hAnsi="Cambria Math"/>
              </w:rPr>
              <m:t xml:space="preserve">i </m:t>
            </m:r>
          </m:sub>
        </m:sSub>
      </m:oMath>
      <w:r>
        <w:t>. We adjusted the AUC by dividing by the length of the interval between the baseline and the last time point for which a tumor volume was computed for each mouse,</w:t>
      </w:r>
      <m:oMath>
        <m:sSub>
          <m:sSubPr>
            <m:ctrlPr>
              <w:rPr>
                <w:rFonts w:ascii="Cambria Math" w:hAnsi="Cambria Math"/>
              </w:rPr>
            </m:ctrlPr>
          </m:sSubPr>
          <m:e>
            <m:r>
              <w:rPr>
                <w:rFonts w:ascii="Cambria Math" w:hAnsi="Cambria Math"/>
              </w:rPr>
              <m:t>τ</m:t>
            </m:r>
          </m:e>
          <m:sub>
            <m:r>
              <w:rPr>
                <w:rFonts w:ascii="Cambria Math" w:hAnsi="Cambria Math"/>
              </w:rPr>
              <m:t>i</m:t>
            </m:r>
          </m:sub>
        </m:sSub>
      </m:oMath>
      <w:r>
        <w:t xml:space="preserve">, which makes the interpretation of this measure the average percent change in tumor size from baseline to last measurement in the study. </w:t>
      </w:r>
    </w:p>
    <w:p w14:paraId="1E1A3149" w14:textId="2041FD27" w:rsidR="003B5290" w:rsidRPr="003B5290" w:rsidRDefault="003B5290" w:rsidP="003B5290">
      <w:pPr>
        <w:pStyle w:val="Heading3"/>
      </w:pPr>
      <w:bookmarkStart w:id="25" w:name="_Toc12018421"/>
      <w:bookmarkStart w:id="26" w:name="_Toc12041569"/>
      <w:bookmarkStart w:id="27" w:name="_Toc12041727"/>
      <w:bookmarkStart w:id="28" w:name="_Toc12437871"/>
      <w:bookmarkStart w:id="29" w:name="_Toc12438333"/>
      <w:bookmarkStart w:id="30" w:name="_Toc15283934"/>
      <w:bookmarkStart w:id="31" w:name="_Toc16606356"/>
      <w:bookmarkStart w:id="32" w:name="_Toc27885944"/>
      <w:r w:rsidRPr="003B5290">
        <w:t>RECIST criteria (</w:t>
      </w:r>
      <m:oMath>
        <m:r>
          <m:rPr>
            <m:sty m:val="bi"/>
          </m:rPr>
          <w:rPr>
            <w:rFonts w:ascii="Cambria Math" w:hAnsi="Cambria Math"/>
          </w:rPr>
          <m:t>RECIS</m:t>
        </m:r>
        <m:sSub>
          <m:sSubPr>
            <m:ctrlPr>
              <w:rPr>
                <w:rFonts w:ascii="Cambria Math" w:hAnsi="Cambria Math"/>
              </w:rPr>
            </m:ctrlPr>
          </m:sSubPr>
          <m:e>
            <m:r>
              <m:rPr>
                <m:sty m:val="bi"/>
              </m:rPr>
              <w:rPr>
                <w:rFonts w:ascii="Cambria Math" w:hAnsi="Cambria Math"/>
              </w:rPr>
              <m:t>T</m:t>
            </m:r>
          </m:e>
          <m:sub>
            <m:r>
              <m:rPr>
                <m:sty m:val="bi"/>
              </m:rPr>
              <w:rPr>
                <w:rFonts w:ascii="Cambria Math" w:hAnsi="Cambria Math"/>
              </w:rPr>
              <m:t>t</m:t>
            </m:r>
            <m:r>
              <m:rPr>
                <m:sty m:val="b"/>
              </m:rPr>
              <w:rPr>
                <w:rFonts w:ascii="Cambria Math" w:hAnsi="Cambria Math"/>
              </w:rPr>
              <m:t>,</m:t>
            </m:r>
            <m:r>
              <m:rPr>
                <m:sty m:val="bi"/>
              </m:rPr>
              <w:rPr>
                <w:rFonts w:ascii="Cambria Math" w:hAnsi="Cambria Math"/>
              </w:rPr>
              <m:t>c</m:t>
            </m:r>
          </m:sub>
        </m:sSub>
      </m:oMath>
      <w:r w:rsidRPr="003B5290">
        <w:t>)</w:t>
      </w:r>
      <w:bookmarkEnd w:id="25"/>
      <w:bookmarkEnd w:id="26"/>
      <w:bookmarkEnd w:id="27"/>
      <w:bookmarkEnd w:id="28"/>
      <w:bookmarkEnd w:id="29"/>
      <w:bookmarkEnd w:id="30"/>
      <w:bookmarkEnd w:id="31"/>
      <w:bookmarkEnd w:id="32"/>
    </w:p>
    <w:p w14:paraId="6DE19017" w14:textId="77777777" w:rsidR="003B5290" w:rsidRDefault="003B5290" w:rsidP="002F051C">
      <w:pPr>
        <w:pStyle w:val="PaperParagraph"/>
      </w:pPr>
      <w:r>
        <w:t xml:space="preserve">This outcome mimics the typical RECIST response criteria commonly used in clinical trials for solid tumors to classify each patient as complete response (CR), partial response (PR), stable disease (SD), or progressive disease (PD). At prespecified time t, each animal was classified into one of these four categories based on their percent tumor volume change from baseline based on cut points </w:t>
      </w:r>
      <m:oMath>
        <m:sSub>
          <m:sSubPr>
            <m:ctrlPr>
              <w:rPr>
                <w:rFonts w:ascii="Cambria Math" w:hAnsi="Cambria Math"/>
              </w:rPr>
            </m:ctrlPr>
          </m:sSubPr>
          <m:e>
            <m:r>
              <w:rPr>
                <w:rFonts w:ascii="Cambria Math" w:hAnsi="Cambria Math"/>
              </w:rPr>
              <m:t>c</m:t>
            </m:r>
          </m:e>
          <m:sub>
            <m:r>
              <w:rPr>
                <w:rFonts w:ascii="Cambria Math" w:hAnsi="Cambria Math"/>
              </w:rPr>
              <m:t>1</m:t>
            </m:r>
          </m:sub>
        </m:sSub>
        <m:r>
          <w:rPr>
            <w:rFonts w:ascii="Cambria Math" w:hAnsi="Cambria Math"/>
          </w:rPr>
          <m:t>&lt;</m:t>
        </m:r>
        <m:sSub>
          <m:sSubPr>
            <m:ctrlPr>
              <w:rPr>
                <w:rFonts w:ascii="Cambria Math" w:hAnsi="Cambria Math"/>
              </w:rPr>
            </m:ctrlPr>
          </m:sSubPr>
          <m:e>
            <m:r>
              <w:rPr>
                <w:rFonts w:ascii="Cambria Math" w:hAnsi="Cambria Math"/>
              </w:rPr>
              <m:t>c</m:t>
            </m:r>
          </m:e>
          <m:sub>
            <m:r>
              <w:rPr>
                <w:rFonts w:ascii="Cambria Math" w:hAnsi="Cambria Math"/>
              </w:rPr>
              <m:t>2</m:t>
            </m:r>
          </m:sub>
        </m:sSub>
        <m:r>
          <w:rPr>
            <w:rFonts w:ascii="Cambria Math" w:hAnsi="Cambria Math"/>
          </w:rPr>
          <m:t>&lt;</m:t>
        </m:r>
        <m:sSub>
          <m:sSubPr>
            <m:ctrlPr>
              <w:rPr>
                <w:rFonts w:ascii="Cambria Math" w:hAnsi="Cambria Math"/>
              </w:rPr>
            </m:ctrlPr>
          </m:sSubPr>
          <m:e>
            <m:r>
              <w:rPr>
                <w:rFonts w:ascii="Cambria Math" w:hAnsi="Cambria Math"/>
              </w:rPr>
              <m:t>c</m:t>
            </m:r>
          </m:e>
          <m:sub>
            <m:r>
              <w:rPr>
                <w:rFonts w:ascii="Cambria Math" w:hAnsi="Cambria Math"/>
              </w:rPr>
              <m:t>3</m:t>
            </m:r>
          </m:sub>
        </m:sSub>
      </m:oMath>
      <w:r>
        <w:t xml:space="preserve">, with complete response (CR) when </w:t>
      </w:r>
      <m:oMath>
        <m:sSub>
          <m:sSubPr>
            <m:ctrlPr>
              <w:rPr>
                <w:rFonts w:ascii="Cambria Math" w:hAnsi="Cambria Math"/>
              </w:rPr>
            </m:ctrlPr>
          </m:sSubPr>
          <m:e>
            <m:r>
              <w:rPr>
                <w:rFonts w:ascii="Cambria Math" w:hAnsi="Cambria Math"/>
              </w:rPr>
              <m:t>Δ</m:t>
            </m:r>
          </m:e>
          <m:sub>
            <m:sSub>
              <m:sSubPr>
                <m:ctrlPr>
                  <w:rPr>
                    <w:rFonts w:ascii="Cambria Math" w:hAnsi="Cambria Math"/>
                  </w:rPr>
                </m:ctrlPr>
              </m:sSubPr>
              <m:e>
                <m:r>
                  <w:rPr>
                    <w:rFonts w:ascii="Cambria Math" w:hAnsi="Cambria Math"/>
                  </w:rPr>
                  <m:t>V</m:t>
                </m:r>
              </m:e>
              <m:sub>
                <m:r>
                  <w:rPr>
                    <w:rFonts w:ascii="Cambria Math" w:hAnsi="Cambria Math"/>
                  </w:rPr>
                  <m:t>t</m:t>
                </m:r>
              </m:sub>
            </m:sSub>
          </m:sub>
        </m:sSub>
        <m:r>
          <w:rPr>
            <w:rFonts w:ascii="Cambria Math" w:hAnsi="Cambria Math"/>
          </w:rPr>
          <m:t>&lt;</m:t>
        </m:r>
        <m:sSub>
          <m:sSubPr>
            <m:ctrlPr>
              <w:rPr>
                <w:rFonts w:ascii="Cambria Math" w:hAnsi="Cambria Math"/>
              </w:rPr>
            </m:ctrlPr>
          </m:sSubPr>
          <m:e>
            <m:r>
              <w:rPr>
                <w:rFonts w:ascii="Cambria Math" w:hAnsi="Cambria Math"/>
              </w:rPr>
              <m:t>c</m:t>
            </m:r>
          </m:e>
          <m:sub>
            <m:r>
              <w:rPr>
                <w:rFonts w:ascii="Cambria Math" w:hAnsi="Cambria Math"/>
              </w:rPr>
              <m:t>1</m:t>
            </m:r>
          </m:sub>
        </m:sSub>
      </m:oMath>
      <w:r>
        <w:t xml:space="preserve">; partial response (PR) when </w:t>
      </w:r>
      <m:oMath>
        <m:sSub>
          <m:sSubPr>
            <m:ctrlPr>
              <w:rPr>
                <w:rFonts w:ascii="Cambria Math" w:hAnsi="Cambria Math"/>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Δ</m:t>
            </m:r>
          </m:e>
          <m:sub>
            <m:sSub>
              <m:sSubPr>
                <m:ctrlPr>
                  <w:rPr>
                    <w:rFonts w:ascii="Cambria Math" w:hAnsi="Cambria Math"/>
                  </w:rPr>
                </m:ctrlPr>
              </m:sSubPr>
              <m:e>
                <m:r>
                  <w:rPr>
                    <w:rFonts w:ascii="Cambria Math" w:hAnsi="Cambria Math"/>
                  </w:rPr>
                  <m:t>V</m:t>
                </m:r>
              </m:e>
              <m:sub>
                <m:r>
                  <w:rPr>
                    <w:rFonts w:ascii="Cambria Math" w:hAnsi="Cambria Math"/>
                  </w:rPr>
                  <m:t>t</m:t>
                </m:r>
              </m:sub>
            </m:sSub>
          </m:sub>
        </m:sSub>
        <m:r>
          <w:rPr>
            <w:rFonts w:ascii="Cambria Math" w:hAnsi="Cambria Math"/>
          </w:rPr>
          <m:t>&lt;</m:t>
        </m:r>
        <m:sSub>
          <m:sSubPr>
            <m:ctrlPr>
              <w:rPr>
                <w:rFonts w:ascii="Cambria Math" w:hAnsi="Cambria Math"/>
              </w:rPr>
            </m:ctrlPr>
          </m:sSubPr>
          <m:e>
            <m:r>
              <w:rPr>
                <w:rFonts w:ascii="Cambria Math" w:hAnsi="Cambria Math"/>
              </w:rPr>
              <m:t>c</m:t>
            </m:r>
          </m:e>
          <m:sub>
            <m:r>
              <w:rPr>
                <w:rFonts w:ascii="Cambria Math" w:hAnsi="Cambria Math"/>
              </w:rPr>
              <m:t>2</m:t>
            </m:r>
          </m:sub>
        </m:sSub>
      </m:oMath>
      <w:r>
        <w:t xml:space="preserve">,  stable disease (SD) when  </w:t>
      </w:r>
      <m:oMath>
        <m:sSub>
          <m:sSubPr>
            <m:ctrlPr>
              <w:rPr>
                <w:rFonts w:ascii="Cambria Math" w:hAnsi="Cambria Math"/>
              </w:rPr>
            </m:ctrlPr>
          </m:sSubPr>
          <m:e>
            <m:r>
              <w:rPr>
                <w:rFonts w:ascii="Cambria Math" w:hAnsi="Cambria Math"/>
              </w:rPr>
              <m:t>c</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Δ</m:t>
            </m:r>
          </m:e>
          <m:sub>
            <m:sSub>
              <m:sSubPr>
                <m:ctrlPr>
                  <w:rPr>
                    <w:rFonts w:ascii="Cambria Math" w:hAnsi="Cambria Math"/>
                  </w:rPr>
                </m:ctrlPr>
              </m:sSubPr>
              <m:e>
                <m:r>
                  <w:rPr>
                    <w:rFonts w:ascii="Cambria Math" w:hAnsi="Cambria Math"/>
                  </w:rPr>
                  <m:t>V</m:t>
                </m:r>
              </m:e>
              <m:sub>
                <m:r>
                  <w:rPr>
                    <w:rFonts w:ascii="Cambria Math" w:hAnsi="Cambria Math"/>
                  </w:rPr>
                  <m:t>t</m:t>
                </m:r>
              </m:sub>
            </m:sSub>
          </m:sub>
        </m:sSub>
        <m:r>
          <w:rPr>
            <w:rFonts w:ascii="Cambria Math" w:hAnsi="Cambria Math"/>
          </w:rPr>
          <m:t>&lt;</m:t>
        </m:r>
        <m:sSub>
          <m:sSubPr>
            <m:ctrlPr>
              <w:rPr>
                <w:rFonts w:ascii="Cambria Math" w:hAnsi="Cambria Math"/>
              </w:rPr>
            </m:ctrlPr>
          </m:sSubPr>
          <m:e>
            <m:r>
              <w:rPr>
                <w:rFonts w:ascii="Cambria Math" w:hAnsi="Cambria Math"/>
              </w:rPr>
              <m:t>c</m:t>
            </m:r>
          </m:e>
          <m:sub>
            <m:r>
              <w:rPr>
                <w:rFonts w:ascii="Cambria Math" w:hAnsi="Cambria Math"/>
              </w:rPr>
              <m:t>3</m:t>
            </m:r>
          </m:sub>
        </m:sSub>
      </m:oMath>
      <w:r>
        <w:t xml:space="preserve">, and progressive disease (PD) when </w:t>
      </w:r>
      <m:oMath>
        <m:sSub>
          <m:sSubPr>
            <m:ctrlPr>
              <w:rPr>
                <w:rFonts w:ascii="Cambria Math" w:hAnsi="Cambria Math"/>
              </w:rPr>
            </m:ctrlPr>
          </m:sSubPr>
          <m:e>
            <m:r>
              <w:rPr>
                <w:rFonts w:ascii="Cambria Math" w:hAnsi="Cambria Math"/>
              </w:rPr>
              <m:t>Δ</m:t>
            </m:r>
          </m:e>
          <m:sub>
            <m:sSub>
              <m:sSubPr>
                <m:ctrlPr>
                  <w:rPr>
                    <w:rFonts w:ascii="Cambria Math" w:hAnsi="Cambria Math"/>
                  </w:rPr>
                </m:ctrlPr>
              </m:sSubPr>
              <m:e>
                <m:r>
                  <w:rPr>
                    <w:rFonts w:ascii="Cambria Math" w:hAnsi="Cambria Math"/>
                  </w:rPr>
                  <m:t>V</m:t>
                </m:r>
              </m:e>
              <m:sub>
                <m:r>
                  <w:rPr>
                    <w:rFonts w:ascii="Cambria Math" w:hAnsi="Cambria Math"/>
                  </w:rPr>
                  <m:t>t</m:t>
                </m:r>
              </m:sub>
            </m:sSub>
          </m:sub>
        </m:sSub>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3</m:t>
            </m:r>
          </m:sub>
        </m:sSub>
      </m:oMath>
      <w:r>
        <w:t xml:space="preserve">.  </w:t>
      </w:r>
    </w:p>
    <w:p w14:paraId="0161A2A4" w14:textId="77777777" w:rsidR="003B5290" w:rsidRDefault="003B5290" w:rsidP="002F051C">
      <w:pPr>
        <w:pStyle w:val="PaperParagraph"/>
      </w:pPr>
      <w:r>
        <w:t>We considered various sets of cut points (</w:t>
      </w:r>
      <m:oMath>
        <m:sSub>
          <m:sSubPr>
            <m:ctrlPr>
              <w:rPr>
                <w:rFonts w:ascii="Cambria Math" w:hAnsi="Cambria Math"/>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3</m:t>
            </m:r>
          </m:sub>
        </m:sSub>
      </m:oMath>
      <w:r>
        <w:t>), including (-95,-50,10), (-95,-30,20), (-95,-30,50), (-95,-30,100), (-95,-50,50) and (-95,-50,100), and for our analyses in this paper we computed these at time t=21 days.</w:t>
      </w:r>
    </w:p>
    <w:p w14:paraId="19A930CB" w14:textId="77777777" w:rsidR="003B5290" w:rsidRPr="003B5290" w:rsidRDefault="003B5290" w:rsidP="003B5290">
      <w:pPr>
        <w:pStyle w:val="Heading3"/>
      </w:pPr>
      <w:bookmarkStart w:id="33" w:name="_Toc12018422"/>
      <w:bookmarkStart w:id="34" w:name="_Toc12041570"/>
      <w:bookmarkStart w:id="35" w:name="_Toc12041728"/>
      <w:bookmarkStart w:id="36" w:name="_Toc12437872"/>
      <w:bookmarkStart w:id="37" w:name="_Toc12438334"/>
      <w:bookmarkStart w:id="38" w:name="_Toc15283935"/>
      <w:bookmarkStart w:id="39" w:name="_Toc16606357"/>
      <w:bookmarkStart w:id="40" w:name="_Toc27885945"/>
      <w:r w:rsidRPr="003B5290">
        <w:t>Tumor Growth Inhibition (</w:t>
      </w:r>
      <m:oMath>
        <m:r>
          <m:rPr>
            <m:sty m:val="bi"/>
          </m:rPr>
          <w:rPr>
            <w:rFonts w:ascii="Cambria Math" w:hAnsi="Cambria Math"/>
          </w:rPr>
          <m:t>TG</m:t>
        </m:r>
        <m:sSub>
          <m:sSubPr>
            <m:ctrlPr>
              <w:rPr>
                <w:rFonts w:ascii="Cambria Math" w:hAnsi="Cambria Math"/>
              </w:rPr>
            </m:ctrlPr>
          </m:sSubPr>
          <m:e>
            <m:r>
              <m:rPr>
                <m:sty m:val="bi"/>
              </m:rPr>
              <w:rPr>
                <w:rFonts w:ascii="Cambria Math" w:hAnsi="Cambria Math"/>
              </w:rPr>
              <m:t>I</m:t>
            </m:r>
          </m:e>
          <m:sub>
            <m:r>
              <m:rPr>
                <m:sty m:val="bi"/>
              </m:rPr>
              <w:rPr>
                <w:rFonts w:ascii="Cambria Math" w:hAnsi="Cambria Math"/>
              </w:rPr>
              <m:t>t</m:t>
            </m:r>
          </m:sub>
        </m:sSub>
      </m:oMath>
      <w:r w:rsidRPr="003B5290">
        <w:t>)</w:t>
      </w:r>
      <w:bookmarkEnd w:id="33"/>
      <w:bookmarkEnd w:id="34"/>
      <w:bookmarkEnd w:id="35"/>
      <w:bookmarkEnd w:id="36"/>
      <w:bookmarkEnd w:id="37"/>
      <w:bookmarkEnd w:id="38"/>
      <w:bookmarkEnd w:id="39"/>
      <w:bookmarkEnd w:id="40"/>
      <w:r w:rsidRPr="003B5290">
        <w:t xml:space="preserve"> </w:t>
      </w:r>
    </w:p>
    <w:p w14:paraId="0AC18C9B" w14:textId="77777777" w:rsidR="003B5290" w:rsidRDefault="003B5290" w:rsidP="002F051C">
      <w:pPr>
        <w:pStyle w:val="PaperParagraph"/>
      </w:pPr>
      <w:r>
        <w:t xml:space="preserve">To measure antitumor activity of the treatment group compared to the control group, we considered the tumor growth treatment-to-control ratio (gamma_t) estimated by one way ANOVA focused on time t. Let </w:t>
      </w:r>
      <m:oMath>
        <m:sSub>
          <m:sSubPr>
            <m:ctrlPr>
              <w:rPr>
                <w:rFonts w:ascii="Cambria Math" w:hAnsi="Cambria Math"/>
              </w:rPr>
            </m:ctrlPr>
          </m:sSubPr>
          <m:e>
            <m:r>
              <w:rPr>
                <w:rFonts w:ascii="Cambria Math" w:hAnsi="Cambria Math"/>
              </w:rPr>
              <m:t>R</m:t>
            </m:r>
          </m:e>
          <m:sub>
            <m:r>
              <w:rPr>
                <w:rFonts w:ascii="Cambria Math" w:hAnsi="Cambria Math"/>
              </w:rPr>
              <m:t xml:space="preserve">it </m:t>
            </m:r>
          </m:sub>
        </m:sSub>
      </m:oMath>
      <w:r>
        <w:t xml:space="preserve">be, for animal i, the ratio of tumor size from baseline to time t, i.e. </w:t>
      </w:r>
      <m:oMath>
        <m:sSub>
          <m:sSubPr>
            <m:ctrlPr>
              <w:rPr>
                <w:rFonts w:ascii="Cambria Math" w:hAnsi="Cambria Math"/>
              </w:rPr>
            </m:ctrlPr>
          </m:sSubPr>
          <m:e>
            <m:r>
              <w:rPr>
                <w:rFonts w:ascii="Cambria Math" w:hAnsi="Cambria Math"/>
              </w:rPr>
              <m:t>R</m:t>
            </m:r>
          </m:e>
          <m:sub>
            <m:r>
              <w:rPr>
                <w:rFonts w:ascii="Cambria Math" w:hAnsi="Cambria Math"/>
              </w:rPr>
              <m:t>it</m:t>
            </m:r>
          </m:sub>
        </m:sSub>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i0</m:t>
            </m:r>
          </m:sub>
        </m:sSub>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it</m:t>
            </m:r>
          </m:sub>
        </m:sSub>
      </m:oMath>
      <w:r>
        <w:t xml:space="preserve"> where </w:t>
      </w:r>
      <m:oMath>
        <m:sSub>
          <m:sSubPr>
            <m:ctrlPr>
              <w:rPr>
                <w:rFonts w:ascii="Cambria Math" w:hAnsi="Cambria Math"/>
              </w:rPr>
            </m:ctrlPr>
          </m:sSubPr>
          <m:e>
            <m:r>
              <w:rPr>
                <w:rFonts w:ascii="Cambria Math" w:hAnsi="Cambria Math"/>
              </w:rPr>
              <m:t>V</m:t>
            </m:r>
          </m:e>
          <m:sub>
            <m:r>
              <w:rPr>
                <w:rFonts w:ascii="Cambria Math" w:hAnsi="Cambria Math"/>
              </w:rPr>
              <m:t>i0</m:t>
            </m:r>
          </m:sub>
        </m:sSub>
      </m:oMath>
      <w:r>
        <w:t xml:space="preserve"> and </w:t>
      </w:r>
      <m:oMath>
        <m:sSub>
          <m:sSubPr>
            <m:ctrlPr>
              <w:rPr>
                <w:rFonts w:ascii="Cambria Math" w:hAnsi="Cambria Math"/>
              </w:rPr>
            </m:ctrlPr>
          </m:sSubPr>
          <m:e>
            <m:r>
              <w:rPr>
                <w:rFonts w:ascii="Cambria Math" w:hAnsi="Cambria Math"/>
              </w:rPr>
              <m:t>V</m:t>
            </m:r>
          </m:e>
          <m:sub>
            <m:r>
              <w:rPr>
                <w:rFonts w:ascii="Cambria Math" w:hAnsi="Cambria Math"/>
              </w:rPr>
              <m:t>it</m:t>
            </m:r>
          </m:sub>
        </m:sSub>
      </m:oMath>
      <w:r>
        <w:t xml:space="preserve">are the tumor volumes for animal i at baseline and time t, </w:t>
      </w:r>
      <w:r>
        <w:lastRenderedPageBreak/>
        <w:t xml:space="preserve">respectively.  Let </w:t>
      </w:r>
      <m:oMath>
        <m:sSub>
          <m:sSubPr>
            <m:ctrlPr>
              <w:rPr>
                <w:rFonts w:ascii="Cambria Math" w:hAnsi="Cambria Math"/>
              </w:rPr>
            </m:ctrlPr>
          </m:sSubPr>
          <m:e>
            <m:r>
              <w:rPr>
                <w:rFonts w:ascii="Cambria Math" w:hAnsi="Cambria Math"/>
              </w:rPr>
              <m:t>T</m:t>
            </m:r>
          </m:e>
          <m:sub>
            <m:r>
              <w:rPr>
                <w:rFonts w:ascii="Cambria Math" w:hAnsi="Cambria Math"/>
              </w:rPr>
              <m:t>i</m:t>
            </m:r>
          </m:sub>
        </m:sSub>
      </m:oMath>
      <w:r>
        <w:t>be an indicator of whether animal i was given the active treatment (</w:t>
      </w:r>
      <m:oMath>
        <m:sSub>
          <m:sSubPr>
            <m:ctrlPr>
              <w:rPr>
                <w:rFonts w:ascii="Cambria Math" w:hAnsi="Cambria Math"/>
              </w:rPr>
            </m:ctrlPr>
          </m:sSubPr>
          <m:e>
            <m:r>
              <w:rPr>
                <w:rFonts w:ascii="Cambria Math" w:hAnsi="Cambria Math"/>
              </w:rPr>
              <m:t>T</m:t>
            </m:r>
          </m:e>
          <m:sub>
            <m:r>
              <w:rPr>
                <w:rFonts w:ascii="Cambria Math" w:hAnsi="Cambria Math"/>
              </w:rPr>
              <m:t>i</m:t>
            </m:r>
          </m:sub>
        </m:sSub>
      </m:oMath>
      <w:r>
        <w:t>=1) or control (</w:t>
      </w:r>
      <m:oMath>
        <m:sSub>
          <m:sSubPr>
            <m:ctrlPr>
              <w:rPr>
                <w:rFonts w:ascii="Cambria Math" w:hAnsi="Cambria Math"/>
              </w:rPr>
            </m:ctrlPr>
          </m:sSubPr>
          <m:e>
            <m:r>
              <w:rPr>
                <w:rFonts w:ascii="Cambria Math" w:hAnsi="Cambria Math"/>
              </w:rPr>
              <m:t>T</m:t>
            </m:r>
          </m:e>
          <m:sub>
            <m:r>
              <w:rPr>
                <w:rFonts w:ascii="Cambria Math" w:hAnsi="Cambria Math"/>
              </w:rPr>
              <m:t>i</m:t>
            </m:r>
          </m:sub>
        </m:sSub>
      </m:oMath>
      <w:r>
        <w:t>=0). After log transforming the ratios, we fit the following linear model:</w:t>
      </w:r>
    </w:p>
    <w:p w14:paraId="3E3BBF68" w14:textId="77777777" w:rsidR="003B5290" w:rsidRDefault="003B5290" w:rsidP="003B5290">
      <w:pPr>
        <w:spacing w:before="200" w:after="200" w:line="480" w:lineRule="auto"/>
      </w:pPr>
      <m:oMath>
        <m:r>
          <w:rPr>
            <w:rFonts w:ascii="Cambria Math" w:hAnsi="Cambria Math"/>
          </w:rPr>
          <m:t>log</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it</m:t>
                </m:r>
              </m:sub>
            </m:sSub>
          </m:e>
        </m:d>
        <m:r>
          <w:rPr>
            <w:rFonts w:ascii="Cambria Math" w:hAnsi="Cambria Math"/>
          </w:rPr>
          <m:t>=α+β</m:t>
        </m:r>
        <m:sSub>
          <m:sSubPr>
            <m:ctrlPr>
              <w:rPr>
                <w:rFonts w:ascii="Cambria Math" w:hAnsi="Cambria Math"/>
              </w:rPr>
            </m:ctrlPr>
          </m:sSubPr>
          <m:e>
            <m:r>
              <w:rPr>
                <w:rFonts w:ascii="Cambria Math" w:hAnsi="Cambria Math"/>
              </w:rPr>
              <m:t>T</m:t>
            </m:r>
          </m:e>
          <m:sub>
            <m:r>
              <w:rPr>
                <w:rFonts w:ascii="Cambria Math" w:hAnsi="Cambria Math"/>
              </w:rPr>
              <m:t xml:space="preserve">i </m:t>
            </m:r>
          </m:sub>
        </m:sSub>
        <m:r>
          <w:rPr>
            <w:rFonts w:ascii="Cambria Math" w:hAnsi="Cambria Math"/>
          </w:rPr>
          <m:t>+</m:t>
        </m:r>
        <m:sSub>
          <m:sSubPr>
            <m:ctrlPr>
              <w:rPr>
                <w:rFonts w:ascii="Cambria Math" w:hAnsi="Cambria Math"/>
              </w:rPr>
            </m:ctrlPr>
          </m:sSubPr>
          <m:e>
            <m:r>
              <w:rPr>
                <w:rFonts w:ascii="Cambria Math" w:hAnsi="Cambria Math"/>
              </w:rPr>
              <m:t>ϵ</m:t>
            </m:r>
          </m:e>
          <m:sub>
            <m:r>
              <w:rPr>
                <w:rFonts w:ascii="Cambria Math" w:hAnsi="Cambria Math"/>
              </w:rPr>
              <m:t xml:space="preserve">i </m:t>
            </m:r>
          </m:sub>
        </m:sSub>
      </m:oMath>
      <w:r>
        <w:t xml:space="preserve"> with </w:t>
      </w:r>
      <m:oMath>
        <m:sSub>
          <m:sSubPr>
            <m:ctrlPr>
              <w:rPr>
                <w:rFonts w:ascii="Cambria Math" w:hAnsi="Cambria Math"/>
              </w:rPr>
            </m:ctrlPr>
          </m:sSubPr>
          <m:e>
            <m:r>
              <w:rPr>
                <w:rFonts w:ascii="Cambria Math" w:hAnsi="Cambria Math"/>
              </w:rPr>
              <m:t>ϵ</m:t>
            </m:r>
          </m:e>
          <m:sub>
            <m:r>
              <w:rPr>
                <w:rFonts w:ascii="Cambria Math" w:hAnsi="Cambria Math"/>
              </w:rPr>
              <m:t>i</m:t>
            </m:r>
          </m:sub>
        </m:sSub>
        <m:r>
          <w:rPr>
            <w:rFonts w:ascii="Cambria Math" w:hAnsi="Cambria Math"/>
          </w:rPr>
          <m:t>∼N(0,</m:t>
        </m:r>
        <m:sSup>
          <m:sSupPr>
            <m:ctrlPr>
              <w:rPr>
                <w:rFonts w:ascii="Cambria Math" w:hAnsi="Cambria Math"/>
              </w:rPr>
            </m:ctrlPr>
          </m:sSupPr>
          <m:e>
            <m:r>
              <w:rPr>
                <w:rFonts w:ascii="Cambria Math" w:hAnsi="Cambria Math"/>
              </w:rPr>
              <m:t>σ</m:t>
            </m:r>
          </m:e>
          <m:sup>
            <m:r>
              <w:rPr>
                <w:rFonts w:ascii="Cambria Math" w:hAnsi="Cambria Math"/>
              </w:rPr>
              <m:t>2</m:t>
            </m:r>
          </m:sup>
        </m:sSup>
        <m:r>
          <w:rPr>
            <w:rFonts w:ascii="Cambria Math" w:hAnsi="Cambria Math"/>
          </w:rPr>
          <m:t>).</m:t>
        </m:r>
      </m:oMath>
    </w:p>
    <w:p w14:paraId="152AD79B" w14:textId="77777777" w:rsidR="003B5290" w:rsidRDefault="003B5290" w:rsidP="002F051C">
      <w:pPr>
        <w:pStyle w:val="PaperParagraph"/>
      </w:pPr>
      <w:r>
        <w:t xml:space="preserve">If we define </w:t>
      </w:r>
      <m:oMath>
        <m:r>
          <w:rPr>
            <w:rFonts w:ascii="Cambria Math" w:hAnsi="Cambria Math"/>
          </w:rPr>
          <m:t>γ=</m:t>
        </m:r>
        <m:f>
          <m:fPr>
            <m:ctrlPr>
              <w:rPr>
                <w:rFonts w:ascii="Cambria Math" w:hAnsi="Cambria Math"/>
              </w:rPr>
            </m:ctrlPr>
          </m:fPr>
          <m:num>
            <m:r>
              <w:rPr>
                <w:rFonts w:ascii="Cambria Math" w:hAnsi="Cambria Math"/>
              </w:rPr>
              <m:t>E(</m:t>
            </m:r>
            <m:sSub>
              <m:sSubPr>
                <m:ctrlPr>
                  <w:rPr>
                    <w:rFonts w:ascii="Cambria Math" w:hAnsi="Cambria Math"/>
                  </w:rPr>
                </m:ctrlPr>
              </m:sSubPr>
              <m:e>
                <m:r>
                  <w:rPr>
                    <w:rFonts w:ascii="Cambria Math" w:hAnsi="Cambria Math"/>
                  </w:rPr>
                  <m:t>R</m:t>
                </m:r>
              </m:e>
              <m:sub>
                <m:r>
                  <w:rPr>
                    <w:rFonts w:ascii="Cambria Math" w:hAnsi="Cambria Math"/>
                  </w:rPr>
                  <m:t>it</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i</m:t>
                </m:r>
              </m:sub>
            </m:sSub>
            <m:r>
              <w:rPr>
                <w:rFonts w:ascii="Cambria Math" w:hAnsi="Cambria Math"/>
              </w:rPr>
              <m:t>=1)</m:t>
            </m:r>
          </m:num>
          <m:den>
            <m:r>
              <w:rPr>
                <w:rFonts w:ascii="Cambria Math" w:hAnsi="Cambria Math"/>
              </w:rPr>
              <m:t>E(</m:t>
            </m:r>
            <m:sSub>
              <m:sSubPr>
                <m:ctrlPr>
                  <w:rPr>
                    <w:rFonts w:ascii="Cambria Math" w:hAnsi="Cambria Math"/>
                  </w:rPr>
                </m:ctrlPr>
              </m:sSubPr>
              <m:e>
                <m:r>
                  <w:rPr>
                    <w:rFonts w:ascii="Cambria Math" w:hAnsi="Cambria Math"/>
                  </w:rPr>
                  <m:t>R</m:t>
                </m:r>
              </m:e>
              <m:sub>
                <m:r>
                  <w:rPr>
                    <w:rFonts w:ascii="Cambria Math" w:hAnsi="Cambria Math"/>
                  </w:rPr>
                  <m:t>it</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i</m:t>
                </m:r>
              </m:sub>
            </m:sSub>
            <m:r>
              <w:rPr>
                <w:rFonts w:ascii="Cambria Math" w:hAnsi="Cambria Math"/>
              </w:rPr>
              <m:t>=0)</m:t>
            </m:r>
          </m:den>
        </m:f>
      </m:oMath>
      <w:r>
        <w:t xml:space="preserve"> as the ratio of mean tumor/mean control, called the tumor growth inhibition it can be shown that</w:t>
      </w:r>
    </w:p>
    <w:p w14:paraId="279E16CC" w14:textId="77777777" w:rsidR="003B5290" w:rsidRDefault="003B5290" w:rsidP="003B5290">
      <w:pPr>
        <w:pStyle w:val="equation"/>
        <w:jc w:val="left"/>
      </w:pPr>
      <m:oMath>
        <m:r>
          <m:t>γ=</m:t>
        </m:r>
        <m:f>
          <m:fPr>
            <m:ctrlPr/>
          </m:fPr>
          <m:num>
            <m:r>
              <m:t>exp(α+β+</m:t>
            </m:r>
            <m:sSup>
              <m:sSupPr>
                <m:ctrlPr/>
              </m:sSupPr>
              <m:e>
                <m:r>
                  <m:t>σ</m:t>
                </m:r>
              </m:e>
              <m:sup>
                <m:r>
                  <m:t>2</m:t>
                </m:r>
              </m:sup>
            </m:sSup>
            <m:r>
              <m:t>/2)</m:t>
            </m:r>
          </m:num>
          <m:den>
            <m:r>
              <m:t>exp(α+</m:t>
            </m:r>
            <m:sSup>
              <m:sSupPr>
                <m:ctrlPr/>
              </m:sSupPr>
              <m:e>
                <m:r>
                  <m:t>σ</m:t>
                </m:r>
              </m:e>
              <m:sup>
                <m:r>
                  <m:t>2</m:t>
                </m:r>
              </m:sup>
            </m:sSup>
            <m:r>
              <m:t>/2)</m:t>
            </m:r>
          </m:den>
        </m:f>
        <m:r>
          <m:t>=exp(β)</m:t>
        </m:r>
      </m:oMath>
      <w:r>
        <w:t>,</w:t>
      </w:r>
    </w:p>
    <w:p w14:paraId="76DD6081" w14:textId="77777777" w:rsidR="003B5290" w:rsidRDefault="003B5290" w:rsidP="002F051C">
      <w:pPr>
        <w:pStyle w:val="PaperParagraph"/>
      </w:pPr>
      <w:r>
        <w:t>The degree to which this measure is less than 1 indicates the degree of growth inhibition of the treatment. Thus, to test for antitumor activity of the treatment group at time t, we can test the null hypothesis of no treatment effect by comparing</w:t>
      </w:r>
    </w:p>
    <w:p w14:paraId="25CC313F" w14:textId="77777777" w:rsidR="003B5290" w:rsidRDefault="0085341E" w:rsidP="003B5290">
      <w:pPr>
        <w:pStyle w:val="equation"/>
        <w:jc w:val="left"/>
      </w:pPr>
      <m:oMath>
        <m:sSub>
          <m:sSubPr>
            <m:ctrlPr/>
          </m:sSubPr>
          <m:e>
            <m:r>
              <m:t>H</m:t>
            </m:r>
          </m:e>
          <m:sub>
            <m:r>
              <m:t>0</m:t>
            </m:r>
          </m:sub>
        </m:sSub>
        <m:r>
          <m:t>:β=0 (γ=1)</m:t>
        </m:r>
      </m:oMath>
      <w:r w:rsidR="003B5290">
        <w:t xml:space="preserve">vs. </w:t>
      </w:r>
      <m:oMath>
        <m:sSub>
          <m:sSubPr>
            <m:ctrlPr/>
          </m:sSubPr>
          <m:e>
            <m:r>
              <m:t>H</m:t>
            </m:r>
          </m:e>
          <m:sub>
            <m:r>
              <m:t>1</m:t>
            </m:r>
          </m:sub>
        </m:sSub>
        <m:r>
          <m:t>: β&lt;0 (γ&lt;1)</m:t>
        </m:r>
      </m:oMath>
      <w:r w:rsidR="003B5290">
        <w:t>.</w:t>
      </w:r>
    </w:p>
    <w:p w14:paraId="258A0572" w14:textId="77777777" w:rsidR="003B5290" w:rsidRPr="003B5290" w:rsidRDefault="003B5290" w:rsidP="003B5290">
      <w:pPr>
        <w:pStyle w:val="Heading3"/>
      </w:pPr>
      <w:bookmarkStart w:id="41" w:name="_Toc12018423"/>
      <w:bookmarkStart w:id="42" w:name="_Toc12041571"/>
      <w:bookmarkStart w:id="43" w:name="_Toc12041729"/>
      <w:bookmarkStart w:id="44" w:name="_Toc12437873"/>
      <w:bookmarkStart w:id="45" w:name="_Toc12438335"/>
      <w:bookmarkStart w:id="46" w:name="_Toc15283936"/>
      <w:bookmarkStart w:id="47" w:name="_Toc16606358"/>
      <w:bookmarkStart w:id="48" w:name="_Toc27885946"/>
      <w:r w:rsidRPr="003B5290">
        <w:t>Progression-free Survival (</w:t>
      </w:r>
      <m:oMath>
        <m:r>
          <m:rPr>
            <m:sty m:val="bi"/>
          </m:rPr>
          <w:rPr>
            <w:rFonts w:ascii="Cambria Math" w:hAnsi="Cambria Math"/>
          </w:rPr>
          <m:t>PF</m:t>
        </m:r>
        <m:sSub>
          <m:sSubPr>
            <m:ctrlPr>
              <w:rPr>
                <w:rFonts w:ascii="Cambria Math" w:hAnsi="Cambria Math"/>
              </w:rPr>
            </m:ctrlPr>
          </m:sSubPr>
          <m:e>
            <m:r>
              <m:rPr>
                <m:sty m:val="bi"/>
              </m:rPr>
              <w:rPr>
                <w:rFonts w:ascii="Cambria Math" w:hAnsi="Cambria Math"/>
              </w:rPr>
              <m:t>S</m:t>
            </m:r>
          </m:e>
          <m:sub>
            <m:r>
              <m:rPr>
                <m:sty m:val="bi"/>
              </m:rPr>
              <w:rPr>
                <w:rFonts w:ascii="Cambria Math" w:hAnsi="Cambria Math"/>
              </w:rPr>
              <m:t>δ</m:t>
            </m:r>
          </m:sub>
        </m:sSub>
      </m:oMath>
      <w:r w:rsidRPr="003B5290">
        <w:t>)</w:t>
      </w:r>
      <w:bookmarkEnd w:id="41"/>
      <w:bookmarkEnd w:id="42"/>
      <w:bookmarkEnd w:id="43"/>
      <w:bookmarkEnd w:id="44"/>
      <w:bookmarkEnd w:id="45"/>
      <w:bookmarkEnd w:id="46"/>
      <w:bookmarkEnd w:id="47"/>
      <w:bookmarkEnd w:id="48"/>
    </w:p>
    <w:p w14:paraId="3AFFABCC" w14:textId="77777777" w:rsidR="003B5290" w:rsidRDefault="003B5290" w:rsidP="002F051C">
      <w:pPr>
        <w:pStyle w:val="PaperParagraph"/>
        <w:rPr>
          <w:b/>
        </w:rPr>
      </w:pPr>
      <w:r>
        <w:t xml:space="preserve">Progression-free survival was defined as the time until the tumor volume increases by a multiple of </w:t>
      </w:r>
      <m:oMath>
        <m:r>
          <w:rPr>
            <w:rFonts w:ascii="Cambria Math" w:hAnsi="Cambria Math"/>
          </w:rPr>
          <m:t>δ</m:t>
        </m:r>
      </m:oMath>
      <w:r>
        <w:t xml:space="preserve">, </w:t>
      </w:r>
      <m:oMath>
        <m:r>
          <w:rPr>
            <w:rFonts w:ascii="Cambria Math" w:hAnsi="Cambria Math"/>
          </w:rPr>
          <m:t>min(τ:</m:t>
        </m:r>
        <m:sSub>
          <m:sSubPr>
            <m:ctrlPr>
              <w:rPr>
                <w:rFonts w:ascii="Cambria Math" w:hAnsi="Cambria Math"/>
              </w:rPr>
            </m:ctrlPr>
          </m:sSubPr>
          <m:e>
            <m:r>
              <w:rPr>
                <w:rFonts w:ascii="Cambria Math" w:hAnsi="Cambria Math"/>
              </w:rPr>
              <m:t>Δ</m:t>
            </m:r>
          </m:e>
          <m:sub>
            <m:sSub>
              <m:sSubPr>
                <m:ctrlPr>
                  <w:rPr>
                    <w:rFonts w:ascii="Cambria Math" w:hAnsi="Cambria Math"/>
                  </w:rPr>
                </m:ctrlPr>
              </m:sSubPr>
              <m:e>
                <m:r>
                  <w:rPr>
                    <w:rFonts w:ascii="Cambria Math" w:hAnsi="Cambria Math"/>
                  </w:rPr>
                  <m:t>V</m:t>
                </m:r>
              </m:e>
              <m:sub>
                <m:r>
                  <w:rPr>
                    <w:rFonts w:ascii="Cambria Math" w:hAnsi="Cambria Math"/>
                  </w:rPr>
                  <m:t>τ</m:t>
                </m:r>
              </m:sub>
            </m:sSub>
          </m:sub>
        </m:sSub>
        <m:r>
          <w:rPr>
            <w:rFonts w:ascii="Cambria Math" w:hAnsi="Cambria Math"/>
          </w:rPr>
          <m:t>≥δ×100)</m:t>
        </m:r>
      </m:oMath>
      <w:r>
        <w:t xml:space="preserve">  (e.g. </w:t>
      </w:r>
      <m:oMath>
        <m:r>
          <w:rPr>
            <w:rFonts w:ascii="Cambria Math" w:hAnsi="Cambria Math"/>
          </w:rPr>
          <m:t>δ=4</m:t>
        </m:r>
      </m:oMath>
      <w:r>
        <w:t xml:space="preserve"> corresponds to time until tumor quadruples in size).  This measure will be censored at the last measurement value for animals whose tumors never increased by that multiple</w:t>
      </w:r>
      <w:r>
        <w:rPr>
          <w:b/>
        </w:rPr>
        <w:t>.</w:t>
      </w:r>
    </w:p>
    <w:p w14:paraId="1C901AA6" w14:textId="15FA90C3" w:rsidR="003B5290" w:rsidRDefault="003B5290" w:rsidP="003B5290">
      <w:pPr>
        <w:pStyle w:val="Heading2"/>
      </w:pPr>
      <w:bookmarkStart w:id="49" w:name="_Toc27885947"/>
      <w:r w:rsidRPr="00350683">
        <w:t>Tumor volume data Analysis using R</w:t>
      </w:r>
      <w:bookmarkEnd w:id="49"/>
    </w:p>
    <w:p w14:paraId="37E8FC0E" w14:textId="5F5B0614" w:rsidR="007B2DE2" w:rsidRDefault="00133674" w:rsidP="00BA69F2">
      <w:pPr>
        <w:pStyle w:val="PaperParagraph"/>
      </w:pPr>
      <w:r>
        <w:t>Our analysis scripts for the tumor volume data assume data with a specific format, as outlined here.  Given data in this format, our scripts will automatically generate the analyses presented in the methods section as well as certain plots, as outlined below.</w:t>
      </w:r>
    </w:p>
    <w:p w14:paraId="001A69F3" w14:textId="77777777" w:rsidR="007B2DE2" w:rsidRDefault="007B2DE2" w:rsidP="00540250">
      <w:pPr>
        <w:widowControl w:val="0"/>
        <w:shd w:val="clear" w:color="auto" w:fill="FFFFFF"/>
      </w:pPr>
    </w:p>
    <w:p w14:paraId="105F3FFC" w14:textId="77777777" w:rsidR="007B2DE2" w:rsidRPr="00350683" w:rsidRDefault="00133674" w:rsidP="003B5290">
      <w:pPr>
        <w:pStyle w:val="Heading3"/>
      </w:pPr>
      <w:bookmarkStart w:id="50" w:name="_Toc27885948"/>
      <w:r w:rsidRPr="00350683">
        <w:lastRenderedPageBreak/>
        <w:t>Input Data</w:t>
      </w:r>
      <w:bookmarkEnd w:id="50"/>
    </w:p>
    <w:p w14:paraId="27BA33D3" w14:textId="1C6D0BFA" w:rsidR="007B2DE2" w:rsidRPr="00F93CCF" w:rsidRDefault="00133674" w:rsidP="00540250">
      <w:pPr>
        <w:pStyle w:val="ListParagraph"/>
        <w:widowControl w:val="0"/>
        <w:numPr>
          <w:ilvl w:val="0"/>
          <w:numId w:val="11"/>
        </w:numPr>
        <w:shd w:val="clear" w:color="auto" w:fill="FFFFFF"/>
      </w:pPr>
      <w:r w:rsidRPr="00F93CCF">
        <w:t>Model name</w:t>
      </w:r>
    </w:p>
    <w:p w14:paraId="4694DD1D" w14:textId="5FFDA5BF" w:rsidR="007B2DE2" w:rsidRPr="00F93CCF" w:rsidRDefault="00133674" w:rsidP="00540250">
      <w:pPr>
        <w:pStyle w:val="ListParagraph"/>
        <w:widowControl w:val="0"/>
        <w:numPr>
          <w:ilvl w:val="0"/>
          <w:numId w:val="11"/>
        </w:numPr>
        <w:shd w:val="clear" w:color="auto" w:fill="FFFFFF"/>
      </w:pPr>
      <w:r w:rsidRPr="00F93CCF">
        <w:t>Treatment</w:t>
      </w:r>
      <w:r w:rsidR="00CA2CEB" w:rsidRPr="00925A12">
        <w:br/>
      </w:r>
      <w:r w:rsidRPr="00F93CCF">
        <w:t>: “Control” indicates the control group</w:t>
      </w:r>
    </w:p>
    <w:p w14:paraId="57F37F7E" w14:textId="5E89B3EE" w:rsidR="007B2DE2" w:rsidRPr="00F93CCF" w:rsidRDefault="00133674" w:rsidP="00540250">
      <w:pPr>
        <w:pStyle w:val="ListParagraph"/>
        <w:widowControl w:val="0"/>
        <w:numPr>
          <w:ilvl w:val="0"/>
          <w:numId w:val="13"/>
        </w:numPr>
        <w:shd w:val="clear" w:color="auto" w:fill="FFFFFF"/>
      </w:pPr>
      <w:r w:rsidRPr="00F93CCF">
        <w:t>Mice ID</w:t>
      </w:r>
    </w:p>
    <w:p w14:paraId="2BD6DFA1" w14:textId="24729A2B" w:rsidR="007B2DE2" w:rsidRPr="00F93CCF" w:rsidRDefault="00133674" w:rsidP="00540250">
      <w:pPr>
        <w:pStyle w:val="ListParagraph"/>
        <w:widowControl w:val="0"/>
        <w:numPr>
          <w:ilvl w:val="0"/>
          <w:numId w:val="13"/>
        </w:numPr>
        <w:shd w:val="clear" w:color="auto" w:fill="FFFFFF"/>
      </w:pPr>
      <w:r w:rsidRPr="00F93CCF">
        <w:t>Date</w:t>
      </w:r>
      <w:r w:rsidR="00CA2CEB" w:rsidRPr="00925A12">
        <w:br/>
      </w:r>
      <w:r w:rsidRPr="00F93CCF">
        <w:t>: “mm/dd/yyyy” format</w:t>
      </w:r>
      <w:r w:rsidR="00CA2CEB" w:rsidRPr="00CA2CEB">
        <w:br/>
      </w:r>
      <w:r w:rsidRPr="00F93CCF">
        <w:t>: The earliest data per animal is the treatment start date, and we assume the tumor volume value is available at this date</w:t>
      </w:r>
    </w:p>
    <w:p w14:paraId="61980CBB" w14:textId="431CA70E" w:rsidR="007B2DE2" w:rsidRDefault="00133674" w:rsidP="00540250">
      <w:pPr>
        <w:pStyle w:val="ListParagraph"/>
        <w:widowControl w:val="0"/>
        <w:numPr>
          <w:ilvl w:val="0"/>
          <w:numId w:val="13"/>
        </w:numPr>
        <w:shd w:val="clear" w:color="auto" w:fill="FFFFFF"/>
      </w:pPr>
      <w:r w:rsidRPr="00F93CCF">
        <w:t>On Treatment</w:t>
      </w:r>
      <w:r w:rsidR="00CA2CEB" w:rsidRPr="00925A12">
        <w:br/>
      </w:r>
      <w:r w:rsidRPr="00F93CCF">
        <w:t xml:space="preserve">: </w:t>
      </w:r>
      <w:r>
        <w:t>include two categories (Yes or No)</w:t>
      </w:r>
    </w:p>
    <w:p w14:paraId="212D5D31" w14:textId="77777777" w:rsidR="007B2DE2" w:rsidRDefault="00133674" w:rsidP="00540250">
      <w:pPr>
        <w:widowControl w:val="0"/>
        <w:shd w:val="clear" w:color="auto" w:fill="FFFFFF"/>
      </w:pPr>
      <w:r w:rsidRPr="00F93CCF">
        <w:t xml:space="preserve">  </w:t>
      </w:r>
      <w:r w:rsidRPr="00F93CCF">
        <w:tab/>
        <w:t xml:space="preserve">: </w:t>
      </w:r>
      <w:r>
        <w:t>“Yes” means “receiving treatment” including treatment start</w:t>
      </w:r>
    </w:p>
    <w:p w14:paraId="5CE02492" w14:textId="3D38C487" w:rsidR="007B2DE2" w:rsidRPr="00F93CCF" w:rsidRDefault="00133674" w:rsidP="00540250">
      <w:pPr>
        <w:pStyle w:val="ListParagraph"/>
        <w:widowControl w:val="0"/>
        <w:numPr>
          <w:ilvl w:val="0"/>
          <w:numId w:val="13"/>
        </w:numPr>
        <w:shd w:val="clear" w:color="auto" w:fill="FFFFFF"/>
      </w:pPr>
      <w:r w:rsidRPr="00F93CCF">
        <w:t>Tumor Volume</w:t>
      </w:r>
      <w:r w:rsidR="00CA2CEB" w:rsidRPr="00925A12">
        <w:br/>
      </w:r>
      <w:r w:rsidRPr="00F93CCF">
        <w:t>: Baseline values should be included.</w:t>
      </w:r>
    </w:p>
    <w:p w14:paraId="6145FBEB" w14:textId="797901C3" w:rsidR="007B2DE2" w:rsidRPr="00F93CCF" w:rsidRDefault="00133674" w:rsidP="00540250">
      <w:pPr>
        <w:pStyle w:val="ListParagraph"/>
        <w:widowControl w:val="0"/>
        <w:numPr>
          <w:ilvl w:val="0"/>
          <w:numId w:val="13"/>
        </w:numPr>
        <w:shd w:val="clear" w:color="auto" w:fill="FFFFFF"/>
      </w:pPr>
      <w:r w:rsidRPr="00F93CCF">
        <w:t>Body Weight</w:t>
      </w:r>
      <w:r w:rsidR="00CA2CEB" w:rsidRPr="00925A12">
        <w:br/>
      </w:r>
      <w:r w:rsidRPr="00F93CCF">
        <w:t>:</w:t>
      </w:r>
      <w:r>
        <w:t xml:space="preserve"> Plan for </w:t>
      </w:r>
      <w:r w:rsidRPr="00F93CCF">
        <w:t>Toxicity analysis if applicable</w:t>
      </w:r>
    </w:p>
    <w:p w14:paraId="6E971625" w14:textId="77777777" w:rsidR="00CA2CEB" w:rsidRDefault="00CA2CEB" w:rsidP="00540250">
      <w:pPr>
        <w:widowControl w:val="0"/>
        <w:shd w:val="clear" w:color="auto" w:fill="FFFFFF"/>
      </w:pPr>
    </w:p>
    <w:p w14:paraId="54DE4395" w14:textId="77777777" w:rsidR="007B2DE2" w:rsidRPr="00F93CCF" w:rsidRDefault="00133674" w:rsidP="00540250">
      <w:pPr>
        <w:widowControl w:val="0"/>
        <w:shd w:val="clear" w:color="auto" w:fill="FFFFFF"/>
      </w:pPr>
      <w:r w:rsidRPr="00F93CCF">
        <w:t>Note:</w:t>
      </w:r>
    </w:p>
    <w:p w14:paraId="6DD38378" w14:textId="32749780" w:rsidR="007B2DE2" w:rsidRPr="00F93CCF" w:rsidRDefault="00133674" w:rsidP="00540250">
      <w:pPr>
        <w:pStyle w:val="ListParagraph"/>
        <w:widowControl w:val="0"/>
        <w:numPr>
          <w:ilvl w:val="0"/>
          <w:numId w:val="16"/>
        </w:numPr>
        <w:shd w:val="clear" w:color="auto" w:fill="FFFFFF"/>
        <w:ind w:left="630" w:hanging="270"/>
      </w:pPr>
      <w:r w:rsidRPr="00F93CCF">
        <w:t>The column names need to match those in the following example table</w:t>
      </w:r>
    </w:p>
    <w:p w14:paraId="6667725A" w14:textId="0F7F82F7" w:rsidR="007B2DE2" w:rsidRPr="00F93CCF" w:rsidRDefault="00133674" w:rsidP="00540250">
      <w:pPr>
        <w:pStyle w:val="ListParagraph"/>
        <w:widowControl w:val="0"/>
        <w:numPr>
          <w:ilvl w:val="0"/>
          <w:numId w:val="16"/>
        </w:numPr>
        <w:shd w:val="clear" w:color="auto" w:fill="FFFFFF"/>
        <w:spacing w:before="100"/>
        <w:ind w:left="634" w:hanging="274"/>
        <w:contextualSpacing w:val="0"/>
      </w:pPr>
      <w:r w:rsidRPr="00F93CCF">
        <w:rPr>
          <w:b/>
        </w:rPr>
        <w:t xml:space="preserve">Baseline </w:t>
      </w:r>
      <w:r>
        <w:rPr>
          <w:b/>
        </w:rPr>
        <w:t>tumor volume</w:t>
      </w:r>
      <w:r w:rsidRPr="00F93CCF">
        <w:t xml:space="preserve"> value is </w:t>
      </w:r>
      <w:r>
        <w:rPr>
          <w:color w:val="222222"/>
          <w:highlight w:val="white"/>
        </w:rPr>
        <w:t>essential per animal</w:t>
      </w:r>
      <w:r w:rsidRPr="00F93CCF">
        <w:t>.</w:t>
      </w:r>
    </w:p>
    <w:p w14:paraId="299AC5EE" w14:textId="28823A25" w:rsidR="007B2DE2" w:rsidRPr="00F93CCF" w:rsidRDefault="00133674" w:rsidP="00540250">
      <w:pPr>
        <w:pStyle w:val="ListParagraph"/>
        <w:widowControl w:val="0"/>
        <w:numPr>
          <w:ilvl w:val="0"/>
          <w:numId w:val="16"/>
        </w:numPr>
        <w:shd w:val="clear" w:color="auto" w:fill="FFFFFF"/>
        <w:spacing w:before="100"/>
        <w:ind w:left="634" w:hanging="274"/>
        <w:contextualSpacing w:val="0"/>
      </w:pPr>
      <w:r w:rsidRPr="00F93CCF">
        <w:t>For the statistical tests, each treatment group should at least three samples, and the last Treatment Date at least extend to 21 days (or whatever timepoint is chosen) later than the initial Treatment Date per mouse</w:t>
      </w:r>
    </w:p>
    <w:p w14:paraId="31A81022" w14:textId="61D0999D" w:rsidR="007B2DE2" w:rsidRPr="00F93CCF" w:rsidRDefault="00133674" w:rsidP="00540250">
      <w:pPr>
        <w:pStyle w:val="ListParagraph"/>
        <w:widowControl w:val="0"/>
        <w:numPr>
          <w:ilvl w:val="0"/>
          <w:numId w:val="16"/>
        </w:numPr>
        <w:shd w:val="clear" w:color="auto" w:fill="FFFFFF"/>
        <w:spacing w:before="100"/>
        <w:ind w:left="634" w:hanging="274"/>
        <w:contextualSpacing w:val="0"/>
      </w:pPr>
      <w:r w:rsidRPr="00F93CCF">
        <w:t>Although we perform the analysis for each PDX model, multiple models can be included into the same data file (stacked by row)</w:t>
      </w:r>
    </w:p>
    <w:p w14:paraId="177FA592" w14:textId="57788976" w:rsidR="007B2DE2" w:rsidRPr="00F93CCF" w:rsidRDefault="00133674" w:rsidP="00540250">
      <w:pPr>
        <w:pStyle w:val="ListParagraph"/>
        <w:widowControl w:val="0"/>
        <w:numPr>
          <w:ilvl w:val="0"/>
          <w:numId w:val="16"/>
        </w:numPr>
        <w:shd w:val="clear" w:color="auto" w:fill="FFFFFF"/>
        <w:spacing w:before="100"/>
        <w:ind w:left="634" w:hanging="274"/>
        <w:contextualSpacing w:val="0"/>
      </w:pPr>
      <w:r w:rsidRPr="00F93CCF">
        <w:t>Optional: for displaying the treatment schedule with labeling of the drug names, drug table needs to be provided</w:t>
      </w:r>
    </w:p>
    <w:p w14:paraId="59A242D7" w14:textId="2437BC1F" w:rsidR="00CA2CEB" w:rsidRDefault="00CA2CEB" w:rsidP="00540250">
      <w:pPr>
        <w:widowControl w:val="0"/>
        <w:shd w:val="clear" w:color="auto" w:fill="FFFFFF"/>
        <w:spacing w:before="100"/>
      </w:pPr>
    </w:p>
    <w:p w14:paraId="0938B2C1" w14:textId="5F2E4025" w:rsidR="00CA2CEB" w:rsidRDefault="00CA2CEB" w:rsidP="00540250">
      <w:pPr>
        <w:widowControl w:val="0"/>
        <w:shd w:val="clear" w:color="auto" w:fill="FFFFFF"/>
        <w:spacing w:before="100"/>
      </w:pPr>
    </w:p>
    <w:p w14:paraId="339B8938" w14:textId="77777777" w:rsidR="00CA2CEB" w:rsidRDefault="00CA2CEB" w:rsidP="00540250">
      <w:r>
        <w:br w:type="page"/>
      </w:r>
    </w:p>
    <w:p w14:paraId="16FF94E1" w14:textId="2898C85F" w:rsidR="007B2DE2" w:rsidRDefault="00146C7D" w:rsidP="00540250">
      <w:pPr>
        <w:widowControl w:val="0"/>
        <w:shd w:val="clear" w:color="auto" w:fill="FFFFFF"/>
        <w:spacing w:before="100"/>
      </w:pPr>
      <w:r w:rsidRPr="005B3B33">
        <w:rPr>
          <w:b/>
        </w:rPr>
        <w:lastRenderedPageBreak/>
        <w:t>Supplementary Table 1</w:t>
      </w:r>
      <w:r>
        <w:t xml:space="preserve">. </w:t>
      </w:r>
      <w:r w:rsidR="00133674">
        <w:t xml:space="preserve">Example </w:t>
      </w:r>
      <w:r w:rsidR="005B3B33">
        <w:t>data in the specific input format for tumor volume data analysis.</w:t>
      </w:r>
    </w:p>
    <w:p w14:paraId="65FF301C" w14:textId="77777777" w:rsidR="007B2DE2" w:rsidRDefault="007B2DE2" w:rsidP="00540250">
      <w:pPr>
        <w:widowControl w:val="0"/>
        <w:shd w:val="clear" w:color="auto" w:fill="FFFFFF"/>
      </w:pPr>
    </w:p>
    <w:tbl>
      <w:tblPr>
        <w:tblW w:w="9378" w:type="dxa"/>
        <w:tblBorders>
          <w:top w:val="single" w:sz="18" w:space="0" w:color="000000"/>
          <w:bottom w:val="single" w:sz="1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710"/>
        <w:gridCol w:w="990"/>
        <w:gridCol w:w="1080"/>
        <w:gridCol w:w="1530"/>
        <w:gridCol w:w="1430"/>
        <w:gridCol w:w="1550"/>
        <w:gridCol w:w="1088"/>
      </w:tblGrid>
      <w:tr w:rsidR="007B2DE2" w14:paraId="1AD7A397" w14:textId="77777777" w:rsidTr="002C3B91">
        <w:trPr>
          <w:trHeight w:val="384"/>
        </w:trPr>
        <w:tc>
          <w:tcPr>
            <w:tcW w:w="1710" w:type="dxa"/>
            <w:tcBorders>
              <w:top w:val="single" w:sz="18" w:space="0" w:color="000000"/>
              <w:bottom w:val="single" w:sz="18" w:space="0" w:color="000000"/>
            </w:tcBorders>
            <w:tcMar>
              <w:top w:w="100" w:type="dxa"/>
              <w:left w:w="100" w:type="dxa"/>
              <w:bottom w:w="100" w:type="dxa"/>
              <w:right w:w="100" w:type="dxa"/>
            </w:tcMar>
          </w:tcPr>
          <w:p w14:paraId="09E5A11B" w14:textId="77777777" w:rsidR="007B2DE2" w:rsidRDefault="00133674" w:rsidP="00540250">
            <w:pPr>
              <w:widowControl w:val="0"/>
              <w:shd w:val="clear" w:color="auto" w:fill="FFFFFF"/>
              <w:rPr>
                <w:b/>
              </w:rPr>
            </w:pPr>
            <w:r>
              <w:rPr>
                <w:b/>
              </w:rPr>
              <w:t>Model</w:t>
            </w:r>
          </w:p>
        </w:tc>
        <w:tc>
          <w:tcPr>
            <w:tcW w:w="990" w:type="dxa"/>
            <w:tcBorders>
              <w:top w:val="single" w:sz="18" w:space="0" w:color="000000"/>
              <w:bottom w:val="single" w:sz="18" w:space="0" w:color="000000"/>
            </w:tcBorders>
            <w:tcMar>
              <w:top w:w="100" w:type="dxa"/>
              <w:left w:w="100" w:type="dxa"/>
              <w:bottom w:w="100" w:type="dxa"/>
              <w:right w:w="100" w:type="dxa"/>
            </w:tcMar>
          </w:tcPr>
          <w:p w14:paraId="496230BF" w14:textId="77777777" w:rsidR="007B2DE2" w:rsidRDefault="00133674" w:rsidP="00540250">
            <w:pPr>
              <w:widowControl w:val="0"/>
              <w:shd w:val="clear" w:color="auto" w:fill="FFFFFF"/>
              <w:rPr>
                <w:b/>
              </w:rPr>
            </w:pPr>
            <w:r>
              <w:rPr>
                <w:b/>
              </w:rPr>
              <w:t>Treatment</w:t>
            </w:r>
          </w:p>
        </w:tc>
        <w:tc>
          <w:tcPr>
            <w:tcW w:w="1080" w:type="dxa"/>
            <w:tcBorders>
              <w:top w:val="single" w:sz="18" w:space="0" w:color="000000"/>
              <w:bottom w:val="single" w:sz="18" w:space="0" w:color="000000"/>
            </w:tcBorders>
            <w:tcMar>
              <w:top w:w="100" w:type="dxa"/>
              <w:left w:w="100" w:type="dxa"/>
              <w:bottom w:w="100" w:type="dxa"/>
              <w:right w:w="100" w:type="dxa"/>
            </w:tcMar>
          </w:tcPr>
          <w:p w14:paraId="56F4E21B" w14:textId="77777777" w:rsidR="007B2DE2" w:rsidRDefault="00133674" w:rsidP="00540250">
            <w:pPr>
              <w:widowControl w:val="0"/>
              <w:shd w:val="clear" w:color="auto" w:fill="FFFFFF"/>
              <w:rPr>
                <w:b/>
              </w:rPr>
            </w:pPr>
            <w:r>
              <w:rPr>
                <w:b/>
              </w:rPr>
              <w:t>Mice ID</w:t>
            </w:r>
          </w:p>
        </w:tc>
        <w:tc>
          <w:tcPr>
            <w:tcW w:w="1530" w:type="dxa"/>
            <w:tcBorders>
              <w:top w:val="single" w:sz="18" w:space="0" w:color="000000"/>
              <w:bottom w:val="single" w:sz="18" w:space="0" w:color="000000"/>
            </w:tcBorders>
            <w:tcMar>
              <w:top w:w="100" w:type="dxa"/>
              <w:left w:w="100" w:type="dxa"/>
              <w:bottom w:w="100" w:type="dxa"/>
              <w:right w:w="100" w:type="dxa"/>
            </w:tcMar>
          </w:tcPr>
          <w:p w14:paraId="0B931408" w14:textId="77777777" w:rsidR="007B2DE2" w:rsidRDefault="00133674" w:rsidP="00540250">
            <w:pPr>
              <w:widowControl w:val="0"/>
              <w:shd w:val="clear" w:color="auto" w:fill="FFFFFF"/>
              <w:rPr>
                <w:b/>
              </w:rPr>
            </w:pPr>
            <w:r>
              <w:rPr>
                <w:b/>
              </w:rPr>
              <w:t>Date</w:t>
            </w:r>
          </w:p>
        </w:tc>
        <w:tc>
          <w:tcPr>
            <w:tcW w:w="1430" w:type="dxa"/>
            <w:tcBorders>
              <w:top w:val="single" w:sz="18" w:space="0" w:color="000000"/>
              <w:bottom w:val="single" w:sz="18" w:space="0" w:color="000000"/>
            </w:tcBorders>
            <w:tcMar>
              <w:top w:w="100" w:type="dxa"/>
              <w:left w:w="100" w:type="dxa"/>
              <w:bottom w:w="100" w:type="dxa"/>
              <w:right w:w="100" w:type="dxa"/>
            </w:tcMar>
          </w:tcPr>
          <w:p w14:paraId="247431CD" w14:textId="77777777" w:rsidR="007B2DE2" w:rsidRDefault="00133674" w:rsidP="00540250">
            <w:pPr>
              <w:widowControl w:val="0"/>
              <w:shd w:val="clear" w:color="auto" w:fill="FFFFFF"/>
              <w:rPr>
                <w:b/>
              </w:rPr>
            </w:pPr>
            <w:r>
              <w:rPr>
                <w:b/>
              </w:rPr>
              <w:t>On Treatment</w:t>
            </w:r>
          </w:p>
        </w:tc>
        <w:tc>
          <w:tcPr>
            <w:tcW w:w="1550" w:type="dxa"/>
            <w:tcBorders>
              <w:top w:val="single" w:sz="18" w:space="0" w:color="000000"/>
              <w:bottom w:val="single" w:sz="18" w:space="0" w:color="000000"/>
            </w:tcBorders>
            <w:tcMar>
              <w:top w:w="100" w:type="dxa"/>
              <w:left w:w="100" w:type="dxa"/>
              <w:bottom w:w="100" w:type="dxa"/>
              <w:right w:w="100" w:type="dxa"/>
            </w:tcMar>
          </w:tcPr>
          <w:p w14:paraId="18A75679" w14:textId="77777777" w:rsidR="007B2DE2" w:rsidRDefault="00133674" w:rsidP="00540250">
            <w:pPr>
              <w:widowControl w:val="0"/>
              <w:shd w:val="clear" w:color="auto" w:fill="FFFFFF"/>
              <w:rPr>
                <w:b/>
              </w:rPr>
            </w:pPr>
            <w:r>
              <w:rPr>
                <w:b/>
              </w:rPr>
              <w:t>Tumor Volume</w:t>
            </w:r>
          </w:p>
        </w:tc>
        <w:tc>
          <w:tcPr>
            <w:tcW w:w="1088" w:type="dxa"/>
            <w:tcBorders>
              <w:top w:val="single" w:sz="18" w:space="0" w:color="000000"/>
              <w:bottom w:val="single" w:sz="18" w:space="0" w:color="000000"/>
            </w:tcBorders>
            <w:tcMar>
              <w:top w:w="100" w:type="dxa"/>
              <w:left w:w="100" w:type="dxa"/>
              <w:bottom w:w="100" w:type="dxa"/>
              <w:right w:w="100" w:type="dxa"/>
            </w:tcMar>
          </w:tcPr>
          <w:p w14:paraId="66AD20FE" w14:textId="77777777" w:rsidR="007B2DE2" w:rsidRDefault="00133674" w:rsidP="00540250">
            <w:pPr>
              <w:widowControl w:val="0"/>
              <w:shd w:val="clear" w:color="auto" w:fill="FFFFFF"/>
              <w:rPr>
                <w:b/>
              </w:rPr>
            </w:pPr>
            <w:r>
              <w:rPr>
                <w:b/>
              </w:rPr>
              <w:t>Body Weight</w:t>
            </w:r>
          </w:p>
        </w:tc>
      </w:tr>
      <w:tr w:rsidR="007F18EB" w14:paraId="0E974BED" w14:textId="77777777" w:rsidTr="002C3B91">
        <w:trPr>
          <w:trHeight w:val="143"/>
        </w:trPr>
        <w:tc>
          <w:tcPr>
            <w:tcW w:w="1710" w:type="dxa"/>
            <w:tcBorders>
              <w:top w:val="single" w:sz="18" w:space="0" w:color="000000"/>
              <w:bottom w:val="single" w:sz="8" w:space="0" w:color="000000"/>
            </w:tcBorders>
            <w:tcMar>
              <w:top w:w="100" w:type="dxa"/>
              <w:left w:w="100" w:type="dxa"/>
              <w:bottom w:w="100" w:type="dxa"/>
              <w:right w:w="100" w:type="dxa"/>
            </w:tcMar>
          </w:tcPr>
          <w:p w14:paraId="5DABA03C" w14:textId="79E47A69" w:rsidR="007F18EB" w:rsidRDefault="007F18EB" w:rsidP="007F18EB">
            <w:pPr>
              <w:widowControl w:val="0"/>
              <w:shd w:val="clear" w:color="auto" w:fill="FFFFFF"/>
            </w:pPr>
            <w:r>
              <w:t>172845-121-T</w:t>
            </w:r>
          </w:p>
        </w:tc>
        <w:tc>
          <w:tcPr>
            <w:tcW w:w="990" w:type="dxa"/>
            <w:tcBorders>
              <w:top w:val="single" w:sz="18" w:space="0" w:color="000000"/>
              <w:bottom w:val="single" w:sz="8" w:space="0" w:color="000000"/>
            </w:tcBorders>
            <w:tcMar>
              <w:top w:w="100" w:type="dxa"/>
              <w:left w:w="100" w:type="dxa"/>
              <w:bottom w:w="100" w:type="dxa"/>
              <w:right w:w="100" w:type="dxa"/>
            </w:tcMar>
          </w:tcPr>
          <w:p w14:paraId="1C2F0979" w14:textId="77777777" w:rsidR="007F18EB" w:rsidRDefault="007F18EB" w:rsidP="007F18EB">
            <w:pPr>
              <w:widowControl w:val="0"/>
              <w:shd w:val="clear" w:color="auto" w:fill="FFFFFF"/>
            </w:pPr>
            <w:r>
              <w:t>Control</w:t>
            </w:r>
          </w:p>
        </w:tc>
        <w:tc>
          <w:tcPr>
            <w:tcW w:w="1080" w:type="dxa"/>
            <w:tcBorders>
              <w:top w:val="single" w:sz="18" w:space="0" w:color="000000"/>
              <w:bottom w:val="single" w:sz="8" w:space="0" w:color="000000"/>
            </w:tcBorders>
            <w:tcMar>
              <w:top w:w="100" w:type="dxa"/>
              <w:left w:w="100" w:type="dxa"/>
              <w:bottom w:w="100" w:type="dxa"/>
              <w:right w:w="100" w:type="dxa"/>
            </w:tcMar>
          </w:tcPr>
          <w:p w14:paraId="538B1B1B" w14:textId="4D38F911" w:rsidR="007F18EB" w:rsidRDefault="007F18EB" w:rsidP="007F18EB">
            <w:pPr>
              <w:widowControl w:val="0"/>
              <w:shd w:val="clear" w:color="auto" w:fill="FFFFFF"/>
            </w:pPr>
            <w:r>
              <w:t>104</w:t>
            </w:r>
          </w:p>
        </w:tc>
        <w:tc>
          <w:tcPr>
            <w:tcW w:w="1530" w:type="dxa"/>
            <w:tcBorders>
              <w:top w:val="single" w:sz="18" w:space="0" w:color="000000"/>
              <w:bottom w:val="single" w:sz="8" w:space="0" w:color="000000"/>
            </w:tcBorders>
            <w:tcMar>
              <w:top w:w="100" w:type="dxa"/>
              <w:left w:w="100" w:type="dxa"/>
              <w:bottom w:w="100" w:type="dxa"/>
              <w:right w:w="100" w:type="dxa"/>
            </w:tcMar>
          </w:tcPr>
          <w:p w14:paraId="1A9BC4D6" w14:textId="1DB7E2CF" w:rsidR="007F18EB" w:rsidRDefault="007F18EB" w:rsidP="007F18EB">
            <w:pPr>
              <w:widowControl w:val="0"/>
              <w:shd w:val="clear" w:color="auto" w:fill="FFFFFF"/>
            </w:pPr>
            <w:r>
              <w:t>9/28/2015</w:t>
            </w:r>
          </w:p>
        </w:tc>
        <w:tc>
          <w:tcPr>
            <w:tcW w:w="1430" w:type="dxa"/>
            <w:tcBorders>
              <w:top w:val="single" w:sz="18" w:space="0" w:color="000000"/>
              <w:bottom w:val="single" w:sz="8" w:space="0" w:color="000000"/>
            </w:tcBorders>
            <w:tcMar>
              <w:top w:w="100" w:type="dxa"/>
              <w:left w:w="100" w:type="dxa"/>
              <w:bottom w:w="100" w:type="dxa"/>
              <w:right w:w="100" w:type="dxa"/>
            </w:tcMar>
          </w:tcPr>
          <w:p w14:paraId="64DAFA0A" w14:textId="3284ECAD" w:rsidR="007F18EB" w:rsidRDefault="007F18EB" w:rsidP="007F18EB">
            <w:pPr>
              <w:widowControl w:val="0"/>
              <w:shd w:val="clear" w:color="auto" w:fill="FFFFFF"/>
            </w:pPr>
            <w:r>
              <w:t xml:space="preserve"> Yes</w:t>
            </w:r>
          </w:p>
        </w:tc>
        <w:tc>
          <w:tcPr>
            <w:tcW w:w="1550" w:type="dxa"/>
            <w:tcBorders>
              <w:top w:val="single" w:sz="18" w:space="0" w:color="000000"/>
              <w:bottom w:val="single" w:sz="8" w:space="0" w:color="000000"/>
            </w:tcBorders>
            <w:tcMar>
              <w:top w:w="100" w:type="dxa"/>
              <w:left w:w="100" w:type="dxa"/>
              <w:bottom w:w="100" w:type="dxa"/>
              <w:right w:w="100" w:type="dxa"/>
            </w:tcMar>
            <w:vAlign w:val="bottom"/>
          </w:tcPr>
          <w:p w14:paraId="3FB74998" w14:textId="30787BA5" w:rsidR="007F18EB" w:rsidRPr="00942B0C" w:rsidRDefault="007F18EB" w:rsidP="007F18EB">
            <w:pPr>
              <w:widowControl w:val="0"/>
              <w:shd w:val="clear" w:color="auto" w:fill="FFFFFF"/>
            </w:pPr>
            <w:r>
              <w:t>215</w:t>
            </w:r>
          </w:p>
        </w:tc>
        <w:tc>
          <w:tcPr>
            <w:tcW w:w="1088" w:type="dxa"/>
            <w:tcBorders>
              <w:top w:val="single" w:sz="18" w:space="0" w:color="000000"/>
              <w:bottom w:val="single" w:sz="8" w:space="0" w:color="000000"/>
            </w:tcBorders>
            <w:tcMar>
              <w:top w:w="100" w:type="dxa"/>
              <w:left w:w="100" w:type="dxa"/>
              <w:bottom w:w="100" w:type="dxa"/>
              <w:right w:w="100" w:type="dxa"/>
            </w:tcMar>
          </w:tcPr>
          <w:p w14:paraId="758F1EA3" w14:textId="1CE89CD2" w:rsidR="007F18EB" w:rsidRPr="00AA0C87" w:rsidRDefault="007F18EB" w:rsidP="007F18EB">
            <w:pPr>
              <w:widowControl w:val="0"/>
              <w:shd w:val="clear" w:color="auto" w:fill="FFFFFF"/>
            </w:pPr>
            <w:r w:rsidRPr="00942B0C">
              <w:t xml:space="preserve"> </w:t>
            </w:r>
            <w:r w:rsidRPr="00AA0C87">
              <w:t>21.8</w:t>
            </w:r>
          </w:p>
        </w:tc>
      </w:tr>
      <w:tr w:rsidR="007F18EB" w14:paraId="05916BDD" w14:textId="77777777" w:rsidTr="002C3B91">
        <w:trPr>
          <w:trHeight w:val="107"/>
        </w:trPr>
        <w:tc>
          <w:tcPr>
            <w:tcW w:w="1710" w:type="dxa"/>
            <w:tcBorders>
              <w:top w:val="single" w:sz="8" w:space="0" w:color="000000"/>
              <w:bottom w:val="single" w:sz="8" w:space="0" w:color="000000"/>
            </w:tcBorders>
            <w:tcMar>
              <w:top w:w="100" w:type="dxa"/>
              <w:left w:w="100" w:type="dxa"/>
              <w:bottom w:w="100" w:type="dxa"/>
              <w:right w:w="100" w:type="dxa"/>
            </w:tcMar>
          </w:tcPr>
          <w:p w14:paraId="5D488E8D" w14:textId="192C37C5" w:rsidR="007F18EB" w:rsidRDefault="007F18EB" w:rsidP="007F18EB">
            <w:pPr>
              <w:widowControl w:val="0"/>
              <w:shd w:val="clear" w:color="auto" w:fill="FFFFFF"/>
            </w:pPr>
            <w:r w:rsidRPr="00DC63BC">
              <w:t>172845-121-T</w:t>
            </w:r>
          </w:p>
        </w:tc>
        <w:tc>
          <w:tcPr>
            <w:tcW w:w="990" w:type="dxa"/>
            <w:tcBorders>
              <w:top w:val="single" w:sz="8" w:space="0" w:color="000000"/>
              <w:bottom w:val="single" w:sz="8" w:space="0" w:color="000000"/>
            </w:tcBorders>
            <w:tcMar>
              <w:top w:w="100" w:type="dxa"/>
              <w:left w:w="100" w:type="dxa"/>
              <w:bottom w:w="100" w:type="dxa"/>
              <w:right w:w="100" w:type="dxa"/>
            </w:tcMar>
          </w:tcPr>
          <w:p w14:paraId="43918DB1" w14:textId="77777777" w:rsidR="007F18EB" w:rsidRDefault="007F18EB" w:rsidP="007F18EB">
            <w:pPr>
              <w:widowControl w:val="0"/>
              <w:shd w:val="clear" w:color="auto" w:fill="FFFFFF"/>
            </w:pPr>
            <w:r>
              <w:t>Control</w:t>
            </w:r>
          </w:p>
        </w:tc>
        <w:tc>
          <w:tcPr>
            <w:tcW w:w="1080" w:type="dxa"/>
            <w:tcBorders>
              <w:top w:val="single" w:sz="8" w:space="0" w:color="000000"/>
              <w:bottom w:val="single" w:sz="8" w:space="0" w:color="000000"/>
            </w:tcBorders>
            <w:tcMar>
              <w:top w:w="100" w:type="dxa"/>
              <w:left w:w="100" w:type="dxa"/>
              <w:bottom w:w="100" w:type="dxa"/>
              <w:right w:w="100" w:type="dxa"/>
            </w:tcMar>
          </w:tcPr>
          <w:p w14:paraId="41F58A4E" w14:textId="50643757" w:rsidR="007F18EB" w:rsidRDefault="007F18EB" w:rsidP="007F18EB">
            <w:pPr>
              <w:widowControl w:val="0"/>
              <w:shd w:val="clear" w:color="auto" w:fill="FFFFFF"/>
            </w:pPr>
            <w:r w:rsidRPr="00A13FF1">
              <w:t>104</w:t>
            </w:r>
          </w:p>
        </w:tc>
        <w:tc>
          <w:tcPr>
            <w:tcW w:w="1530" w:type="dxa"/>
            <w:tcBorders>
              <w:top w:val="single" w:sz="8" w:space="0" w:color="000000"/>
              <w:bottom w:val="single" w:sz="8" w:space="0" w:color="000000"/>
            </w:tcBorders>
            <w:tcMar>
              <w:top w:w="100" w:type="dxa"/>
              <w:left w:w="100" w:type="dxa"/>
              <w:bottom w:w="100" w:type="dxa"/>
              <w:right w:w="100" w:type="dxa"/>
            </w:tcMar>
          </w:tcPr>
          <w:p w14:paraId="03C7A55C" w14:textId="2FABD5FB" w:rsidR="007F18EB" w:rsidRDefault="007F18EB" w:rsidP="007F18EB">
            <w:pPr>
              <w:widowControl w:val="0"/>
              <w:shd w:val="clear" w:color="auto" w:fill="FFFFFF"/>
            </w:pPr>
            <w:r>
              <w:t>10</w:t>
            </w:r>
            <w:r w:rsidRPr="0011113C">
              <w:t>/</w:t>
            </w:r>
            <w:r>
              <w:t>1</w:t>
            </w:r>
            <w:r w:rsidRPr="0011113C">
              <w:t>/</w:t>
            </w:r>
            <w:r>
              <w:t>2015</w:t>
            </w:r>
          </w:p>
        </w:tc>
        <w:tc>
          <w:tcPr>
            <w:tcW w:w="1430" w:type="dxa"/>
            <w:tcBorders>
              <w:top w:val="single" w:sz="8" w:space="0" w:color="000000"/>
              <w:bottom w:val="single" w:sz="8" w:space="0" w:color="000000"/>
            </w:tcBorders>
            <w:tcMar>
              <w:top w:w="100" w:type="dxa"/>
              <w:left w:w="100" w:type="dxa"/>
              <w:bottom w:w="100" w:type="dxa"/>
              <w:right w:w="100" w:type="dxa"/>
            </w:tcMar>
          </w:tcPr>
          <w:p w14:paraId="1D1F77CA" w14:textId="6E3CBBB2" w:rsidR="007F18EB" w:rsidRDefault="007F18EB" w:rsidP="007F18EB">
            <w:pPr>
              <w:widowControl w:val="0"/>
              <w:shd w:val="clear" w:color="auto" w:fill="FFFFFF"/>
            </w:pPr>
            <w:r>
              <w:t xml:space="preserve"> Yes</w:t>
            </w:r>
          </w:p>
        </w:tc>
        <w:tc>
          <w:tcPr>
            <w:tcW w:w="1550" w:type="dxa"/>
            <w:tcBorders>
              <w:top w:val="single" w:sz="8" w:space="0" w:color="000000"/>
              <w:bottom w:val="single" w:sz="8" w:space="0" w:color="000000"/>
            </w:tcBorders>
            <w:tcMar>
              <w:top w:w="100" w:type="dxa"/>
              <w:left w:w="100" w:type="dxa"/>
              <w:bottom w:w="100" w:type="dxa"/>
              <w:right w:w="100" w:type="dxa"/>
            </w:tcMar>
            <w:vAlign w:val="bottom"/>
          </w:tcPr>
          <w:p w14:paraId="5B435127" w14:textId="2AF9A0BD" w:rsidR="007F18EB" w:rsidRPr="00942B0C" w:rsidRDefault="007F18EB" w:rsidP="007F18EB">
            <w:pPr>
              <w:widowControl w:val="0"/>
              <w:shd w:val="clear" w:color="auto" w:fill="FFFFFF"/>
            </w:pPr>
            <w:r>
              <w:t>308</w:t>
            </w:r>
          </w:p>
        </w:tc>
        <w:tc>
          <w:tcPr>
            <w:tcW w:w="1088" w:type="dxa"/>
            <w:tcBorders>
              <w:top w:val="single" w:sz="8" w:space="0" w:color="000000"/>
              <w:bottom w:val="single" w:sz="8" w:space="0" w:color="000000"/>
            </w:tcBorders>
            <w:tcMar>
              <w:top w:w="100" w:type="dxa"/>
              <w:left w:w="100" w:type="dxa"/>
              <w:bottom w:w="100" w:type="dxa"/>
              <w:right w:w="100" w:type="dxa"/>
            </w:tcMar>
          </w:tcPr>
          <w:p w14:paraId="408D3E07" w14:textId="5C7E920B" w:rsidR="007F18EB" w:rsidRPr="00AA0C87" w:rsidRDefault="007F18EB" w:rsidP="007F18EB">
            <w:pPr>
              <w:widowControl w:val="0"/>
              <w:shd w:val="clear" w:color="auto" w:fill="FFFFFF"/>
            </w:pPr>
            <w:r w:rsidRPr="00942B0C">
              <w:t xml:space="preserve"> </w:t>
            </w:r>
            <w:r w:rsidRPr="00AA0C87">
              <w:t>20.3</w:t>
            </w:r>
          </w:p>
        </w:tc>
      </w:tr>
      <w:tr w:rsidR="007F18EB" w14:paraId="71C0BF5C" w14:textId="77777777" w:rsidTr="002C3B91">
        <w:trPr>
          <w:trHeight w:val="152"/>
        </w:trPr>
        <w:tc>
          <w:tcPr>
            <w:tcW w:w="1710" w:type="dxa"/>
            <w:tcBorders>
              <w:top w:val="single" w:sz="8" w:space="0" w:color="000000"/>
              <w:bottom w:val="single" w:sz="8" w:space="0" w:color="000000"/>
            </w:tcBorders>
            <w:tcMar>
              <w:top w:w="100" w:type="dxa"/>
              <w:left w:w="100" w:type="dxa"/>
              <w:bottom w:w="100" w:type="dxa"/>
              <w:right w:w="100" w:type="dxa"/>
            </w:tcMar>
          </w:tcPr>
          <w:p w14:paraId="36E39E2E" w14:textId="45983CEA" w:rsidR="007F18EB" w:rsidRDefault="007F18EB" w:rsidP="007F18EB">
            <w:pPr>
              <w:widowControl w:val="0"/>
              <w:shd w:val="clear" w:color="auto" w:fill="FFFFFF"/>
            </w:pPr>
            <w:r w:rsidRPr="00DC63BC">
              <w:t>172845-121-T</w:t>
            </w:r>
          </w:p>
        </w:tc>
        <w:tc>
          <w:tcPr>
            <w:tcW w:w="990" w:type="dxa"/>
            <w:tcBorders>
              <w:top w:val="single" w:sz="8" w:space="0" w:color="000000"/>
              <w:bottom w:val="single" w:sz="8" w:space="0" w:color="000000"/>
            </w:tcBorders>
            <w:tcMar>
              <w:top w:w="100" w:type="dxa"/>
              <w:left w:w="100" w:type="dxa"/>
              <w:bottom w:w="100" w:type="dxa"/>
              <w:right w:w="100" w:type="dxa"/>
            </w:tcMar>
          </w:tcPr>
          <w:p w14:paraId="55381A95" w14:textId="77777777" w:rsidR="007F18EB" w:rsidRDefault="007F18EB" w:rsidP="007F18EB">
            <w:pPr>
              <w:widowControl w:val="0"/>
              <w:shd w:val="clear" w:color="auto" w:fill="FFFFFF"/>
            </w:pPr>
            <w:r>
              <w:t>Control</w:t>
            </w:r>
          </w:p>
        </w:tc>
        <w:tc>
          <w:tcPr>
            <w:tcW w:w="1080" w:type="dxa"/>
            <w:tcBorders>
              <w:top w:val="single" w:sz="8" w:space="0" w:color="000000"/>
              <w:bottom w:val="single" w:sz="8" w:space="0" w:color="000000"/>
            </w:tcBorders>
            <w:tcMar>
              <w:top w:w="100" w:type="dxa"/>
              <w:left w:w="100" w:type="dxa"/>
              <w:bottom w:w="100" w:type="dxa"/>
              <w:right w:w="100" w:type="dxa"/>
            </w:tcMar>
          </w:tcPr>
          <w:p w14:paraId="6460B818" w14:textId="7C65B711" w:rsidR="007F18EB" w:rsidRDefault="007F18EB" w:rsidP="007F18EB">
            <w:pPr>
              <w:widowControl w:val="0"/>
              <w:shd w:val="clear" w:color="auto" w:fill="FFFFFF"/>
            </w:pPr>
            <w:r w:rsidRPr="00A13FF1">
              <w:t>104</w:t>
            </w:r>
          </w:p>
        </w:tc>
        <w:tc>
          <w:tcPr>
            <w:tcW w:w="1530" w:type="dxa"/>
            <w:tcBorders>
              <w:top w:val="single" w:sz="8" w:space="0" w:color="000000"/>
              <w:bottom w:val="single" w:sz="8" w:space="0" w:color="000000"/>
            </w:tcBorders>
            <w:tcMar>
              <w:top w:w="100" w:type="dxa"/>
              <w:left w:w="100" w:type="dxa"/>
              <w:bottom w:w="100" w:type="dxa"/>
              <w:right w:w="100" w:type="dxa"/>
            </w:tcMar>
          </w:tcPr>
          <w:p w14:paraId="6D83551F" w14:textId="652D141D" w:rsidR="007F18EB" w:rsidRDefault="007F18EB" w:rsidP="007F18EB">
            <w:pPr>
              <w:widowControl w:val="0"/>
              <w:shd w:val="clear" w:color="auto" w:fill="FFFFFF"/>
            </w:pPr>
            <w:r>
              <w:t>10</w:t>
            </w:r>
            <w:r w:rsidRPr="0011113C">
              <w:t>/</w:t>
            </w:r>
            <w:r>
              <w:t>5</w:t>
            </w:r>
            <w:r w:rsidRPr="0011113C">
              <w:t>/</w:t>
            </w:r>
            <w:r>
              <w:t>2015</w:t>
            </w:r>
          </w:p>
        </w:tc>
        <w:tc>
          <w:tcPr>
            <w:tcW w:w="1430" w:type="dxa"/>
            <w:tcBorders>
              <w:top w:val="single" w:sz="8" w:space="0" w:color="000000"/>
              <w:bottom w:val="single" w:sz="8" w:space="0" w:color="000000"/>
            </w:tcBorders>
            <w:tcMar>
              <w:top w:w="100" w:type="dxa"/>
              <w:left w:w="100" w:type="dxa"/>
              <w:bottom w:w="100" w:type="dxa"/>
              <w:right w:w="100" w:type="dxa"/>
            </w:tcMar>
          </w:tcPr>
          <w:p w14:paraId="62656F62" w14:textId="0D699001" w:rsidR="007F18EB" w:rsidRDefault="007F18EB" w:rsidP="007F18EB">
            <w:pPr>
              <w:widowControl w:val="0"/>
              <w:shd w:val="clear" w:color="auto" w:fill="FFFFFF"/>
            </w:pPr>
            <w:r>
              <w:t xml:space="preserve"> </w:t>
            </w:r>
          </w:p>
        </w:tc>
        <w:tc>
          <w:tcPr>
            <w:tcW w:w="1550" w:type="dxa"/>
            <w:tcBorders>
              <w:top w:val="single" w:sz="8" w:space="0" w:color="000000"/>
              <w:bottom w:val="single" w:sz="8" w:space="0" w:color="000000"/>
            </w:tcBorders>
            <w:tcMar>
              <w:top w:w="100" w:type="dxa"/>
              <w:left w:w="100" w:type="dxa"/>
              <w:bottom w:w="100" w:type="dxa"/>
              <w:right w:w="100" w:type="dxa"/>
            </w:tcMar>
            <w:vAlign w:val="bottom"/>
          </w:tcPr>
          <w:p w14:paraId="686EFCCF" w14:textId="25C62652" w:rsidR="007F18EB" w:rsidRPr="00942B0C" w:rsidRDefault="007F18EB" w:rsidP="007F18EB">
            <w:pPr>
              <w:widowControl w:val="0"/>
              <w:shd w:val="clear" w:color="auto" w:fill="FFFFFF"/>
            </w:pPr>
            <w:r>
              <w:t>420</w:t>
            </w:r>
          </w:p>
        </w:tc>
        <w:tc>
          <w:tcPr>
            <w:tcW w:w="1088" w:type="dxa"/>
            <w:tcBorders>
              <w:top w:val="single" w:sz="8" w:space="0" w:color="000000"/>
              <w:bottom w:val="single" w:sz="8" w:space="0" w:color="000000"/>
            </w:tcBorders>
            <w:tcMar>
              <w:top w:w="100" w:type="dxa"/>
              <w:left w:w="100" w:type="dxa"/>
              <w:bottom w:w="100" w:type="dxa"/>
              <w:right w:w="100" w:type="dxa"/>
            </w:tcMar>
          </w:tcPr>
          <w:p w14:paraId="04E574DC" w14:textId="042392D6" w:rsidR="007F18EB" w:rsidRPr="00AA0C87" w:rsidRDefault="007F18EB" w:rsidP="007F18EB">
            <w:pPr>
              <w:widowControl w:val="0"/>
              <w:shd w:val="clear" w:color="auto" w:fill="FFFFFF"/>
            </w:pPr>
            <w:r w:rsidRPr="00942B0C">
              <w:t xml:space="preserve"> </w:t>
            </w:r>
            <w:r w:rsidRPr="00AA0C87">
              <w:t>19</w:t>
            </w:r>
          </w:p>
        </w:tc>
      </w:tr>
      <w:tr w:rsidR="007F18EB" w14:paraId="3E192AD6" w14:textId="77777777" w:rsidTr="002C3B91">
        <w:trPr>
          <w:trHeight w:val="197"/>
        </w:trPr>
        <w:tc>
          <w:tcPr>
            <w:tcW w:w="1710" w:type="dxa"/>
            <w:tcBorders>
              <w:top w:val="single" w:sz="8" w:space="0" w:color="000000"/>
              <w:bottom w:val="single" w:sz="8" w:space="0" w:color="000000"/>
            </w:tcBorders>
            <w:tcMar>
              <w:top w:w="100" w:type="dxa"/>
              <w:left w:w="100" w:type="dxa"/>
              <w:bottom w:w="100" w:type="dxa"/>
              <w:right w:w="100" w:type="dxa"/>
            </w:tcMar>
          </w:tcPr>
          <w:p w14:paraId="0A7A2968" w14:textId="3DB8D4DB" w:rsidR="007F18EB" w:rsidRDefault="007F18EB" w:rsidP="007F18EB">
            <w:pPr>
              <w:widowControl w:val="0"/>
              <w:shd w:val="clear" w:color="auto" w:fill="FFFFFF"/>
            </w:pPr>
            <w:r w:rsidRPr="00DC63BC">
              <w:t>172845-121-T</w:t>
            </w:r>
          </w:p>
        </w:tc>
        <w:tc>
          <w:tcPr>
            <w:tcW w:w="990" w:type="dxa"/>
            <w:tcBorders>
              <w:top w:val="single" w:sz="8" w:space="0" w:color="000000"/>
              <w:bottom w:val="single" w:sz="8" w:space="0" w:color="000000"/>
            </w:tcBorders>
            <w:tcMar>
              <w:top w:w="100" w:type="dxa"/>
              <w:left w:w="100" w:type="dxa"/>
              <w:bottom w:w="100" w:type="dxa"/>
              <w:right w:w="100" w:type="dxa"/>
            </w:tcMar>
          </w:tcPr>
          <w:p w14:paraId="0B932D5D" w14:textId="77777777" w:rsidR="007F18EB" w:rsidRDefault="007F18EB" w:rsidP="007F18EB">
            <w:pPr>
              <w:widowControl w:val="0"/>
              <w:shd w:val="clear" w:color="auto" w:fill="FFFFFF"/>
            </w:pPr>
            <w:r>
              <w:t>Control</w:t>
            </w:r>
          </w:p>
        </w:tc>
        <w:tc>
          <w:tcPr>
            <w:tcW w:w="1080" w:type="dxa"/>
            <w:tcBorders>
              <w:top w:val="single" w:sz="8" w:space="0" w:color="000000"/>
              <w:bottom w:val="single" w:sz="8" w:space="0" w:color="000000"/>
            </w:tcBorders>
            <w:tcMar>
              <w:top w:w="100" w:type="dxa"/>
              <w:left w:w="100" w:type="dxa"/>
              <w:bottom w:w="100" w:type="dxa"/>
              <w:right w:w="100" w:type="dxa"/>
            </w:tcMar>
          </w:tcPr>
          <w:p w14:paraId="283FED34" w14:textId="76CAB0D1" w:rsidR="007F18EB" w:rsidRDefault="007F18EB" w:rsidP="007F18EB">
            <w:pPr>
              <w:widowControl w:val="0"/>
              <w:shd w:val="clear" w:color="auto" w:fill="FFFFFF"/>
            </w:pPr>
            <w:r w:rsidRPr="00A13FF1">
              <w:t>104</w:t>
            </w:r>
          </w:p>
        </w:tc>
        <w:tc>
          <w:tcPr>
            <w:tcW w:w="1530" w:type="dxa"/>
            <w:tcBorders>
              <w:top w:val="single" w:sz="8" w:space="0" w:color="000000"/>
              <w:bottom w:val="single" w:sz="8" w:space="0" w:color="000000"/>
            </w:tcBorders>
            <w:tcMar>
              <w:top w:w="100" w:type="dxa"/>
              <w:left w:w="100" w:type="dxa"/>
              <w:bottom w:w="100" w:type="dxa"/>
              <w:right w:w="100" w:type="dxa"/>
            </w:tcMar>
          </w:tcPr>
          <w:p w14:paraId="377BA202" w14:textId="58EE4B45" w:rsidR="007F18EB" w:rsidRDefault="007F18EB" w:rsidP="007F18EB">
            <w:pPr>
              <w:widowControl w:val="0"/>
              <w:shd w:val="clear" w:color="auto" w:fill="FFFFFF"/>
            </w:pPr>
            <w:r>
              <w:t>10</w:t>
            </w:r>
            <w:r w:rsidRPr="0011113C">
              <w:t>/</w:t>
            </w:r>
            <w:r>
              <w:t>9</w:t>
            </w:r>
            <w:r w:rsidRPr="0011113C">
              <w:t>/</w:t>
            </w:r>
            <w:r>
              <w:t>2015</w:t>
            </w:r>
          </w:p>
        </w:tc>
        <w:tc>
          <w:tcPr>
            <w:tcW w:w="1430" w:type="dxa"/>
            <w:tcBorders>
              <w:top w:val="single" w:sz="8" w:space="0" w:color="000000"/>
              <w:bottom w:val="single" w:sz="8" w:space="0" w:color="000000"/>
            </w:tcBorders>
            <w:tcMar>
              <w:top w:w="100" w:type="dxa"/>
              <w:left w:w="100" w:type="dxa"/>
              <w:bottom w:w="100" w:type="dxa"/>
              <w:right w:w="100" w:type="dxa"/>
            </w:tcMar>
          </w:tcPr>
          <w:p w14:paraId="1D02F075" w14:textId="48CA6DF5" w:rsidR="007F18EB" w:rsidRDefault="007F18EB" w:rsidP="007F18EB">
            <w:pPr>
              <w:widowControl w:val="0"/>
              <w:shd w:val="clear" w:color="auto" w:fill="FFFFFF"/>
            </w:pPr>
            <w:r>
              <w:t xml:space="preserve"> </w:t>
            </w:r>
          </w:p>
        </w:tc>
        <w:tc>
          <w:tcPr>
            <w:tcW w:w="1550" w:type="dxa"/>
            <w:tcBorders>
              <w:top w:val="single" w:sz="8" w:space="0" w:color="000000"/>
              <w:bottom w:val="single" w:sz="8" w:space="0" w:color="000000"/>
            </w:tcBorders>
            <w:tcMar>
              <w:top w:w="100" w:type="dxa"/>
              <w:left w:w="100" w:type="dxa"/>
              <w:bottom w:w="100" w:type="dxa"/>
              <w:right w:w="100" w:type="dxa"/>
            </w:tcMar>
            <w:vAlign w:val="bottom"/>
          </w:tcPr>
          <w:p w14:paraId="14CF8828" w14:textId="18E92C51" w:rsidR="007F18EB" w:rsidRPr="00942B0C" w:rsidRDefault="007F18EB" w:rsidP="007F18EB">
            <w:pPr>
              <w:widowControl w:val="0"/>
              <w:shd w:val="clear" w:color="auto" w:fill="FFFFFF"/>
            </w:pPr>
            <w:r>
              <w:t>488</w:t>
            </w:r>
          </w:p>
        </w:tc>
        <w:tc>
          <w:tcPr>
            <w:tcW w:w="1088" w:type="dxa"/>
            <w:tcBorders>
              <w:top w:val="single" w:sz="8" w:space="0" w:color="000000"/>
              <w:bottom w:val="single" w:sz="8" w:space="0" w:color="000000"/>
            </w:tcBorders>
            <w:tcMar>
              <w:top w:w="100" w:type="dxa"/>
              <w:left w:w="100" w:type="dxa"/>
              <w:bottom w:w="100" w:type="dxa"/>
              <w:right w:w="100" w:type="dxa"/>
            </w:tcMar>
          </w:tcPr>
          <w:p w14:paraId="78A71D3A" w14:textId="0B6C7922" w:rsidR="007F18EB" w:rsidRPr="00AA0C87" w:rsidRDefault="007F18EB" w:rsidP="007F18EB">
            <w:pPr>
              <w:widowControl w:val="0"/>
              <w:shd w:val="clear" w:color="auto" w:fill="FFFFFF"/>
            </w:pPr>
            <w:r w:rsidRPr="00942B0C">
              <w:t xml:space="preserve"> </w:t>
            </w:r>
            <w:r w:rsidRPr="00AA0C87">
              <w:t>19.2</w:t>
            </w:r>
          </w:p>
        </w:tc>
      </w:tr>
      <w:tr w:rsidR="007F18EB" w14:paraId="31B83D05" w14:textId="77777777" w:rsidTr="002C3B91">
        <w:trPr>
          <w:trHeight w:val="20"/>
        </w:trPr>
        <w:tc>
          <w:tcPr>
            <w:tcW w:w="1710" w:type="dxa"/>
            <w:tcBorders>
              <w:top w:val="single" w:sz="8" w:space="0" w:color="000000"/>
              <w:bottom w:val="single" w:sz="8" w:space="0" w:color="000000"/>
            </w:tcBorders>
            <w:tcMar>
              <w:top w:w="100" w:type="dxa"/>
              <w:left w:w="100" w:type="dxa"/>
              <w:bottom w:w="100" w:type="dxa"/>
              <w:right w:w="100" w:type="dxa"/>
            </w:tcMar>
          </w:tcPr>
          <w:p w14:paraId="668D3BD1" w14:textId="4455F0DF" w:rsidR="007F18EB" w:rsidRDefault="007F18EB" w:rsidP="007F18EB">
            <w:pPr>
              <w:widowControl w:val="0"/>
              <w:shd w:val="clear" w:color="auto" w:fill="FFFFFF"/>
            </w:pPr>
            <w:r w:rsidRPr="00DC63BC">
              <w:t>172845-121-T</w:t>
            </w:r>
          </w:p>
        </w:tc>
        <w:tc>
          <w:tcPr>
            <w:tcW w:w="990" w:type="dxa"/>
            <w:tcBorders>
              <w:top w:val="single" w:sz="8" w:space="0" w:color="000000"/>
              <w:bottom w:val="single" w:sz="8" w:space="0" w:color="000000"/>
            </w:tcBorders>
            <w:tcMar>
              <w:top w:w="100" w:type="dxa"/>
              <w:left w:w="100" w:type="dxa"/>
              <w:bottom w:w="100" w:type="dxa"/>
              <w:right w:w="100" w:type="dxa"/>
            </w:tcMar>
          </w:tcPr>
          <w:p w14:paraId="533CA63A" w14:textId="77777777" w:rsidR="007F18EB" w:rsidRDefault="007F18EB" w:rsidP="007F18EB">
            <w:pPr>
              <w:widowControl w:val="0"/>
              <w:shd w:val="clear" w:color="auto" w:fill="FFFFFF"/>
            </w:pPr>
            <w:r>
              <w:t>Control</w:t>
            </w:r>
          </w:p>
        </w:tc>
        <w:tc>
          <w:tcPr>
            <w:tcW w:w="1080" w:type="dxa"/>
            <w:tcBorders>
              <w:top w:val="single" w:sz="8" w:space="0" w:color="000000"/>
              <w:bottom w:val="single" w:sz="8" w:space="0" w:color="000000"/>
            </w:tcBorders>
            <w:tcMar>
              <w:top w:w="100" w:type="dxa"/>
              <w:left w:w="100" w:type="dxa"/>
              <w:bottom w:w="100" w:type="dxa"/>
              <w:right w:w="100" w:type="dxa"/>
            </w:tcMar>
          </w:tcPr>
          <w:p w14:paraId="58C1EF16" w14:textId="300685DC" w:rsidR="007F18EB" w:rsidRDefault="007F18EB" w:rsidP="007F18EB">
            <w:pPr>
              <w:widowControl w:val="0"/>
              <w:shd w:val="clear" w:color="auto" w:fill="FFFFFF"/>
            </w:pPr>
            <w:r w:rsidRPr="00A13FF1">
              <w:t>104</w:t>
            </w:r>
          </w:p>
        </w:tc>
        <w:tc>
          <w:tcPr>
            <w:tcW w:w="1530" w:type="dxa"/>
            <w:tcBorders>
              <w:top w:val="single" w:sz="8" w:space="0" w:color="000000"/>
              <w:bottom w:val="single" w:sz="8" w:space="0" w:color="000000"/>
            </w:tcBorders>
            <w:tcMar>
              <w:top w:w="100" w:type="dxa"/>
              <w:left w:w="100" w:type="dxa"/>
              <w:bottom w:w="100" w:type="dxa"/>
              <w:right w:w="100" w:type="dxa"/>
            </w:tcMar>
          </w:tcPr>
          <w:p w14:paraId="22FE0E0A" w14:textId="054A2384" w:rsidR="007F18EB" w:rsidRDefault="007F18EB" w:rsidP="007F18EB">
            <w:pPr>
              <w:widowControl w:val="0"/>
              <w:shd w:val="clear" w:color="auto" w:fill="FFFFFF"/>
            </w:pPr>
            <w:r>
              <w:t>10</w:t>
            </w:r>
            <w:r w:rsidRPr="0011113C">
              <w:t>/1</w:t>
            </w:r>
            <w:r>
              <w:t>4</w:t>
            </w:r>
            <w:r w:rsidRPr="0011113C">
              <w:t>/</w:t>
            </w:r>
            <w:r>
              <w:t>2015</w:t>
            </w:r>
          </w:p>
        </w:tc>
        <w:tc>
          <w:tcPr>
            <w:tcW w:w="1430" w:type="dxa"/>
            <w:tcBorders>
              <w:top w:val="single" w:sz="8" w:space="0" w:color="000000"/>
              <w:bottom w:val="single" w:sz="8" w:space="0" w:color="000000"/>
            </w:tcBorders>
            <w:tcMar>
              <w:top w:w="100" w:type="dxa"/>
              <w:left w:w="100" w:type="dxa"/>
              <w:bottom w:w="100" w:type="dxa"/>
              <w:right w:w="100" w:type="dxa"/>
            </w:tcMar>
          </w:tcPr>
          <w:p w14:paraId="076D5075" w14:textId="08412339" w:rsidR="007F18EB" w:rsidRDefault="007F18EB" w:rsidP="007F18EB">
            <w:pPr>
              <w:widowControl w:val="0"/>
              <w:shd w:val="clear" w:color="auto" w:fill="FFFFFF"/>
            </w:pPr>
            <w:r>
              <w:t xml:space="preserve"> </w:t>
            </w:r>
          </w:p>
        </w:tc>
        <w:tc>
          <w:tcPr>
            <w:tcW w:w="1550" w:type="dxa"/>
            <w:tcBorders>
              <w:top w:val="single" w:sz="8" w:space="0" w:color="000000"/>
              <w:bottom w:val="single" w:sz="8" w:space="0" w:color="000000"/>
            </w:tcBorders>
            <w:tcMar>
              <w:top w:w="100" w:type="dxa"/>
              <w:left w:w="100" w:type="dxa"/>
              <w:bottom w:w="100" w:type="dxa"/>
              <w:right w:w="100" w:type="dxa"/>
            </w:tcMar>
            <w:vAlign w:val="bottom"/>
          </w:tcPr>
          <w:p w14:paraId="07B43C2C" w14:textId="45F0F1E3" w:rsidR="007F18EB" w:rsidRPr="00942B0C" w:rsidRDefault="007F18EB" w:rsidP="007F18EB">
            <w:pPr>
              <w:widowControl w:val="0"/>
              <w:shd w:val="clear" w:color="auto" w:fill="FFFFFF"/>
            </w:pPr>
            <w:r>
              <w:t>546</w:t>
            </w:r>
          </w:p>
        </w:tc>
        <w:tc>
          <w:tcPr>
            <w:tcW w:w="1088" w:type="dxa"/>
            <w:tcBorders>
              <w:top w:val="single" w:sz="8" w:space="0" w:color="000000"/>
              <w:bottom w:val="single" w:sz="8" w:space="0" w:color="000000"/>
            </w:tcBorders>
            <w:tcMar>
              <w:top w:w="100" w:type="dxa"/>
              <w:left w:w="100" w:type="dxa"/>
              <w:bottom w:w="100" w:type="dxa"/>
              <w:right w:w="100" w:type="dxa"/>
            </w:tcMar>
          </w:tcPr>
          <w:p w14:paraId="28752925" w14:textId="2E435D6C" w:rsidR="007F18EB" w:rsidRPr="00AA0C87" w:rsidRDefault="007F18EB" w:rsidP="007F18EB">
            <w:pPr>
              <w:widowControl w:val="0"/>
              <w:shd w:val="clear" w:color="auto" w:fill="FFFFFF"/>
            </w:pPr>
            <w:r w:rsidRPr="00942B0C">
              <w:t xml:space="preserve"> </w:t>
            </w:r>
            <w:r w:rsidRPr="00AA0C87">
              <w:t>19.1</w:t>
            </w:r>
          </w:p>
        </w:tc>
      </w:tr>
      <w:tr w:rsidR="007F18EB" w14:paraId="52B4A340" w14:textId="77777777" w:rsidTr="002C3B91">
        <w:trPr>
          <w:trHeight w:val="20"/>
        </w:trPr>
        <w:tc>
          <w:tcPr>
            <w:tcW w:w="1710" w:type="dxa"/>
            <w:tcBorders>
              <w:top w:val="single" w:sz="8" w:space="0" w:color="000000"/>
              <w:bottom w:val="single" w:sz="8" w:space="0" w:color="000000"/>
            </w:tcBorders>
            <w:tcMar>
              <w:top w:w="100" w:type="dxa"/>
              <w:left w:w="100" w:type="dxa"/>
              <w:bottom w:w="100" w:type="dxa"/>
              <w:right w:w="100" w:type="dxa"/>
            </w:tcMar>
          </w:tcPr>
          <w:p w14:paraId="0409B4B9" w14:textId="477C6370" w:rsidR="007F18EB" w:rsidRDefault="007F18EB" w:rsidP="007F18EB">
            <w:pPr>
              <w:widowControl w:val="0"/>
              <w:shd w:val="clear" w:color="auto" w:fill="FFFFFF"/>
            </w:pPr>
            <w:r w:rsidRPr="00DC63BC">
              <w:t>172845-121-T</w:t>
            </w:r>
          </w:p>
        </w:tc>
        <w:tc>
          <w:tcPr>
            <w:tcW w:w="990" w:type="dxa"/>
            <w:tcBorders>
              <w:top w:val="single" w:sz="8" w:space="0" w:color="000000"/>
              <w:bottom w:val="single" w:sz="8" w:space="0" w:color="000000"/>
            </w:tcBorders>
            <w:tcMar>
              <w:top w:w="100" w:type="dxa"/>
              <w:left w:w="100" w:type="dxa"/>
              <w:bottom w:w="100" w:type="dxa"/>
              <w:right w:w="100" w:type="dxa"/>
            </w:tcMar>
          </w:tcPr>
          <w:p w14:paraId="0366D0C3" w14:textId="77777777" w:rsidR="007F18EB" w:rsidRDefault="007F18EB" w:rsidP="007F18EB">
            <w:pPr>
              <w:widowControl w:val="0"/>
              <w:shd w:val="clear" w:color="auto" w:fill="FFFFFF"/>
            </w:pPr>
            <w:r>
              <w:t>Control</w:t>
            </w:r>
          </w:p>
        </w:tc>
        <w:tc>
          <w:tcPr>
            <w:tcW w:w="1080" w:type="dxa"/>
            <w:tcBorders>
              <w:top w:val="single" w:sz="8" w:space="0" w:color="000000"/>
              <w:bottom w:val="single" w:sz="8" w:space="0" w:color="000000"/>
            </w:tcBorders>
            <w:tcMar>
              <w:top w:w="100" w:type="dxa"/>
              <w:left w:w="100" w:type="dxa"/>
              <w:bottom w:w="100" w:type="dxa"/>
              <w:right w:w="100" w:type="dxa"/>
            </w:tcMar>
          </w:tcPr>
          <w:p w14:paraId="1A637B1F" w14:textId="09FF8E97" w:rsidR="007F18EB" w:rsidRDefault="007F18EB" w:rsidP="007F18EB">
            <w:pPr>
              <w:widowControl w:val="0"/>
              <w:shd w:val="clear" w:color="auto" w:fill="FFFFFF"/>
            </w:pPr>
            <w:r w:rsidRPr="00A13FF1">
              <w:t>104</w:t>
            </w:r>
          </w:p>
        </w:tc>
        <w:tc>
          <w:tcPr>
            <w:tcW w:w="1530" w:type="dxa"/>
            <w:tcBorders>
              <w:top w:val="single" w:sz="8" w:space="0" w:color="000000"/>
              <w:bottom w:val="single" w:sz="8" w:space="0" w:color="000000"/>
            </w:tcBorders>
            <w:tcMar>
              <w:top w:w="100" w:type="dxa"/>
              <w:left w:w="100" w:type="dxa"/>
              <w:bottom w:w="100" w:type="dxa"/>
              <w:right w:w="100" w:type="dxa"/>
            </w:tcMar>
          </w:tcPr>
          <w:p w14:paraId="7577032A" w14:textId="2C0DF499" w:rsidR="007F18EB" w:rsidRDefault="007F18EB" w:rsidP="007F18EB">
            <w:pPr>
              <w:widowControl w:val="0"/>
              <w:shd w:val="clear" w:color="auto" w:fill="FFFFFF"/>
            </w:pPr>
            <w:r>
              <w:t>10</w:t>
            </w:r>
            <w:r w:rsidRPr="0011113C">
              <w:t>/</w:t>
            </w:r>
            <w:r>
              <w:t>20</w:t>
            </w:r>
            <w:r w:rsidRPr="0011113C">
              <w:t>/</w:t>
            </w:r>
            <w:r>
              <w:t>2015</w:t>
            </w:r>
          </w:p>
        </w:tc>
        <w:tc>
          <w:tcPr>
            <w:tcW w:w="1430" w:type="dxa"/>
            <w:tcBorders>
              <w:top w:val="single" w:sz="8" w:space="0" w:color="000000"/>
              <w:bottom w:val="single" w:sz="8" w:space="0" w:color="000000"/>
            </w:tcBorders>
            <w:tcMar>
              <w:top w:w="100" w:type="dxa"/>
              <w:left w:w="100" w:type="dxa"/>
              <w:bottom w:w="100" w:type="dxa"/>
              <w:right w:w="100" w:type="dxa"/>
            </w:tcMar>
          </w:tcPr>
          <w:p w14:paraId="71C15738" w14:textId="2E6D5ED6" w:rsidR="007F18EB" w:rsidRDefault="007F18EB" w:rsidP="007F18EB">
            <w:pPr>
              <w:widowControl w:val="0"/>
              <w:shd w:val="clear" w:color="auto" w:fill="FFFFFF"/>
            </w:pPr>
          </w:p>
        </w:tc>
        <w:tc>
          <w:tcPr>
            <w:tcW w:w="1550" w:type="dxa"/>
            <w:tcBorders>
              <w:top w:val="single" w:sz="8" w:space="0" w:color="000000"/>
              <w:bottom w:val="single" w:sz="8" w:space="0" w:color="000000"/>
            </w:tcBorders>
            <w:tcMar>
              <w:top w:w="100" w:type="dxa"/>
              <w:left w:w="100" w:type="dxa"/>
              <w:bottom w:w="100" w:type="dxa"/>
              <w:right w:w="100" w:type="dxa"/>
            </w:tcMar>
            <w:vAlign w:val="bottom"/>
          </w:tcPr>
          <w:p w14:paraId="213BEE04" w14:textId="34DBF5A2" w:rsidR="007F18EB" w:rsidRPr="00942B0C" w:rsidRDefault="007F18EB" w:rsidP="007F18EB">
            <w:pPr>
              <w:widowControl w:val="0"/>
              <w:shd w:val="clear" w:color="auto" w:fill="FFFFFF"/>
            </w:pPr>
            <w:r>
              <w:t>842</w:t>
            </w:r>
          </w:p>
        </w:tc>
        <w:tc>
          <w:tcPr>
            <w:tcW w:w="1088" w:type="dxa"/>
            <w:tcBorders>
              <w:top w:val="single" w:sz="8" w:space="0" w:color="000000"/>
              <w:bottom w:val="single" w:sz="8" w:space="0" w:color="000000"/>
            </w:tcBorders>
            <w:tcMar>
              <w:top w:w="100" w:type="dxa"/>
              <w:left w:w="100" w:type="dxa"/>
              <w:bottom w:w="100" w:type="dxa"/>
              <w:right w:w="100" w:type="dxa"/>
            </w:tcMar>
          </w:tcPr>
          <w:p w14:paraId="1326CDDF" w14:textId="38B8B9C2" w:rsidR="007F18EB" w:rsidRPr="00AA0C87" w:rsidRDefault="007F18EB" w:rsidP="007F18EB">
            <w:pPr>
              <w:widowControl w:val="0"/>
              <w:shd w:val="clear" w:color="auto" w:fill="FFFFFF"/>
            </w:pPr>
            <w:r w:rsidRPr="00942B0C">
              <w:t xml:space="preserve"> </w:t>
            </w:r>
            <w:r w:rsidRPr="00AA0C87">
              <w:t>19.2</w:t>
            </w:r>
          </w:p>
        </w:tc>
      </w:tr>
      <w:tr w:rsidR="007F18EB" w14:paraId="20A9F61D" w14:textId="77777777" w:rsidTr="002C3B91">
        <w:trPr>
          <w:trHeight w:val="20"/>
        </w:trPr>
        <w:tc>
          <w:tcPr>
            <w:tcW w:w="1710" w:type="dxa"/>
            <w:tcBorders>
              <w:top w:val="single" w:sz="8" w:space="0" w:color="000000"/>
              <w:bottom w:val="single" w:sz="8" w:space="0" w:color="000000"/>
            </w:tcBorders>
            <w:tcMar>
              <w:top w:w="100" w:type="dxa"/>
              <w:left w:w="100" w:type="dxa"/>
              <w:bottom w:w="100" w:type="dxa"/>
              <w:right w:w="100" w:type="dxa"/>
            </w:tcMar>
          </w:tcPr>
          <w:p w14:paraId="76E7B3C6" w14:textId="756B2309" w:rsidR="007F18EB" w:rsidRDefault="007F18EB" w:rsidP="007F18EB">
            <w:pPr>
              <w:widowControl w:val="0"/>
              <w:shd w:val="clear" w:color="auto" w:fill="FFFFFF"/>
            </w:pPr>
            <w:r w:rsidRPr="00DC63BC">
              <w:t>172845-121-T</w:t>
            </w:r>
          </w:p>
        </w:tc>
        <w:tc>
          <w:tcPr>
            <w:tcW w:w="990" w:type="dxa"/>
            <w:tcBorders>
              <w:top w:val="single" w:sz="8" w:space="0" w:color="000000"/>
              <w:bottom w:val="single" w:sz="8" w:space="0" w:color="000000"/>
            </w:tcBorders>
            <w:tcMar>
              <w:top w:w="100" w:type="dxa"/>
              <w:left w:w="100" w:type="dxa"/>
              <w:bottom w:w="100" w:type="dxa"/>
              <w:right w:w="100" w:type="dxa"/>
            </w:tcMar>
          </w:tcPr>
          <w:p w14:paraId="31E8B7DB" w14:textId="77777777" w:rsidR="007F18EB" w:rsidRDefault="007F18EB" w:rsidP="007F18EB">
            <w:pPr>
              <w:widowControl w:val="0"/>
              <w:shd w:val="clear" w:color="auto" w:fill="FFFFFF"/>
            </w:pPr>
            <w:r>
              <w:t>Control</w:t>
            </w:r>
          </w:p>
        </w:tc>
        <w:tc>
          <w:tcPr>
            <w:tcW w:w="1080" w:type="dxa"/>
            <w:tcBorders>
              <w:top w:val="single" w:sz="8" w:space="0" w:color="000000"/>
              <w:bottom w:val="single" w:sz="8" w:space="0" w:color="000000"/>
            </w:tcBorders>
            <w:tcMar>
              <w:top w:w="100" w:type="dxa"/>
              <w:left w:w="100" w:type="dxa"/>
              <w:bottom w:w="100" w:type="dxa"/>
              <w:right w:w="100" w:type="dxa"/>
            </w:tcMar>
          </w:tcPr>
          <w:p w14:paraId="47E20907" w14:textId="2A2C12A5" w:rsidR="007F18EB" w:rsidRDefault="007F18EB" w:rsidP="007F18EB">
            <w:pPr>
              <w:widowControl w:val="0"/>
              <w:shd w:val="clear" w:color="auto" w:fill="FFFFFF"/>
            </w:pPr>
            <w:r w:rsidRPr="00A13FF1">
              <w:t>104</w:t>
            </w:r>
          </w:p>
        </w:tc>
        <w:tc>
          <w:tcPr>
            <w:tcW w:w="1530" w:type="dxa"/>
            <w:tcBorders>
              <w:top w:val="single" w:sz="8" w:space="0" w:color="000000"/>
              <w:bottom w:val="single" w:sz="8" w:space="0" w:color="000000"/>
            </w:tcBorders>
            <w:tcMar>
              <w:top w:w="100" w:type="dxa"/>
              <w:left w:w="100" w:type="dxa"/>
              <w:bottom w:w="100" w:type="dxa"/>
              <w:right w:w="100" w:type="dxa"/>
            </w:tcMar>
          </w:tcPr>
          <w:p w14:paraId="45811B6C" w14:textId="77D41FE0" w:rsidR="007F18EB" w:rsidRDefault="007F18EB" w:rsidP="007F18EB">
            <w:pPr>
              <w:widowControl w:val="0"/>
              <w:shd w:val="clear" w:color="auto" w:fill="FFFFFF"/>
            </w:pPr>
            <w:r>
              <w:t>10</w:t>
            </w:r>
            <w:r w:rsidRPr="0011113C">
              <w:t>/</w:t>
            </w:r>
            <w:r>
              <w:t>26</w:t>
            </w:r>
            <w:r w:rsidRPr="0011113C">
              <w:t>/</w:t>
            </w:r>
            <w:r>
              <w:t>2015</w:t>
            </w:r>
          </w:p>
        </w:tc>
        <w:tc>
          <w:tcPr>
            <w:tcW w:w="1430" w:type="dxa"/>
            <w:tcBorders>
              <w:top w:val="single" w:sz="8" w:space="0" w:color="000000"/>
              <w:bottom w:val="single" w:sz="8" w:space="0" w:color="000000"/>
            </w:tcBorders>
            <w:tcMar>
              <w:top w:w="100" w:type="dxa"/>
              <w:left w:w="100" w:type="dxa"/>
              <w:bottom w:w="100" w:type="dxa"/>
              <w:right w:w="100" w:type="dxa"/>
            </w:tcMar>
          </w:tcPr>
          <w:p w14:paraId="0505DBD3" w14:textId="1FD7CFB6" w:rsidR="007F18EB" w:rsidRDefault="007F18EB" w:rsidP="007F18EB">
            <w:pPr>
              <w:widowControl w:val="0"/>
              <w:shd w:val="clear" w:color="auto" w:fill="FFFFFF"/>
            </w:pPr>
            <w:r>
              <w:t>Yes</w:t>
            </w:r>
          </w:p>
        </w:tc>
        <w:tc>
          <w:tcPr>
            <w:tcW w:w="1550" w:type="dxa"/>
            <w:tcBorders>
              <w:top w:val="single" w:sz="8" w:space="0" w:color="000000"/>
              <w:bottom w:val="single" w:sz="8" w:space="0" w:color="000000"/>
            </w:tcBorders>
            <w:tcMar>
              <w:top w:w="100" w:type="dxa"/>
              <w:left w:w="100" w:type="dxa"/>
              <w:bottom w:w="100" w:type="dxa"/>
              <w:right w:w="100" w:type="dxa"/>
            </w:tcMar>
            <w:vAlign w:val="bottom"/>
          </w:tcPr>
          <w:p w14:paraId="4CCEDC1C" w14:textId="35482BFF" w:rsidR="007F18EB" w:rsidRPr="00942B0C" w:rsidRDefault="007F18EB" w:rsidP="007F18EB">
            <w:pPr>
              <w:widowControl w:val="0"/>
              <w:shd w:val="clear" w:color="auto" w:fill="FFFFFF"/>
            </w:pPr>
            <w:r>
              <w:t>1165</w:t>
            </w:r>
          </w:p>
        </w:tc>
        <w:tc>
          <w:tcPr>
            <w:tcW w:w="1088" w:type="dxa"/>
            <w:tcBorders>
              <w:top w:val="single" w:sz="8" w:space="0" w:color="000000"/>
              <w:bottom w:val="single" w:sz="8" w:space="0" w:color="000000"/>
            </w:tcBorders>
            <w:tcMar>
              <w:top w:w="100" w:type="dxa"/>
              <w:left w:w="100" w:type="dxa"/>
              <w:bottom w:w="100" w:type="dxa"/>
              <w:right w:w="100" w:type="dxa"/>
            </w:tcMar>
          </w:tcPr>
          <w:p w14:paraId="36DEE953" w14:textId="0F38C4DC" w:rsidR="007F18EB" w:rsidRPr="00AA0C87" w:rsidRDefault="007F18EB" w:rsidP="007F18EB">
            <w:pPr>
              <w:widowControl w:val="0"/>
              <w:shd w:val="clear" w:color="auto" w:fill="FFFFFF"/>
            </w:pPr>
            <w:r w:rsidRPr="00942B0C">
              <w:t xml:space="preserve"> </w:t>
            </w:r>
            <w:r w:rsidRPr="00AA0C87">
              <w:t>19.2</w:t>
            </w:r>
          </w:p>
        </w:tc>
      </w:tr>
      <w:tr w:rsidR="007F18EB" w14:paraId="1DCC81C4" w14:textId="77777777" w:rsidTr="002C3B91">
        <w:trPr>
          <w:trHeight w:val="134"/>
        </w:trPr>
        <w:tc>
          <w:tcPr>
            <w:tcW w:w="1710" w:type="dxa"/>
            <w:tcBorders>
              <w:top w:val="single" w:sz="8" w:space="0" w:color="000000"/>
              <w:bottom w:val="single" w:sz="8" w:space="0" w:color="000000"/>
            </w:tcBorders>
            <w:tcMar>
              <w:top w:w="100" w:type="dxa"/>
              <w:left w:w="100" w:type="dxa"/>
              <w:bottom w:w="100" w:type="dxa"/>
              <w:right w:w="100" w:type="dxa"/>
            </w:tcMar>
          </w:tcPr>
          <w:p w14:paraId="57AC1DCE" w14:textId="2CCC95ED" w:rsidR="007F18EB" w:rsidRDefault="007F18EB" w:rsidP="007F18EB">
            <w:pPr>
              <w:widowControl w:val="0"/>
              <w:shd w:val="clear" w:color="auto" w:fill="FFFFFF"/>
            </w:pPr>
            <w:r w:rsidRPr="00DC63BC">
              <w:t>172845-121-T</w:t>
            </w:r>
          </w:p>
        </w:tc>
        <w:tc>
          <w:tcPr>
            <w:tcW w:w="990" w:type="dxa"/>
            <w:tcBorders>
              <w:top w:val="single" w:sz="8" w:space="0" w:color="000000"/>
              <w:bottom w:val="single" w:sz="8" w:space="0" w:color="000000"/>
            </w:tcBorders>
            <w:tcMar>
              <w:top w:w="100" w:type="dxa"/>
              <w:left w:w="100" w:type="dxa"/>
              <w:bottom w:w="100" w:type="dxa"/>
              <w:right w:w="100" w:type="dxa"/>
            </w:tcMar>
          </w:tcPr>
          <w:p w14:paraId="01003A09" w14:textId="3FA07918" w:rsidR="007F18EB" w:rsidRDefault="007F18EB" w:rsidP="007F18EB">
            <w:pPr>
              <w:widowControl w:val="0"/>
              <w:shd w:val="clear" w:color="auto" w:fill="FFFFFF"/>
            </w:pPr>
            <w:r>
              <w:t>Control</w:t>
            </w:r>
          </w:p>
        </w:tc>
        <w:tc>
          <w:tcPr>
            <w:tcW w:w="1080" w:type="dxa"/>
            <w:tcBorders>
              <w:top w:val="single" w:sz="8" w:space="0" w:color="000000"/>
              <w:bottom w:val="single" w:sz="8" w:space="0" w:color="000000"/>
            </w:tcBorders>
            <w:tcMar>
              <w:top w:w="100" w:type="dxa"/>
              <w:left w:w="100" w:type="dxa"/>
              <w:bottom w:w="100" w:type="dxa"/>
              <w:right w:w="100" w:type="dxa"/>
            </w:tcMar>
          </w:tcPr>
          <w:p w14:paraId="00BF28B7" w14:textId="0A5258F3" w:rsidR="007F18EB" w:rsidRDefault="007F18EB" w:rsidP="007F18EB">
            <w:pPr>
              <w:widowControl w:val="0"/>
              <w:shd w:val="clear" w:color="auto" w:fill="FFFFFF"/>
            </w:pPr>
            <w:r w:rsidRPr="00A13FF1">
              <w:t>104</w:t>
            </w:r>
          </w:p>
        </w:tc>
        <w:tc>
          <w:tcPr>
            <w:tcW w:w="1530" w:type="dxa"/>
            <w:tcBorders>
              <w:top w:val="single" w:sz="8" w:space="0" w:color="000000"/>
              <w:bottom w:val="single" w:sz="8" w:space="0" w:color="000000"/>
            </w:tcBorders>
            <w:tcMar>
              <w:top w:w="100" w:type="dxa"/>
              <w:left w:w="100" w:type="dxa"/>
              <w:bottom w:w="100" w:type="dxa"/>
              <w:right w:w="100" w:type="dxa"/>
            </w:tcMar>
          </w:tcPr>
          <w:p w14:paraId="4089A5DC" w14:textId="142B23D8" w:rsidR="007F18EB" w:rsidRDefault="007F18EB" w:rsidP="007F18EB">
            <w:pPr>
              <w:widowControl w:val="0"/>
              <w:shd w:val="clear" w:color="auto" w:fill="FFFFFF"/>
            </w:pPr>
            <w:r>
              <w:t>10</w:t>
            </w:r>
            <w:r w:rsidRPr="0011113C">
              <w:t>/</w:t>
            </w:r>
            <w:r>
              <w:t>31</w:t>
            </w:r>
            <w:r w:rsidRPr="0011113C">
              <w:t>/</w:t>
            </w:r>
            <w:r>
              <w:t>2015</w:t>
            </w:r>
          </w:p>
        </w:tc>
        <w:tc>
          <w:tcPr>
            <w:tcW w:w="1430" w:type="dxa"/>
            <w:tcBorders>
              <w:top w:val="single" w:sz="8" w:space="0" w:color="000000"/>
              <w:bottom w:val="single" w:sz="8" w:space="0" w:color="000000"/>
            </w:tcBorders>
            <w:tcMar>
              <w:top w:w="100" w:type="dxa"/>
              <w:left w:w="100" w:type="dxa"/>
              <w:bottom w:w="100" w:type="dxa"/>
              <w:right w:w="100" w:type="dxa"/>
            </w:tcMar>
          </w:tcPr>
          <w:p w14:paraId="7BACC2CB" w14:textId="77777777" w:rsidR="007F18EB" w:rsidRDefault="007F18EB" w:rsidP="007F18EB">
            <w:pPr>
              <w:widowControl w:val="0"/>
              <w:shd w:val="clear" w:color="auto" w:fill="FFFFFF"/>
            </w:pPr>
            <w:r>
              <w:t xml:space="preserve"> </w:t>
            </w:r>
          </w:p>
        </w:tc>
        <w:tc>
          <w:tcPr>
            <w:tcW w:w="1550" w:type="dxa"/>
            <w:tcBorders>
              <w:top w:val="single" w:sz="8" w:space="0" w:color="000000"/>
              <w:bottom w:val="single" w:sz="8" w:space="0" w:color="000000"/>
            </w:tcBorders>
            <w:tcMar>
              <w:top w:w="100" w:type="dxa"/>
              <w:left w:w="100" w:type="dxa"/>
              <w:bottom w:w="100" w:type="dxa"/>
              <w:right w:w="100" w:type="dxa"/>
            </w:tcMar>
            <w:vAlign w:val="bottom"/>
          </w:tcPr>
          <w:p w14:paraId="2DB9DD7C" w14:textId="560AC679" w:rsidR="007F18EB" w:rsidRPr="00942B0C" w:rsidRDefault="007F18EB" w:rsidP="007F18EB">
            <w:pPr>
              <w:widowControl w:val="0"/>
              <w:shd w:val="clear" w:color="auto" w:fill="FFFFFF"/>
            </w:pPr>
            <w:r>
              <w:t>1213</w:t>
            </w:r>
          </w:p>
        </w:tc>
        <w:tc>
          <w:tcPr>
            <w:tcW w:w="1088" w:type="dxa"/>
            <w:tcBorders>
              <w:top w:val="single" w:sz="8" w:space="0" w:color="000000"/>
              <w:bottom w:val="single" w:sz="8" w:space="0" w:color="000000"/>
            </w:tcBorders>
            <w:tcMar>
              <w:top w:w="100" w:type="dxa"/>
              <w:left w:w="100" w:type="dxa"/>
              <w:bottom w:w="100" w:type="dxa"/>
              <w:right w:w="100" w:type="dxa"/>
            </w:tcMar>
          </w:tcPr>
          <w:p w14:paraId="4E729BB6" w14:textId="61F74146" w:rsidR="007F18EB" w:rsidRPr="00AA0C87" w:rsidRDefault="007F18EB" w:rsidP="007F18EB">
            <w:pPr>
              <w:widowControl w:val="0"/>
              <w:shd w:val="clear" w:color="auto" w:fill="FFFFFF"/>
            </w:pPr>
            <w:r w:rsidRPr="00942B0C">
              <w:t xml:space="preserve"> </w:t>
            </w:r>
            <w:r w:rsidRPr="00AA0C87">
              <w:t>19.5</w:t>
            </w:r>
          </w:p>
        </w:tc>
      </w:tr>
      <w:tr w:rsidR="007F18EB" w14:paraId="4A7D93C3" w14:textId="77777777" w:rsidTr="002C3B91">
        <w:trPr>
          <w:trHeight w:val="20"/>
        </w:trPr>
        <w:tc>
          <w:tcPr>
            <w:tcW w:w="1710" w:type="dxa"/>
            <w:tcBorders>
              <w:top w:val="single" w:sz="8" w:space="0" w:color="000000"/>
              <w:bottom w:val="single" w:sz="8" w:space="0" w:color="000000"/>
            </w:tcBorders>
            <w:tcMar>
              <w:top w:w="100" w:type="dxa"/>
              <w:left w:w="100" w:type="dxa"/>
              <w:bottom w:w="100" w:type="dxa"/>
              <w:right w:w="100" w:type="dxa"/>
            </w:tcMar>
          </w:tcPr>
          <w:p w14:paraId="499AFE37" w14:textId="766CE1DA" w:rsidR="007F18EB" w:rsidRDefault="007F18EB" w:rsidP="007F18EB">
            <w:pPr>
              <w:widowControl w:val="0"/>
              <w:shd w:val="clear" w:color="auto" w:fill="FFFFFF"/>
            </w:pPr>
            <w:r w:rsidRPr="00DC63BC">
              <w:t>172845-121-T</w:t>
            </w:r>
          </w:p>
        </w:tc>
        <w:tc>
          <w:tcPr>
            <w:tcW w:w="990" w:type="dxa"/>
            <w:tcBorders>
              <w:top w:val="single" w:sz="8" w:space="0" w:color="000000"/>
              <w:bottom w:val="single" w:sz="8" w:space="0" w:color="000000"/>
            </w:tcBorders>
            <w:tcMar>
              <w:top w:w="100" w:type="dxa"/>
              <w:left w:w="100" w:type="dxa"/>
              <w:bottom w:w="100" w:type="dxa"/>
              <w:right w:w="100" w:type="dxa"/>
            </w:tcMar>
          </w:tcPr>
          <w:p w14:paraId="5A175ECB" w14:textId="4A21567D" w:rsidR="007F18EB" w:rsidRDefault="007F18EB" w:rsidP="007F18EB">
            <w:pPr>
              <w:widowControl w:val="0"/>
              <w:shd w:val="clear" w:color="auto" w:fill="FFFFFF"/>
            </w:pPr>
            <w:r w:rsidRPr="001D385C">
              <w:t>Temozolomide</w:t>
            </w:r>
          </w:p>
        </w:tc>
        <w:tc>
          <w:tcPr>
            <w:tcW w:w="1080" w:type="dxa"/>
            <w:tcBorders>
              <w:top w:val="single" w:sz="8" w:space="0" w:color="000000"/>
              <w:bottom w:val="single" w:sz="8" w:space="0" w:color="000000"/>
            </w:tcBorders>
            <w:tcMar>
              <w:top w:w="100" w:type="dxa"/>
              <w:left w:w="100" w:type="dxa"/>
              <w:bottom w:w="100" w:type="dxa"/>
              <w:right w:w="100" w:type="dxa"/>
            </w:tcMar>
          </w:tcPr>
          <w:p w14:paraId="4D9C7147" w14:textId="7BFFE1A2" w:rsidR="007F18EB" w:rsidRDefault="007F18EB" w:rsidP="007F18EB">
            <w:pPr>
              <w:widowControl w:val="0"/>
              <w:shd w:val="clear" w:color="auto" w:fill="FFFFFF"/>
            </w:pPr>
            <w:r>
              <w:t>301</w:t>
            </w:r>
          </w:p>
        </w:tc>
        <w:tc>
          <w:tcPr>
            <w:tcW w:w="1530" w:type="dxa"/>
            <w:tcBorders>
              <w:top w:val="single" w:sz="8" w:space="0" w:color="000000"/>
              <w:bottom w:val="single" w:sz="8" w:space="0" w:color="000000"/>
            </w:tcBorders>
            <w:tcMar>
              <w:top w:w="100" w:type="dxa"/>
              <w:left w:w="100" w:type="dxa"/>
              <w:bottom w:w="100" w:type="dxa"/>
              <w:right w:w="100" w:type="dxa"/>
            </w:tcMar>
          </w:tcPr>
          <w:p w14:paraId="05B2A157" w14:textId="227FF718" w:rsidR="007F18EB" w:rsidRDefault="007F18EB" w:rsidP="007F18EB">
            <w:pPr>
              <w:widowControl w:val="0"/>
              <w:shd w:val="clear" w:color="auto" w:fill="FFFFFF"/>
            </w:pPr>
            <w:r>
              <w:t>9/28/2015</w:t>
            </w:r>
          </w:p>
        </w:tc>
        <w:tc>
          <w:tcPr>
            <w:tcW w:w="1430" w:type="dxa"/>
            <w:tcBorders>
              <w:top w:val="single" w:sz="8" w:space="0" w:color="000000"/>
              <w:bottom w:val="single" w:sz="8" w:space="0" w:color="000000"/>
            </w:tcBorders>
            <w:tcMar>
              <w:top w:w="100" w:type="dxa"/>
              <w:left w:w="100" w:type="dxa"/>
              <w:bottom w:w="100" w:type="dxa"/>
              <w:right w:w="100" w:type="dxa"/>
            </w:tcMar>
          </w:tcPr>
          <w:p w14:paraId="30E43357" w14:textId="0486C645" w:rsidR="007F18EB" w:rsidRDefault="007F18EB" w:rsidP="007F18EB">
            <w:pPr>
              <w:widowControl w:val="0"/>
              <w:shd w:val="clear" w:color="auto" w:fill="FFFFFF"/>
            </w:pPr>
            <w:r>
              <w:t xml:space="preserve"> Yes</w:t>
            </w:r>
          </w:p>
        </w:tc>
        <w:tc>
          <w:tcPr>
            <w:tcW w:w="1550" w:type="dxa"/>
            <w:tcBorders>
              <w:top w:val="single" w:sz="8" w:space="0" w:color="000000"/>
              <w:bottom w:val="single" w:sz="8" w:space="0" w:color="000000"/>
            </w:tcBorders>
            <w:tcMar>
              <w:top w:w="100" w:type="dxa"/>
              <w:left w:w="100" w:type="dxa"/>
              <w:bottom w:w="100" w:type="dxa"/>
              <w:right w:w="100" w:type="dxa"/>
            </w:tcMar>
            <w:vAlign w:val="bottom"/>
          </w:tcPr>
          <w:p w14:paraId="3D9254F1" w14:textId="22371548" w:rsidR="007F18EB" w:rsidRPr="00942B0C" w:rsidRDefault="007F18EB" w:rsidP="007F18EB">
            <w:pPr>
              <w:widowControl w:val="0"/>
              <w:shd w:val="clear" w:color="auto" w:fill="FFFFFF"/>
            </w:pPr>
            <w:r>
              <w:t>215</w:t>
            </w:r>
          </w:p>
        </w:tc>
        <w:tc>
          <w:tcPr>
            <w:tcW w:w="1088" w:type="dxa"/>
            <w:tcBorders>
              <w:top w:val="single" w:sz="8" w:space="0" w:color="000000"/>
              <w:bottom w:val="single" w:sz="8" w:space="0" w:color="000000"/>
            </w:tcBorders>
            <w:tcMar>
              <w:top w:w="100" w:type="dxa"/>
              <w:left w:w="100" w:type="dxa"/>
              <w:bottom w:w="100" w:type="dxa"/>
              <w:right w:w="100" w:type="dxa"/>
            </w:tcMar>
          </w:tcPr>
          <w:p w14:paraId="31D16E34" w14:textId="4FFB7E40" w:rsidR="007F18EB" w:rsidRPr="00AA0C87" w:rsidRDefault="007F18EB" w:rsidP="007F18EB">
            <w:pPr>
              <w:widowControl w:val="0"/>
              <w:shd w:val="clear" w:color="auto" w:fill="FFFFFF"/>
            </w:pPr>
            <w:r w:rsidRPr="00942B0C">
              <w:t xml:space="preserve"> </w:t>
            </w:r>
            <w:r w:rsidRPr="00AA0C87">
              <w:t>21.9</w:t>
            </w:r>
          </w:p>
        </w:tc>
      </w:tr>
      <w:tr w:rsidR="007F18EB" w14:paraId="57DA60D5" w14:textId="77777777" w:rsidTr="002C3B91">
        <w:trPr>
          <w:trHeight w:val="20"/>
        </w:trPr>
        <w:tc>
          <w:tcPr>
            <w:tcW w:w="1710" w:type="dxa"/>
            <w:tcBorders>
              <w:top w:val="single" w:sz="8" w:space="0" w:color="000000"/>
              <w:bottom w:val="single" w:sz="8" w:space="0" w:color="000000"/>
            </w:tcBorders>
            <w:tcMar>
              <w:top w:w="100" w:type="dxa"/>
              <w:left w:w="100" w:type="dxa"/>
              <w:bottom w:w="100" w:type="dxa"/>
              <w:right w:w="100" w:type="dxa"/>
            </w:tcMar>
          </w:tcPr>
          <w:p w14:paraId="4E9A75A2" w14:textId="36384286" w:rsidR="007F18EB" w:rsidRDefault="007F18EB" w:rsidP="007F18EB">
            <w:pPr>
              <w:widowControl w:val="0"/>
              <w:shd w:val="clear" w:color="auto" w:fill="FFFFFF"/>
            </w:pPr>
            <w:r w:rsidRPr="00DC63BC">
              <w:t>172845-121-T</w:t>
            </w:r>
          </w:p>
        </w:tc>
        <w:tc>
          <w:tcPr>
            <w:tcW w:w="990" w:type="dxa"/>
            <w:tcBorders>
              <w:top w:val="single" w:sz="8" w:space="0" w:color="000000"/>
              <w:bottom w:val="single" w:sz="8" w:space="0" w:color="000000"/>
            </w:tcBorders>
            <w:tcMar>
              <w:top w:w="100" w:type="dxa"/>
              <w:left w:w="100" w:type="dxa"/>
              <w:bottom w:w="100" w:type="dxa"/>
              <w:right w:w="100" w:type="dxa"/>
            </w:tcMar>
          </w:tcPr>
          <w:p w14:paraId="169FA0DF" w14:textId="275CE094" w:rsidR="007F18EB" w:rsidRDefault="007F18EB" w:rsidP="007F18EB">
            <w:pPr>
              <w:widowControl w:val="0"/>
              <w:shd w:val="clear" w:color="auto" w:fill="FFFFFF"/>
            </w:pPr>
            <w:r w:rsidRPr="001D385C">
              <w:t>Temozolomide</w:t>
            </w:r>
          </w:p>
        </w:tc>
        <w:tc>
          <w:tcPr>
            <w:tcW w:w="1080" w:type="dxa"/>
            <w:tcBorders>
              <w:top w:val="single" w:sz="8" w:space="0" w:color="000000"/>
              <w:bottom w:val="single" w:sz="8" w:space="0" w:color="000000"/>
            </w:tcBorders>
            <w:tcMar>
              <w:top w:w="100" w:type="dxa"/>
              <w:left w:w="100" w:type="dxa"/>
              <w:bottom w:w="100" w:type="dxa"/>
              <w:right w:w="100" w:type="dxa"/>
            </w:tcMar>
          </w:tcPr>
          <w:p w14:paraId="04EB3666" w14:textId="312055B3" w:rsidR="007F18EB" w:rsidRDefault="007F18EB" w:rsidP="007F18EB">
            <w:pPr>
              <w:widowControl w:val="0"/>
              <w:shd w:val="clear" w:color="auto" w:fill="FFFFFF"/>
            </w:pPr>
            <w:r w:rsidRPr="00CA4C8A">
              <w:t>301</w:t>
            </w:r>
          </w:p>
        </w:tc>
        <w:tc>
          <w:tcPr>
            <w:tcW w:w="1530" w:type="dxa"/>
            <w:tcBorders>
              <w:top w:val="single" w:sz="8" w:space="0" w:color="000000"/>
              <w:bottom w:val="single" w:sz="8" w:space="0" w:color="000000"/>
            </w:tcBorders>
            <w:tcMar>
              <w:top w:w="100" w:type="dxa"/>
              <w:left w:w="100" w:type="dxa"/>
              <w:bottom w:w="100" w:type="dxa"/>
              <w:right w:w="100" w:type="dxa"/>
            </w:tcMar>
          </w:tcPr>
          <w:p w14:paraId="4E92A10C" w14:textId="408475E4" w:rsidR="007F18EB" w:rsidRDefault="007F18EB" w:rsidP="007F18EB">
            <w:pPr>
              <w:widowControl w:val="0"/>
              <w:shd w:val="clear" w:color="auto" w:fill="FFFFFF"/>
            </w:pPr>
            <w:r>
              <w:t>10</w:t>
            </w:r>
            <w:r w:rsidRPr="0011113C">
              <w:t>/</w:t>
            </w:r>
            <w:r>
              <w:t>1</w:t>
            </w:r>
            <w:r w:rsidRPr="0011113C">
              <w:t>/</w:t>
            </w:r>
            <w:r>
              <w:t>2015</w:t>
            </w:r>
          </w:p>
        </w:tc>
        <w:tc>
          <w:tcPr>
            <w:tcW w:w="1430" w:type="dxa"/>
            <w:tcBorders>
              <w:top w:val="single" w:sz="8" w:space="0" w:color="000000"/>
              <w:bottom w:val="single" w:sz="8" w:space="0" w:color="000000"/>
            </w:tcBorders>
            <w:tcMar>
              <w:top w:w="100" w:type="dxa"/>
              <w:left w:w="100" w:type="dxa"/>
              <w:bottom w:w="100" w:type="dxa"/>
              <w:right w:w="100" w:type="dxa"/>
            </w:tcMar>
          </w:tcPr>
          <w:p w14:paraId="6A3939D3" w14:textId="78D35963" w:rsidR="007F18EB" w:rsidRDefault="007F18EB" w:rsidP="007F18EB">
            <w:pPr>
              <w:widowControl w:val="0"/>
              <w:shd w:val="clear" w:color="auto" w:fill="FFFFFF"/>
            </w:pPr>
            <w:r>
              <w:t xml:space="preserve"> Yes</w:t>
            </w:r>
          </w:p>
        </w:tc>
        <w:tc>
          <w:tcPr>
            <w:tcW w:w="1550" w:type="dxa"/>
            <w:tcBorders>
              <w:top w:val="single" w:sz="8" w:space="0" w:color="000000"/>
              <w:bottom w:val="single" w:sz="8" w:space="0" w:color="000000"/>
            </w:tcBorders>
            <w:tcMar>
              <w:top w:w="100" w:type="dxa"/>
              <w:left w:w="100" w:type="dxa"/>
              <w:bottom w:w="100" w:type="dxa"/>
              <w:right w:w="100" w:type="dxa"/>
            </w:tcMar>
            <w:vAlign w:val="bottom"/>
          </w:tcPr>
          <w:p w14:paraId="306C4625" w14:textId="34AB78B5" w:rsidR="007F18EB" w:rsidRPr="00942B0C" w:rsidRDefault="007F18EB" w:rsidP="007F18EB">
            <w:pPr>
              <w:widowControl w:val="0"/>
              <w:shd w:val="clear" w:color="auto" w:fill="FFFFFF"/>
            </w:pPr>
            <w:r>
              <w:t>309</w:t>
            </w:r>
          </w:p>
        </w:tc>
        <w:tc>
          <w:tcPr>
            <w:tcW w:w="1088" w:type="dxa"/>
            <w:tcBorders>
              <w:top w:val="single" w:sz="8" w:space="0" w:color="000000"/>
              <w:bottom w:val="single" w:sz="8" w:space="0" w:color="000000"/>
            </w:tcBorders>
            <w:tcMar>
              <w:top w:w="100" w:type="dxa"/>
              <w:left w:w="100" w:type="dxa"/>
              <w:bottom w:w="100" w:type="dxa"/>
              <w:right w:w="100" w:type="dxa"/>
            </w:tcMar>
          </w:tcPr>
          <w:p w14:paraId="44CBC1E6" w14:textId="06A0B489" w:rsidR="007F18EB" w:rsidRPr="00AA0C87" w:rsidRDefault="007F18EB" w:rsidP="007F18EB">
            <w:pPr>
              <w:widowControl w:val="0"/>
              <w:shd w:val="clear" w:color="auto" w:fill="FFFFFF"/>
            </w:pPr>
            <w:r w:rsidRPr="00942B0C">
              <w:t xml:space="preserve"> </w:t>
            </w:r>
            <w:r w:rsidRPr="00AA0C87">
              <w:t>20.7</w:t>
            </w:r>
          </w:p>
        </w:tc>
      </w:tr>
      <w:tr w:rsidR="007F18EB" w14:paraId="649EC7E7" w14:textId="77777777" w:rsidTr="002C3B91">
        <w:trPr>
          <w:trHeight w:val="224"/>
        </w:trPr>
        <w:tc>
          <w:tcPr>
            <w:tcW w:w="1710" w:type="dxa"/>
            <w:tcBorders>
              <w:top w:val="single" w:sz="8" w:space="0" w:color="000000"/>
              <w:bottom w:val="single" w:sz="8" w:space="0" w:color="000000"/>
            </w:tcBorders>
            <w:tcMar>
              <w:top w:w="100" w:type="dxa"/>
              <w:left w:w="100" w:type="dxa"/>
              <w:bottom w:w="100" w:type="dxa"/>
              <w:right w:w="100" w:type="dxa"/>
            </w:tcMar>
          </w:tcPr>
          <w:p w14:paraId="6FC1A1C5" w14:textId="3142792B" w:rsidR="007F18EB" w:rsidRDefault="007F18EB" w:rsidP="007F18EB">
            <w:pPr>
              <w:widowControl w:val="0"/>
              <w:shd w:val="clear" w:color="auto" w:fill="FFFFFF"/>
            </w:pPr>
            <w:r w:rsidRPr="00DC63BC">
              <w:t>172845-121-T</w:t>
            </w:r>
          </w:p>
        </w:tc>
        <w:tc>
          <w:tcPr>
            <w:tcW w:w="990" w:type="dxa"/>
            <w:tcBorders>
              <w:top w:val="single" w:sz="8" w:space="0" w:color="000000"/>
              <w:bottom w:val="single" w:sz="8" w:space="0" w:color="000000"/>
            </w:tcBorders>
            <w:tcMar>
              <w:top w:w="100" w:type="dxa"/>
              <w:left w:w="100" w:type="dxa"/>
              <w:bottom w:w="100" w:type="dxa"/>
              <w:right w:w="100" w:type="dxa"/>
            </w:tcMar>
          </w:tcPr>
          <w:p w14:paraId="7267ECF6" w14:textId="5E2F300D" w:rsidR="007F18EB" w:rsidRDefault="007F18EB" w:rsidP="007F18EB">
            <w:pPr>
              <w:widowControl w:val="0"/>
              <w:shd w:val="clear" w:color="auto" w:fill="FFFFFF"/>
            </w:pPr>
            <w:r w:rsidRPr="001D385C">
              <w:t>Temozolomide</w:t>
            </w:r>
          </w:p>
        </w:tc>
        <w:tc>
          <w:tcPr>
            <w:tcW w:w="1080" w:type="dxa"/>
            <w:tcBorders>
              <w:top w:val="single" w:sz="8" w:space="0" w:color="000000"/>
              <w:bottom w:val="single" w:sz="8" w:space="0" w:color="000000"/>
            </w:tcBorders>
            <w:tcMar>
              <w:top w:w="100" w:type="dxa"/>
              <w:left w:w="100" w:type="dxa"/>
              <w:bottom w:w="100" w:type="dxa"/>
              <w:right w:w="100" w:type="dxa"/>
            </w:tcMar>
          </w:tcPr>
          <w:p w14:paraId="17FA96E0" w14:textId="53533CDC" w:rsidR="007F18EB" w:rsidRDefault="007F18EB" w:rsidP="007F18EB">
            <w:pPr>
              <w:widowControl w:val="0"/>
              <w:shd w:val="clear" w:color="auto" w:fill="FFFFFF"/>
            </w:pPr>
            <w:r w:rsidRPr="00CA4C8A">
              <w:t>301</w:t>
            </w:r>
          </w:p>
        </w:tc>
        <w:tc>
          <w:tcPr>
            <w:tcW w:w="1530" w:type="dxa"/>
            <w:tcBorders>
              <w:top w:val="single" w:sz="8" w:space="0" w:color="000000"/>
              <w:bottom w:val="single" w:sz="8" w:space="0" w:color="000000"/>
            </w:tcBorders>
            <w:tcMar>
              <w:top w:w="100" w:type="dxa"/>
              <w:left w:w="100" w:type="dxa"/>
              <w:bottom w:w="100" w:type="dxa"/>
              <w:right w:w="100" w:type="dxa"/>
            </w:tcMar>
          </w:tcPr>
          <w:p w14:paraId="037ACC72" w14:textId="3B52B178" w:rsidR="007F18EB" w:rsidRDefault="007F18EB" w:rsidP="007F18EB">
            <w:pPr>
              <w:widowControl w:val="0"/>
              <w:shd w:val="clear" w:color="auto" w:fill="FFFFFF"/>
            </w:pPr>
            <w:r>
              <w:t>10</w:t>
            </w:r>
            <w:r w:rsidRPr="0011113C">
              <w:t>/</w:t>
            </w:r>
            <w:r>
              <w:t>5</w:t>
            </w:r>
            <w:r w:rsidRPr="0011113C">
              <w:t>/</w:t>
            </w:r>
            <w:r>
              <w:t>2015</w:t>
            </w:r>
          </w:p>
        </w:tc>
        <w:tc>
          <w:tcPr>
            <w:tcW w:w="1430" w:type="dxa"/>
            <w:tcBorders>
              <w:top w:val="single" w:sz="8" w:space="0" w:color="000000"/>
              <w:bottom w:val="single" w:sz="8" w:space="0" w:color="000000"/>
            </w:tcBorders>
            <w:tcMar>
              <w:top w:w="100" w:type="dxa"/>
              <w:left w:w="100" w:type="dxa"/>
              <w:bottom w:w="100" w:type="dxa"/>
              <w:right w:w="100" w:type="dxa"/>
            </w:tcMar>
          </w:tcPr>
          <w:p w14:paraId="1901E651" w14:textId="513104C7" w:rsidR="007F18EB" w:rsidRDefault="007F18EB" w:rsidP="007F18EB">
            <w:pPr>
              <w:widowControl w:val="0"/>
              <w:shd w:val="clear" w:color="auto" w:fill="FFFFFF"/>
            </w:pPr>
            <w:r>
              <w:t xml:space="preserve"> </w:t>
            </w:r>
          </w:p>
        </w:tc>
        <w:tc>
          <w:tcPr>
            <w:tcW w:w="1550" w:type="dxa"/>
            <w:tcBorders>
              <w:top w:val="single" w:sz="8" w:space="0" w:color="000000"/>
              <w:bottom w:val="single" w:sz="8" w:space="0" w:color="000000"/>
            </w:tcBorders>
            <w:tcMar>
              <w:top w:w="100" w:type="dxa"/>
              <w:left w:w="100" w:type="dxa"/>
              <w:bottom w:w="100" w:type="dxa"/>
              <w:right w:w="100" w:type="dxa"/>
            </w:tcMar>
            <w:vAlign w:val="bottom"/>
          </w:tcPr>
          <w:p w14:paraId="78ED6E0A" w14:textId="6E6F117F" w:rsidR="007F18EB" w:rsidRPr="00942B0C" w:rsidRDefault="007F18EB" w:rsidP="007F18EB">
            <w:pPr>
              <w:widowControl w:val="0"/>
              <w:shd w:val="clear" w:color="auto" w:fill="FFFFFF"/>
            </w:pPr>
            <w:r>
              <w:t>337</w:t>
            </w:r>
          </w:p>
        </w:tc>
        <w:tc>
          <w:tcPr>
            <w:tcW w:w="1088" w:type="dxa"/>
            <w:tcBorders>
              <w:top w:val="single" w:sz="8" w:space="0" w:color="000000"/>
              <w:bottom w:val="single" w:sz="8" w:space="0" w:color="000000"/>
            </w:tcBorders>
            <w:tcMar>
              <w:top w:w="100" w:type="dxa"/>
              <w:left w:w="100" w:type="dxa"/>
              <w:bottom w:w="100" w:type="dxa"/>
              <w:right w:w="100" w:type="dxa"/>
            </w:tcMar>
          </w:tcPr>
          <w:p w14:paraId="47A373D0" w14:textId="3FF1916A" w:rsidR="007F18EB" w:rsidRPr="00AA0C87" w:rsidRDefault="007F18EB" w:rsidP="007F18EB">
            <w:pPr>
              <w:widowControl w:val="0"/>
              <w:shd w:val="clear" w:color="auto" w:fill="FFFFFF"/>
            </w:pPr>
            <w:r w:rsidRPr="00942B0C">
              <w:t xml:space="preserve"> </w:t>
            </w:r>
            <w:r w:rsidRPr="00AA0C87">
              <w:t>19.5</w:t>
            </w:r>
          </w:p>
        </w:tc>
      </w:tr>
      <w:tr w:rsidR="007F18EB" w14:paraId="05695D56" w14:textId="77777777" w:rsidTr="002C3B91">
        <w:trPr>
          <w:trHeight w:val="152"/>
        </w:trPr>
        <w:tc>
          <w:tcPr>
            <w:tcW w:w="1710" w:type="dxa"/>
            <w:tcBorders>
              <w:top w:val="single" w:sz="8" w:space="0" w:color="000000"/>
              <w:bottom w:val="single" w:sz="8" w:space="0" w:color="000000"/>
            </w:tcBorders>
            <w:tcMar>
              <w:top w:w="100" w:type="dxa"/>
              <w:left w:w="100" w:type="dxa"/>
              <w:bottom w:w="100" w:type="dxa"/>
              <w:right w:w="100" w:type="dxa"/>
            </w:tcMar>
          </w:tcPr>
          <w:p w14:paraId="3A67E4DA" w14:textId="7003D20C" w:rsidR="007F18EB" w:rsidRDefault="007F18EB" w:rsidP="007F18EB">
            <w:pPr>
              <w:widowControl w:val="0"/>
              <w:shd w:val="clear" w:color="auto" w:fill="FFFFFF"/>
            </w:pPr>
            <w:bookmarkStart w:id="51" w:name="OLE_LINK1"/>
            <w:r w:rsidRPr="00DC63BC">
              <w:t>172845-121-T</w:t>
            </w:r>
            <w:bookmarkEnd w:id="51"/>
          </w:p>
        </w:tc>
        <w:tc>
          <w:tcPr>
            <w:tcW w:w="990" w:type="dxa"/>
            <w:tcBorders>
              <w:top w:val="single" w:sz="8" w:space="0" w:color="000000"/>
              <w:bottom w:val="single" w:sz="8" w:space="0" w:color="000000"/>
            </w:tcBorders>
            <w:tcMar>
              <w:top w:w="100" w:type="dxa"/>
              <w:left w:w="100" w:type="dxa"/>
              <w:bottom w:w="100" w:type="dxa"/>
              <w:right w:w="100" w:type="dxa"/>
            </w:tcMar>
          </w:tcPr>
          <w:p w14:paraId="3EC3434E" w14:textId="5D9E02C7" w:rsidR="007F18EB" w:rsidRDefault="007F18EB" w:rsidP="007F18EB">
            <w:pPr>
              <w:widowControl w:val="0"/>
              <w:shd w:val="clear" w:color="auto" w:fill="FFFFFF"/>
            </w:pPr>
            <w:r w:rsidRPr="001D385C">
              <w:t>Temozolomide</w:t>
            </w:r>
          </w:p>
        </w:tc>
        <w:tc>
          <w:tcPr>
            <w:tcW w:w="1080" w:type="dxa"/>
            <w:tcBorders>
              <w:top w:val="single" w:sz="8" w:space="0" w:color="000000"/>
              <w:bottom w:val="single" w:sz="8" w:space="0" w:color="000000"/>
            </w:tcBorders>
            <w:tcMar>
              <w:top w:w="100" w:type="dxa"/>
              <w:left w:w="100" w:type="dxa"/>
              <w:bottom w:w="100" w:type="dxa"/>
              <w:right w:w="100" w:type="dxa"/>
            </w:tcMar>
          </w:tcPr>
          <w:p w14:paraId="63F9E572" w14:textId="11DD8634" w:rsidR="007F18EB" w:rsidRDefault="007F18EB" w:rsidP="007F18EB">
            <w:pPr>
              <w:widowControl w:val="0"/>
              <w:shd w:val="clear" w:color="auto" w:fill="FFFFFF"/>
            </w:pPr>
            <w:r w:rsidRPr="00CA4C8A">
              <w:t>301</w:t>
            </w:r>
          </w:p>
        </w:tc>
        <w:tc>
          <w:tcPr>
            <w:tcW w:w="1530" w:type="dxa"/>
            <w:tcBorders>
              <w:top w:val="single" w:sz="8" w:space="0" w:color="000000"/>
              <w:bottom w:val="single" w:sz="8" w:space="0" w:color="000000"/>
            </w:tcBorders>
            <w:tcMar>
              <w:top w:w="100" w:type="dxa"/>
              <w:left w:w="100" w:type="dxa"/>
              <w:bottom w:w="100" w:type="dxa"/>
              <w:right w:w="100" w:type="dxa"/>
            </w:tcMar>
          </w:tcPr>
          <w:p w14:paraId="04E425A7" w14:textId="7A7240AB" w:rsidR="007F18EB" w:rsidRDefault="007F18EB" w:rsidP="007F18EB">
            <w:pPr>
              <w:widowControl w:val="0"/>
              <w:shd w:val="clear" w:color="auto" w:fill="FFFFFF"/>
            </w:pPr>
            <w:r>
              <w:t>10</w:t>
            </w:r>
            <w:r w:rsidRPr="0011113C">
              <w:t>/</w:t>
            </w:r>
            <w:r>
              <w:t>9</w:t>
            </w:r>
            <w:r w:rsidRPr="0011113C">
              <w:t>/</w:t>
            </w:r>
            <w:r>
              <w:t>2015</w:t>
            </w:r>
          </w:p>
        </w:tc>
        <w:tc>
          <w:tcPr>
            <w:tcW w:w="1430" w:type="dxa"/>
            <w:tcBorders>
              <w:top w:val="single" w:sz="8" w:space="0" w:color="000000"/>
              <w:bottom w:val="single" w:sz="8" w:space="0" w:color="000000"/>
            </w:tcBorders>
            <w:tcMar>
              <w:top w:w="100" w:type="dxa"/>
              <w:left w:w="100" w:type="dxa"/>
              <w:bottom w:w="100" w:type="dxa"/>
              <w:right w:w="100" w:type="dxa"/>
            </w:tcMar>
          </w:tcPr>
          <w:p w14:paraId="3F8525F9" w14:textId="77777777" w:rsidR="007F18EB" w:rsidRDefault="007F18EB" w:rsidP="007F18EB">
            <w:pPr>
              <w:widowControl w:val="0"/>
              <w:shd w:val="clear" w:color="auto" w:fill="FFFFFF"/>
            </w:pPr>
            <w:r>
              <w:t xml:space="preserve"> </w:t>
            </w:r>
          </w:p>
        </w:tc>
        <w:tc>
          <w:tcPr>
            <w:tcW w:w="1550" w:type="dxa"/>
            <w:tcBorders>
              <w:top w:val="single" w:sz="8" w:space="0" w:color="000000"/>
              <w:bottom w:val="single" w:sz="8" w:space="0" w:color="000000"/>
            </w:tcBorders>
            <w:tcMar>
              <w:top w:w="100" w:type="dxa"/>
              <w:left w:w="100" w:type="dxa"/>
              <w:bottom w:w="100" w:type="dxa"/>
              <w:right w:w="100" w:type="dxa"/>
            </w:tcMar>
            <w:vAlign w:val="bottom"/>
          </w:tcPr>
          <w:p w14:paraId="720EA509" w14:textId="0C27E0C7" w:rsidR="007F18EB" w:rsidRPr="00942B0C" w:rsidRDefault="007F18EB" w:rsidP="007F18EB">
            <w:pPr>
              <w:widowControl w:val="0"/>
              <w:shd w:val="clear" w:color="auto" w:fill="FFFFFF"/>
            </w:pPr>
            <w:r>
              <w:t>307</w:t>
            </w:r>
          </w:p>
        </w:tc>
        <w:tc>
          <w:tcPr>
            <w:tcW w:w="1088" w:type="dxa"/>
            <w:tcBorders>
              <w:top w:val="single" w:sz="8" w:space="0" w:color="000000"/>
              <w:bottom w:val="single" w:sz="8" w:space="0" w:color="000000"/>
            </w:tcBorders>
            <w:tcMar>
              <w:top w:w="100" w:type="dxa"/>
              <w:left w:w="100" w:type="dxa"/>
              <w:bottom w:w="100" w:type="dxa"/>
              <w:right w:w="100" w:type="dxa"/>
            </w:tcMar>
          </w:tcPr>
          <w:p w14:paraId="36DE3378" w14:textId="67345C2E" w:rsidR="007F18EB" w:rsidRPr="00AA0C87" w:rsidRDefault="007F18EB" w:rsidP="007F18EB">
            <w:pPr>
              <w:widowControl w:val="0"/>
              <w:shd w:val="clear" w:color="auto" w:fill="FFFFFF"/>
            </w:pPr>
            <w:r w:rsidRPr="00942B0C">
              <w:t xml:space="preserve"> </w:t>
            </w:r>
            <w:r w:rsidRPr="00AA0C87">
              <w:t>19.7</w:t>
            </w:r>
          </w:p>
        </w:tc>
      </w:tr>
      <w:tr w:rsidR="007F18EB" w14:paraId="4FCA2796" w14:textId="77777777" w:rsidTr="002C3B91">
        <w:trPr>
          <w:trHeight w:val="20"/>
        </w:trPr>
        <w:tc>
          <w:tcPr>
            <w:tcW w:w="1710" w:type="dxa"/>
            <w:tcBorders>
              <w:top w:val="single" w:sz="8" w:space="0" w:color="000000"/>
              <w:bottom w:val="single" w:sz="8" w:space="0" w:color="000000"/>
            </w:tcBorders>
            <w:tcMar>
              <w:top w:w="100" w:type="dxa"/>
              <w:left w:w="100" w:type="dxa"/>
              <w:bottom w:w="100" w:type="dxa"/>
              <w:right w:w="100" w:type="dxa"/>
            </w:tcMar>
          </w:tcPr>
          <w:p w14:paraId="362E5E72" w14:textId="70E6E11F" w:rsidR="007F18EB" w:rsidRDefault="007F18EB" w:rsidP="007F18EB">
            <w:pPr>
              <w:widowControl w:val="0"/>
              <w:shd w:val="clear" w:color="auto" w:fill="FFFFFF"/>
            </w:pPr>
            <w:r w:rsidRPr="006B318E">
              <w:t>172845-121-T</w:t>
            </w:r>
          </w:p>
        </w:tc>
        <w:tc>
          <w:tcPr>
            <w:tcW w:w="990" w:type="dxa"/>
            <w:tcBorders>
              <w:top w:val="single" w:sz="8" w:space="0" w:color="000000"/>
              <w:bottom w:val="single" w:sz="8" w:space="0" w:color="000000"/>
            </w:tcBorders>
            <w:tcMar>
              <w:top w:w="100" w:type="dxa"/>
              <w:left w:w="100" w:type="dxa"/>
              <w:bottom w:w="100" w:type="dxa"/>
              <w:right w:w="100" w:type="dxa"/>
            </w:tcMar>
          </w:tcPr>
          <w:p w14:paraId="2BEA09B7" w14:textId="64575041" w:rsidR="007F18EB" w:rsidRDefault="007F18EB" w:rsidP="007F18EB">
            <w:pPr>
              <w:widowControl w:val="0"/>
              <w:shd w:val="clear" w:color="auto" w:fill="FFFFFF"/>
            </w:pPr>
            <w:r w:rsidRPr="001D385C">
              <w:t>Temozolomide</w:t>
            </w:r>
          </w:p>
        </w:tc>
        <w:tc>
          <w:tcPr>
            <w:tcW w:w="1080" w:type="dxa"/>
            <w:tcBorders>
              <w:top w:val="single" w:sz="8" w:space="0" w:color="000000"/>
              <w:bottom w:val="single" w:sz="8" w:space="0" w:color="000000"/>
            </w:tcBorders>
            <w:tcMar>
              <w:top w:w="100" w:type="dxa"/>
              <w:left w:w="100" w:type="dxa"/>
              <w:bottom w:w="100" w:type="dxa"/>
              <w:right w:w="100" w:type="dxa"/>
            </w:tcMar>
          </w:tcPr>
          <w:p w14:paraId="4C838433" w14:textId="04AEC055" w:rsidR="007F18EB" w:rsidRDefault="007F18EB" w:rsidP="007F18EB">
            <w:pPr>
              <w:widowControl w:val="0"/>
              <w:shd w:val="clear" w:color="auto" w:fill="FFFFFF"/>
            </w:pPr>
            <w:r w:rsidRPr="00CA4C8A">
              <w:t>301</w:t>
            </w:r>
          </w:p>
        </w:tc>
        <w:tc>
          <w:tcPr>
            <w:tcW w:w="1530" w:type="dxa"/>
            <w:tcBorders>
              <w:top w:val="single" w:sz="8" w:space="0" w:color="000000"/>
              <w:bottom w:val="single" w:sz="8" w:space="0" w:color="000000"/>
            </w:tcBorders>
            <w:tcMar>
              <w:top w:w="100" w:type="dxa"/>
              <w:left w:w="100" w:type="dxa"/>
              <w:bottom w:w="100" w:type="dxa"/>
              <w:right w:w="100" w:type="dxa"/>
            </w:tcMar>
          </w:tcPr>
          <w:p w14:paraId="6C7386BF" w14:textId="3F1533E0" w:rsidR="007F18EB" w:rsidRDefault="007F18EB" w:rsidP="007F18EB">
            <w:pPr>
              <w:widowControl w:val="0"/>
              <w:shd w:val="clear" w:color="auto" w:fill="FFFFFF"/>
            </w:pPr>
            <w:r>
              <w:t>10</w:t>
            </w:r>
            <w:r w:rsidRPr="0011113C">
              <w:t>/1</w:t>
            </w:r>
            <w:r>
              <w:t>4</w:t>
            </w:r>
            <w:r w:rsidRPr="0011113C">
              <w:t>/</w:t>
            </w:r>
            <w:r>
              <w:t>2015</w:t>
            </w:r>
          </w:p>
        </w:tc>
        <w:tc>
          <w:tcPr>
            <w:tcW w:w="1430" w:type="dxa"/>
            <w:tcBorders>
              <w:top w:val="single" w:sz="8" w:space="0" w:color="000000"/>
              <w:bottom w:val="single" w:sz="8" w:space="0" w:color="000000"/>
            </w:tcBorders>
            <w:tcMar>
              <w:top w:w="100" w:type="dxa"/>
              <w:left w:w="100" w:type="dxa"/>
              <w:bottom w:w="100" w:type="dxa"/>
              <w:right w:w="100" w:type="dxa"/>
            </w:tcMar>
          </w:tcPr>
          <w:p w14:paraId="27052EA5" w14:textId="77777777" w:rsidR="007F18EB" w:rsidRDefault="007F18EB" w:rsidP="007F18EB">
            <w:pPr>
              <w:widowControl w:val="0"/>
              <w:shd w:val="clear" w:color="auto" w:fill="FFFFFF"/>
            </w:pPr>
            <w:r>
              <w:t xml:space="preserve"> </w:t>
            </w:r>
          </w:p>
        </w:tc>
        <w:tc>
          <w:tcPr>
            <w:tcW w:w="1550" w:type="dxa"/>
            <w:tcBorders>
              <w:top w:val="single" w:sz="8" w:space="0" w:color="000000"/>
              <w:bottom w:val="single" w:sz="8" w:space="0" w:color="000000"/>
            </w:tcBorders>
            <w:tcMar>
              <w:top w:w="100" w:type="dxa"/>
              <w:left w:w="100" w:type="dxa"/>
              <w:bottom w:w="100" w:type="dxa"/>
              <w:right w:w="100" w:type="dxa"/>
            </w:tcMar>
            <w:vAlign w:val="bottom"/>
          </w:tcPr>
          <w:p w14:paraId="0CDB4118" w14:textId="2B73FEA7" w:rsidR="007F18EB" w:rsidRPr="00942B0C" w:rsidRDefault="007F18EB" w:rsidP="007F18EB">
            <w:pPr>
              <w:widowControl w:val="0"/>
              <w:shd w:val="clear" w:color="auto" w:fill="FFFFFF"/>
            </w:pPr>
            <w:r>
              <w:t>252</w:t>
            </w:r>
          </w:p>
        </w:tc>
        <w:tc>
          <w:tcPr>
            <w:tcW w:w="1088" w:type="dxa"/>
            <w:tcBorders>
              <w:top w:val="single" w:sz="8" w:space="0" w:color="000000"/>
              <w:bottom w:val="single" w:sz="8" w:space="0" w:color="000000"/>
            </w:tcBorders>
            <w:tcMar>
              <w:top w:w="100" w:type="dxa"/>
              <w:left w:w="100" w:type="dxa"/>
              <w:bottom w:w="100" w:type="dxa"/>
              <w:right w:w="100" w:type="dxa"/>
            </w:tcMar>
          </w:tcPr>
          <w:p w14:paraId="525CDE54" w14:textId="3E6D463C" w:rsidR="007F18EB" w:rsidRPr="00AA0C87" w:rsidRDefault="007F18EB" w:rsidP="007F18EB">
            <w:pPr>
              <w:widowControl w:val="0"/>
              <w:shd w:val="clear" w:color="auto" w:fill="FFFFFF"/>
            </w:pPr>
            <w:r w:rsidRPr="00942B0C">
              <w:t xml:space="preserve"> </w:t>
            </w:r>
            <w:r w:rsidRPr="00AA0C87">
              <w:t>20.1</w:t>
            </w:r>
          </w:p>
        </w:tc>
      </w:tr>
      <w:tr w:rsidR="007F18EB" w14:paraId="1D419880" w14:textId="77777777" w:rsidTr="002C3B91">
        <w:trPr>
          <w:trHeight w:val="20"/>
        </w:trPr>
        <w:tc>
          <w:tcPr>
            <w:tcW w:w="1710" w:type="dxa"/>
            <w:tcBorders>
              <w:top w:val="single" w:sz="8" w:space="0" w:color="000000"/>
              <w:bottom w:val="single" w:sz="8" w:space="0" w:color="000000"/>
            </w:tcBorders>
            <w:tcMar>
              <w:top w:w="100" w:type="dxa"/>
              <w:left w:w="100" w:type="dxa"/>
              <w:bottom w:w="100" w:type="dxa"/>
              <w:right w:w="100" w:type="dxa"/>
            </w:tcMar>
          </w:tcPr>
          <w:p w14:paraId="692905C2" w14:textId="0F94A058" w:rsidR="007F18EB" w:rsidRDefault="007F18EB" w:rsidP="007F18EB">
            <w:pPr>
              <w:widowControl w:val="0"/>
              <w:shd w:val="clear" w:color="auto" w:fill="FFFFFF"/>
            </w:pPr>
            <w:r w:rsidRPr="006B318E">
              <w:t>172845-121-T</w:t>
            </w:r>
          </w:p>
        </w:tc>
        <w:tc>
          <w:tcPr>
            <w:tcW w:w="990" w:type="dxa"/>
            <w:tcBorders>
              <w:top w:val="single" w:sz="8" w:space="0" w:color="000000"/>
              <w:bottom w:val="single" w:sz="8" w:space="0" w:color="000000"/>
            </w:tcBorders>
            <w:tcMar>
              <w:top w:w="100" w:type="dxa"/>
              <w:left w:w="100" w:type="dxa"/>
              <w:bottom w:w="100" w:type="dxa"/>
              <w:right w:w="100" w:type="dxa"/>
            </w:tcMar>
          </w:tcPr>
          <w:p w14:paraId="65CEDDFB" w14:textId="1311D931" w:rsidR="007F18EB" w:rsidRDefault="007F18EB" w:rsidP="007F18EB">
            <w:pPr>
              <w:widowControl w:val="0"/>
              <w:shd w:val="clear" w:color="auto" w:fill="FFFFFF"/>
            </w:pPr>
            <w:r w:rsidRPr="001D385C">
              <w:t>Temozolomide</w:t>
            </w:r>
          </w:p>
        </w:tc>
        <w:tc>
          <w:tcPr>
            <w:tcW w:w="1080" w:type="dxa"/>
            <w:tcBorders>
              <w:top w:val="single" w:sz="8" w:space="0" w:color="000000"/>
              <w:bottom w:val="single" w:sz="8" w:space="0" w:color="000000"/>
            </w:tcBorders>
            <w:tcMar>
              <w:top w:w="100" w:type="dxa"/>
              <w:left w:w="100" w:type="dxa"/>
              <w:bottom w:w="100" w:type="dxa"/>
              <w:right w:w="100" w:type="dxa"/>
            </w:tcMar>
          </w:tcPr>
          <w:p w14:paraId="4C26E5B6" w14:textId="09D9D8DB" w:rsidR="007F18EB" w:rsidRDefault="007F18EB" w:rsidP="007F18EB">
            <w:pPr>
              <w:widowControl w:val="0"/>
              <w:shd w:val="clear" w:color="auto" w:fill="FFFFFF"/>
            </w:pPr>
            <w:r w:rsidRPr="00CA4C8A">
              <w:t>301</w:t>
            </w:r>
          </w:p>
        </w:tc>
        <w:tc>
          <w:tcPr>
            <w:tcW w:w="1530" w:type="dxa"/>
            <w:tcBorders>
              <w:top w:val="single" w:sz="8" w:space="0" w:color="000000"/>
              <w:bottom w:val="single" w:sz="8" w:space="0" w:color="000000"/>
            </w:tcBorders>
            <w:tcMar>
              <w:top w:w="100" w:type="dxa"/>
              <w:left w:w="100" w:type="dxa"/>
              <w:bottom w:w="100" w:type="dxa"/>
              <w:right w:w="100" w:type="dxa"/>
            </w:tcMar>
          </w:tcPr>
          <w:p w14:paraId="0B4756CE" w14:textId="7AC19E2E" w:rsidR="007F18EB" w:rsidRDefault="007F18EB" w:rsidP="007F18EB">
            <w:pPr>
              <w:widowControl w:val="0"/>
              <w:shd w:val="clear" w:color="auto" w:fill="FFFFFF"/>
            </w:pPr>
            <w:r>
              <w:t>10</w:t>
            </w:r>
            <w:r w:rsidRPr="0011113C">
              <w:t>/</w:t>
            </w:r>
            <w:r>
              <w:t>20</w:t>
            </w:r>
            <w:r w:rsidRPr="0011113C">
              <w:t>/</w:t>
            </w:r>
            <w:r>
              <w:t>2015</w:t>
            </w:r>
          </w:p>
        </w:tc>
        <w:tc>
          <w:tcPr>
            <w:tcW w:w="1430" w:type="dxa"/>
            <w:tcBorders>
              <w:top w:val="single" w:sz="8" w:space="0" w:color="000000"/>
              <w:bottom w:val="single" w:sz="8" w:space="0" w:color="000000"/>
            </w:tcBorders>
            <w:tcMar>
              <w:top w:w="100" w:type="dxa"/>
              <w:left w:w="100" w:type="dxa"/>
              <w:bottom w:w="100" w:type="dxa"/>
              <w:right w:w="100" w:type="dxa"/>
            </w:tcMar>
          </w:tcPr>
          <w:p w14:paraId="4AD9CE97" w14:textId="77777777" w:rsidR="007F18EB" w:rsidRDefault="007F18EB" w:rsidP="007F18EB">
            <w:pPr>
              <w:widowControl w:val="0"/>
              <w:shd w:val="clear" w:color="auto" w:fill="FFFFFF"/>
            </w:pPr>
          </w:p>
        </w:tc>
        <w:tc>
          <w:tcPr>
            <w:tcW w:w="1550" w:type="dxa"/>
            <w:tcBorders>
              <w:top w:val="single" w:sz="8" w:space="0" w:color="000000"/>
              <w:bottom w:val="single" w:sz="8" w:space="0" w:color="000000"/>
            </w:tcBorders>
            <w:tcMar>
              <w:top w:w="100" w:type="dxa"/>
              <w:left w:w="100" w:type="dxa"/>
              <w:bottom w:w="100" w:type="dxa"/>
              <w:right w:w="100" w:type="dxa"/>
            </w:tcMar>
            <w:vAlign w:val="bottom"/>
          </w:tcPr>
          <w:p w14:paraId="20D741B6" w14:textId="6387CC33" w:rsidR="007F18EB" w:rsidRPr="00942B0C" w:rsidRDefault="007F18EB" w:rsidP="007F18EB">
            <w:pPr>
              <w:widowControl w:val="0"/>
              <w:shd w:val="clear" w:color="auto" w:fill="FFFFFF"/>
            </w:pPr>
            <w:r>
              <w:t>237</w:t>
            </w:r>
          </w:p>
        </w:tc>
        <w:tc>
          <w:tcPr>
            <w:tcW w:w="1088" w:type="dxa"/>
            <w:tcBorders>
              <w:top w:val="single" w:sz="8" w:space="0" w:color="000000"/>
              <w:bottom w:val="single" w:sz="8" w:space="0" w:color="000000"/>
            </w:tcBorders>
            <w:tcMar>
              <w:top w:w="100" w:type="dxa"/>
              <w:left w:w="100" w:type="dxa"/>
              <w:bottom w:w="100" w:type="dxa"/>
              <w:right w:w="100" w:type="dxa"/>
            </w:tcMar>
          </w:tcPr>
          <w:p w14:paraId="7D00A833" w14:textId="404671A9" w:rsidR="007F18EB" w:rsidRPr="00942B0C" w:rsidRDefault="007F18EB" w:rsidP="007F18EB">
            <w:pPr>
              <w:widowControl w:val="0"/>
              <w:shd w:val="clear" w:color="auto" w:fill="FFFFFF"/>
            </w:pPr>
            <w:r w:rsidRPr="00942B0C">
              <w:t>20.1</w:t>
            </w:r>
          </w:p>
        </w:tc>
      </w:tr>
      <w:tr w:rsidR="007F18EB" w14:paraId="1F641E60" w14:textId="77777777" w:rsidTr="002C3B91">
        <w:trPr>
          <w:trHeight w:val="20"/>
        </w:trPr>
        <w:tc>
          <w:tcPr>
            <w:tcW w:w="1710" w:type="dxa"/>
            <w:tcBorders>
              <w:top w:val="single" w:sz="8" w:space="0" w:color="000000"/>
              <w:bottom w:val="single" w:sz="8" w:space="0" w:color="000000"/>
            </w:tcBorders>
            <w:tcMar>
              <w:top w:w="100" w:type="dxa"/>
              <w:left w:w="100" w:type="dxa"/>
              <w:bottom w:w="100" w:type="dxa"/>
              <w:right w:w="100" w:type="dxa"/>
            </w:tcMar>
          </w:tcPr>
          <w:p w14:paraId="7DB2ABC9" w14:textId="53D7F9A1" w:rsidR="007F18EB" w:rsidRDefault="007F18EB" w:rsidP="007F18EB">
            <w:pPr>
              <w:widowControl w:val="0"/>
              <w:shd w:val="clear" w:color="auto" w:fill="FFFFFF"/>
            </w:pPr>
            <w:r w:rsidRPr="006B318E">
              <w:t>172845-121-T</w:t>
            </w:r>
          </w:p>
        </w:tc>
        <w:tc>
          <w:tcPr>
            <w:tcW w:w="990" w:type="dxa"/>
            <w:tcBorders>
              <w:top w:val="single" w:sz="8" w:space="0" w:color="000000"/>
              <w:bottom w:val="single" w:sz="8" w:space="0" w:color="000000"/>
            </w:tcBorders>
            <w:tcMar>
              <w:top w:w="100" w:type="dxa"/>
              <w:left w:w="100" w:type="dxa"/>
              <w:bottom w:w="100" w:type="dxa"/>
              <w:right w:w="100" w:type="dxa"/>
            </w:tcMar>
          </w:tcPr>
          <w:p w14:paraId="4A7537B4" w14:textId="2EC5E479" w:rsidR="007F18EB" w:rsidRDefault="007F18EB" w:rsidP="007F18EB">
            <w:pPr>
              <w:widowControl w:val="0"/>
              <w:shd w:val="clear" w:color="auto" w:fill="FFFFFF"/>
            </w:pPr>
            <w:r w:rsidRPr="001D385C">
              <w:t>Temozolomide</w:t>
            </w:r>
          </w:p>
        </w:tc>
        <w:tc>
          <w:tcPr>
            <w:tcW w:w="1080" w:type="dxa"/>
            <w:tcBorders>
              <w:top w:val="single" w:sz="8" w:space="0" w:color="000000"/>
              <w:bottom w:val="single" w:sz="8" w:space="0" w:color="000000"/>
            </w:tcBorders>
            <w:tcMar>
              <w:top w:w="100" w:type="dxa"/>
              <w:left w:w="100" w:type="dxa"/>
              <w:bottom w:w="100" w:type="dxa"/>
              <w:right w:w="100" w:type="dxa"/>
            </w:tcMar>
          </w:tcPr>
          <w:p w14:paraId="0DE6CDA2" w14:textId="75F78701" w:rsidR="007F18EB" w:rsidRDefault="007F18EB" w:rsidP="007F18EB">
            <w:pPr>
              <w:widowControl w:val="0"/>
              <w:shd w:val="clear" w:color="auto" w:fill="FFFFFF"/>
            </w:pPr>
            <w:r w:rsidRPr="00CA4C8A">
              <w:t>301</w:t>
            </w:r>
          </w:p>
        </w:tc>
        <w:tc>
          <w:tcPr>
            <w:tcW w:w="1530" w:type="dxa"/>
            <w:tcBorders>
              <w:top w:val="single" w:sz="8" w:space="0" w:color="000000"/>
              <w:bottom w:val="single" w:sz="8" w:space="0" w:color="000000"/>
            </w:tcBorders>
            <w:tcMar>
              <w:top w:w="100" w:type="dxa"/>
              <w:left w:w="100" w:type="dxa"/>
              <w:bottom w:w="100" w:type="dxa"/>
              <w:right w:w="100" w:type="dxa"/>
            </w:tcMar>
          </w:tcPr>
          <w:p w14:paraId="6A6B8023" w14:textId="2F4D32B3" w:rsidR="007F18EB" w:rsidRDefault="007F18EB" w:rsidP="007F18EB">
            <w:pPr>
              <w:widowControl w:val="0"/>
              <w:shd w:val="clear" w:color="auto" w:fill="FFFFFF"/>
            </w:pPr>
            <w:r>
              <w:t>10</w:t>
            </w:r>
            <w:r w:rsidRPr="0011113C">
              <w:t>/</w:t>
            </w:r>
            <w:r>
              <w:t>26</w:t>
            </w:r>
            <w:r w:rsidRPr="0011113C">
              <w:t>/</w:t>
            </w:r>
            <w:r>
              <w:t>2015</w:t>
            </w:r>
          </w:p>
        </w:tc>
        <w:tc>
          <w:tcPr>
            <w:tcW w:w="1430" w:type="dxa"/>
            <w:tcBorders>
              <w:top w:val="single" w:sz="8" w:space="0" w:color="000000"/>
              <w:bottom w:val="single" w:sz="8" w:space="0" w:color="000000"/>
            </w:tcBorders>
            <w:tcMar>
              <w:top w:w="100" w:type="dxa"/>
              <w:left w:w="100" w:type="dxa"/>
              <w:bottom w:w="100" w:type="dxa"/>
              <w:right w:w="100" w:type="dxa"/>
            </w:tcMar>
          </w:tcPr>
          <w:p w14:paraId="391FB913" w14:textId="5434914F" w:rsidR="007F18EB" w:rsidRDefault="007F18EB" w:rsidP="007F18EB">
            <w:pPr>
              <w:widowControl w:val="0"/>
              <w:shd w:val="clear" w:color="auto" w:fill="FFFFFF"/>
            </w:pPr>
            <w:r>
              <w:t>Yes</w:t>
            </w:r>
          </w:p>
        </w:tc>
        <w:tc>
          <w:tcPr>
            <w:tcW w:w="1550" w:type="dxa"/>
            <w:tcBorders>
              <w:top w:val="single" w:sz="8" w:space="0" w:color="000000"/>
              <w:bottom w:val="single" w:sz="8" w:space="0" w:color="000000"/>
            </w:tcBorders>
            <w:tcMar>
              <w:top w:w="100" w:type="dxa"/>
              <w:left w:w="100" w:type="dxa"/>
              <w:bottom w:w="100" w:type="dxa"/>
              <w:right w:w="100" w:type="dxa"/>
            </w:tcMar>
            <w:vAlign w:val="bottom"/>
          </w:tcPr>
          <w:p w14:paraId="110BD922" w14:textId="7C991851" w:rsidR="007F18EB" w:rsidRPr="00942B0C" w:rsidRDefault="007F18EB" w:rsidP="007F18EB">
            <w:pPr>
              <w:widowControl w:val="0"/>
              <w:shd w:val="clear" w:color="auto" w:fill="FFFFFF"/>
            </w:pPr>
            <w:r>
              <w:t>341</w:t>
            </w:r>
          </w:p>
        </w:tc>
        <w:tc>
          <w:tcPr>
            <w:tcW w:w="1088" w:type="dxa"/>
            <w:tcBorders>
              <w:top w:val="single" w:sz="8" w:space="0" w:color="000000"/>
              <w:bottom w:val="single" w:sz="8" w:space="0" w:color="000000"/>
            </w:tcBorders>
            <w:tcMar>
              <w:top w:w="100" w:type="dxa"/>
              <w:left w:w="100" w:type="dxa"/>
              <w:bottom w:w="100" w:type="dxa"/>
              <w:right w:w="100" w:type="dxa"/>
            </w:tcMar>
          </w:tcPr>
          <w:p w14:paraId="0E95AEEB" w14:textId="2FFFDDAB" w:rsidR="007F18EB" w:rsidRPr="00942B0C" w:rsidRDefault="007F18EB" w:rsidP="007F18EB">
            <w:pPr>
              <w:widowControl w:val="0"/>
              <w:shd w:val="clear" w:color="auto" w:fill="FFFFFF"/>
            </w:pPr>
            <w:r w:rsidRPr="00942B0C">
              <w:t>20.9</w:t>
            </w:r>
          </w:p>
        </w:tc>
      </w:tr>
      <w:tr w:rsidR="007F18EB" w14:paraId="14FF16A1" w14:textId="77777777" w:rsidTr="002C3B91">
        <w:trPr>
          <w:trHeight w:val="20"/>
        </w:trPr>
        <w:tc>
          <w:tcPr>
            <w:tcW w:w="1710" w:type="dxa"/>
            <w:tcBorders>
              <w:top w:val="single" w:sz="8" w:space="0" w:color="000000"/>
              <w:bottom w:val="single" w:sz="12" w:space="0" w:color="auto"/>
            </w:tcBorders>
            <w:tcMar>
              <w:top w:w="100" w:type="dxa"/>
              <w:left w:w="100" w:type="dxa"/>
              <w:bottom w:w="100" w:type="dxa"/>
              <w:right w:w="100" w:type="dxa"/>
            </w:tcMar>
          </w:tcPr>
          <w:p w14:paraId="401F0D24" w14:textId="1B31291E" w:rsidR="007F18EB" w:rsidRDefault="007F18EB" w:rsidP="007F18EB">
            <w:pPr>
              <w:widowControl w:val="0"/>
              <w:shd w:val="clear" w:color="auto" w:fill="FFFFFF"/>
            </w:pPr>
            <w:r w:rsidRPr="006B318E">
              <w:t>172845-121-T</w:t>
            </w:r>
          </w:p>
        </w:tc>
        <w:tc>
          <w:tcPr>
            <w:tcW w:w="990" w:type="dxa"/>
            <w:tcBorders>
              <w:top w:val="single" w:sz="8" w:space="0" w:color="000000"/>
              <w:bottom w:val="single" w:sz="12" w:space="0" w:color="auto"/>
            </w:tcBorders>
            <w:tcMar>
              <w:top w:w="100" w:type="dxa"/>
              <w:left w:w="100" w:type="dxa"/>
              <w:bottom w:w="100" w:type="dxa"/>
              <w:right w:w="100" w:type="dxa"/>
            </w:tcMar>
          </w:tcPr>
          <w:p w14:paraId="0247F539" w14:textId="48031799" w:rsidR="007F18EB" w:rsidRDefault="007F18EB" w:rsidP="007F18EB">
            <w:pPr>
              <w:widowControl w:val="0"/>
              <w:shd w:val="clear" w:color="auto" w:fill="FFFFFF"/>
            </w:pPr>
            <w:r w:rsidRPr="001D385C">
              <w:t>Temozolomide</w:t>
            </w:r>
          </w:p>
        </w:tc>
        <w:tc>
          <w:tcPr>
            <w:tcW w:w="1080" w:type="dxa"/>
            <w:tcBorders>
              <w:top w:val="single" w:sz="8" w:space="0" w:color="000000"/>
              <w:bottom w:val="single" w:sz="12" w:space="0" w:color="auto"/>
            </w:tcBorders>
            <w:tcMar>
              <w:top w:w="100" w:type="dxa"/>
              <w:left w:w="100" w:type="dxa"/>
              <w:bottom w:w="100" w:type="dxa"/>
              <w:right w:w="100" w:type="dxa"/>
            </w:tcMar>
          </w:tcPr>
          <w:p w14:paraId="1D9748B3" w14:textId="1EC882D1" w:rsidR="007F18EB" w:rsidRDefault="007F18EB" w:rsidP="007F18EB">
            <w:pPr>
              <w:widowControl w:val="0"/>
              <w:shd w:val="clear" w:color="auto" w:fill="FFFFFF"/>
            </w:pPr>
            <w:r w:rsidRPr="00CA4C8A">
              <w:t>301</w:t>
            </w:r>
          </w:p>
        </w:tc>
        <w:tc>
          <w:tcPr>
            <w:tcW w:w="1530" w:type="dxa"/>
            <w:tcBorders>
              <w:top w:val="single" w:sz="8" w:space="0" w:color="000000"/>
              <w:bottom w:val="single" w:sz="12" w:space="0" w:color="auto"/>
            </w:tcBorders>
            <w:tcMar>
              <w:top w:w="100" w:type="dxa"/>
              <w:left w:w="100" w:type="dxa"/>
              <w:bottom w:w="100" w:type="dxa"/>
              <w:right w:w="100" w:type="dxa"/>
            </w:tcMar>
          </w:tcPr>
          <w:p w14:paraId="4FCCCF53" w14:textId="6F1D46C6" w:rsidR="007F18EB" w:rsidRDefault="007F18EB" w:rsidP="007F18EB">
            <w:pPr>
              <w:widowControl w:val="0"/>
              <w:shd w:val="clear" w:color="auto" w:fill="FFFFFF"/>
            </w:pPr>
            <w:r>
              <w:t>10</w:t>
            </w:r>
            <w:r w:rsidRPr="0011113C">
              <w:t>/</w:t>
            </w:r>
            <w:r>
              <w:t>31</w:t>
            </w:r>
            <w:r w:rsidRPr="0011113C">
              <w:t>/</w:t>
            </w:r>
            <w:r>
              <w:t>2015</w:t>
            </w:r>
          </w:p>
        </w:tc>
        <w:tc>
          <w:tcPr>
            <w:tcW w:w="1430" w:type="dxa"/>
            <w:tcBorders>
              <w:top w:val="single" w:sz="8" w:space="0" w:color="000000"/>
              <w:bottom w:val="single" w:sz="12" w:space="0" w:color="auto"/>
            </w:tcBorders>
            <w:tcMar>
              <w:top w:w="100" w:type="dxa"/>
              <w:left w:w="100" w:type="dxa"/>
              <w:bottom w:w="100" w:type="dxa"/>
              <w:right w:w="100" w:type="dxa"/>
            </w:tcMar>
          </w:tcPr>
          <w:p w14:paraId="7F3A7AE4" w14:textId="60912108" w:rsidR="007F18EB" w:rsidRDefault="007F18EB" w:rsidP="007F18EB">
            <w:pPr>
              <w:widowControl w:val="0"/>
              <w:shd w:val="clear" w:color="auto" w:fill="FFFFFF"/>
            </w:pPr>
          </w:p>
        </w:tc>
        <w:tc>
          <w:tcPr>
            <w:tcW w:w="1550" w:type="dxa"/>
            <w:tcBorders>
              <w:top w:val="single" w:sz="8" w:space="0" w:color="000000"/>
              <w:bottom w:val="single" w:sz="12" w:space="0" w:color="auto"/>
            </w:tcBorders>
            <w:tcMar>
              <w:top w:w="100" w:type="dxa"/>
              <w:left w:w="100" w:type="dxa"/>
              <w:bottom w:w="100" w:type="dxa"/>
              <w:right w:w="100" w:type="dxa"/>
            </w:tcMar>
            <w:vAlign w:val="bottom"/>
          </w:tcPr>
          <w:p w14:paraId="01897192" w14:textId="29B30F4F" w:rsidR="007F18EB" w:rsidRPr="00942B0C" w:rsidRDefault="007F18EB" w:rsidP="007F18EB">
            <w:pPr>
              <w:widowControl w:val="0"/>
              <w:shd w:val="clear" w:color="auto" w:fill="FFFFFF"/>
            </w:pPr>
            <w:r>
              <w:t>483</w:t>
            </w:r>
          </w:p>
        </w:tc>
        <w:tc>
          <w:tcPr>
            <w:tcW w:w="1088" w:type="dxa"/>
            <w:tcBorders>
              <w:top w:val="single" w:sz="8" w:space="0" w:color="000000"/>
              <w:bottom w:val="single" w:sz="12" w:space="0" w:color="auto"/>
            </w:tcBorders>
            <w:tcMar>
              <w:top w:w="100" w:type="dxa"/>
              <w:left w:w="100" w:type="dxa"/>
              <w:bottom w:w="100" w:type="dxa"/>
              <w:right w:w="100" w:type="dxa"/>
            </w:tcMar>
          </w:tcPr>
          <w:p w14:paraId="10D6A185" w14:textId="529BFC02" w:rsidR="007F18EB" w:rsidRPr="00942B0C" w:rsidRDefault="007F18EB" w:rsidP="007F18EB">
            <w:pPr>
              <w:widowControl w:val="0"/>
              <w:shd w:val="clear" w:color="auto" w:fill="FFFFFF"/>
            </w:pPr>
            <w:r w:rsidRPr="00942B0C">
              <w:t>21.1</w:t>
            </w:r>
          </w:p>
        </w:tc>
      </w:tr>
    </w:tbl>
    <w:p w14:paraId="08CD0C6F" w14:textId="2AB4CBAE" w:rsidR="00CA2CEB" w:rsidRPr="002B7BE3" w:rsidRDefault="00133674" w:rsidP="00540250">
      <w:pPr>
        <w:widowControl w:val="0"/>
        <w:shd w:val="clear" w:color="auto" w:fill="FFFFFF"/>
        <w:rPr>
          <w:b/>
          <w:sz w:val="32"/>
          <w:szCs w:val="32"/>
        </w:rPr>
      </w:pPr>
      <w:r>
        <w:rPr>
          <w:b/>
          <w:sz w:val="32"/>
          <w:szCs w:val="32"/>
        </w:rPr>
        <w:t xml:space="preserve"> </w:t>
      </w:r>
      <w:bookmarkStart w:id="52" w:name="_xlc38m4gvwqb" w:colFirst="0" w:colLast="0"/>
      <w:bookmarkEnd w:id="52"/>
      <w:r w:rsidR="00CA2CEB" w:rsidRPr="005B3B33">
        <w:rPr>
          <w:rFonts w:ascii="Lora" w:eastAsia="Lora" w:hAnsi="Lora" w:cs="Lora"/>
          <w:color w:val="222222"/>
          <w:sz w:val="26"/>
          <w:szCs w:val="26"/>
        </w:rPr>
        <w:br w:type="page"/>
      </w:r>
    </w:p>
    <w:p w14:paraId="36296C2D" w14:textId="358ECE65" w:rsidR="007B2DE2" w:rsidRPr="00F93CCF" w:rsidRDefault="00133674" w:rsidP="003B5290">
      <w:pPr>
        <w:pStyle w:val="Heading3"/>
        <w:rPr>
          <w:rFonts w:eastAsia="Lora"/>
        </w:rPr>
      </w:pPr>
      <w:bookmarkStart w:id="53" w:name="_Toc27885949"/>
      <w:r w:rsidRPr="00F93CCF">
        <w:rPr>
          <w:rFonts w:eastAsia="Lora"/>
        </w:rPr>
        <w:lastRenderedPageBreak/>
        <w:t>Instructions for running tumor volume analysis R scripts</w:t>
      </w:r>
      <w:bookmarkEnd w:id="53"/>
    </w:p>
    <w:p w14:paraId="08B0AADD" w14:textId="521494DF" w:rsidR="007B2DE2" w:rsidRPr="00557392" w:rsidRDefault="00171F25" w:rsidP="002F051C">
      <w:pPr>
        <w:pStyle w:val="Paragraph"/>
      </w:pPr>
      <w:r w:rsidRPr="00A56C29">
        <w:t>A</w:t>
      </w:r>
      <w:r w:rsidR="004F0683" w:rsidRPr="00A56C29">
        <w:t xml:space="preserve"> user can execute the tumor volume analysis script within R studio after setting the project title. project path, data file, and the number of </w:t>
      </w:r>
      <w:r w:rsidR="004F0683" w:rsidRPr="00557392">
        <w:t xml:space="preserve">days to include in the analysis. The tumor </w:t>
      </w:r>
      <w:r w:rsidRPr="00557392">
        <w:t>volume</w:t>
      </w:r>
      <w:r w:rsidR="004F0683" w:rsidRPr="00557392">
        <w:t xml:space="preserve"> analysis script is available from the </w:t>
      </w:r>
      <w:r w:rsidR="004F23B2" w:rsidRPr="00557392">
        <w:t>CGC</w:t>
      </w:r>
      <w:r w:rsidR="004F0683" w:rsidRPr="00557392">
        <w:t xml:space="preserve"> ( Email </w:t>
      </w:r>
      <w:r w:rsidR="00557392" w:rsidRPr="00557392">
        <w:t>cgc</w:t>
      </w:r>
      <w:r w:rsidR="004F0683" w:rsidRPr="00557392">
        <w:t>@</w:t>
      </w:r>
      <w:r w:rsidRPr="00557392">
        <w:rPr>
          <w:highlight w:val="white"/>
        </w:rPr>
        <w:t xml:space="preserve"> sbgenomics.com</w:t>
      </w:r>
      <w:r w:rsidRPr="00557392">
        <w:t xml:space="preserve"> to request access).</w:t>
      </w:r>
    </w:p>
    <w:p w14:paraId="73998434" w14:textId="77777777" w:rsidR="006C6A11" w:rsidRDefault="006C6A11" w:rsidP="00540250">
      <w:pPr>
        <w:rPr>
          <w:b/>
        </w:rPr>
      </w:pPr>
    </w:p>
    <w:p w14:paraId="10DE1988" w14:textId="063CF103" w:rsidR="00CA2CEB" w:rsidRPr="006C6A11" w:rsidRDefault="00CA2CEB" w:rsidP="00540250">
      <w:pPr>
        <w:rPr>
          <w:rFonts w:ascii="Lora" w:eastAsia="Lora" w:hAnsi="Lora" w:cs="Lora"/>
          <w:b/>
          <w:color w:val="222222"/>
          <w:sz w:val="26"/>
          <w:szCs w:val="26"/>
        </w:rPr>
      </w:pPr>
      <w:r w:rsidRPr="006C6A11">
        <w:rPr>
          <w:rFonts w:ascii="Lora" w:eastAsia="Lora" w:hAnsi="Lora" w:cs="Lora"/>
          <w:b/>
          <w:color w:val="222222"/>
          <w:sz w:val="26"/>
          <w:szCs w:val="26"/>
        </w:rPr>
        <w:br w:type="page"/>
      </w:r>
    </w:p>
    <w:p w14:paraId="44DE3055" w14:textId="61DA9D8B" w:rsidR="00C678AC" w:rsidRPr="00411D03" w:rsidRDefault="00C678AC" w:rsidP="00540250">
      <w:pPr>
        <w:pStyle w:val="Heading1"/>
      </w:pPr>
      <w:bookmarkStart w:id="54" w:name="_Toc27885950"/>
      <w:r w:rsidRPr="00C678AC">
        <w:lastRenderedPageBreak/>
        <w:t>Supplementary Materials 2</w:t>
      </w:r>
      <w:r w:rsidR="00411D03">
        <w:t xml:space="preserve">: </w:t>
      </w:r>
      <w:r w:rsidRPr="00C678AC">
        <w:rPr>
          <w:shd w:val="clear" w:color="auto" w:fill="FFFFFF"/>
        </w:rPr>
        <w:t>Comparison of Growth kinetics of PDX models at each site</w:t>
      </w:r>
      <w:bookmarkEnd w:id="54"/>
    </w:p>
    <w:p w14:paraId="5EA7AA87" w14:textId="77777777" w:rsidR="007B2DE2" w:rsidRPr="00F93CCF" w:rsidRDefault="007B2DE2" w:rsidP="00540250">
      <w:pPr>
        <w:widowControl w:val="0"/>
        <w:rPr>
          <w:rFonts w:ascii="Calibri" w:eastAsia="Calibri" w:hAnsi="Calibri"/>
          <w:b/>
        </w:rPr>
      </w:pPr>
    </w:p>
    <w:p w14:paraId="6145DE13" w14:textId="49834E6E" w:rsidR="007B2DE2" w:rsidRPr="00F93CCF" w:rsidRDefault="008525B9" w:rsidP="00237A2A">
      <w:pPr>
        <w:widowControl w:val="0"/>
        <w:jc w:val="center"/>
        <w:rPr>
          <w:rFonts w:ascii="Calibri" w:eastAsia="Calibri" w:hAnsi="Calibri"/>
          <w:b/>
        </w:rPr>
      </w:pPr>
      <w:r>
        <w:rPr>
          <w:rFonts w:ascii="Calibri" w:eastAsia="Calibri" w:hAnsi="Calibri"/>
          <w:b/>
          <w:noProof/>
          <w:lang w:eastAsia="zh-CN"/>
        </w:rPr>
        <w:drawing>
          <wp:inline distT="0" distB="0" distL="0" distR="0" wp14:anchorId="00EB1E46" wp14:editId="5D99BD53">
            <wp:extent cx="3161599" cy="6072969"/>
            <wp:effectExtent l="0" t="0" r="0" b="0"/>
            <wp:docPr id="10" name="Picture 10" descr="../PDXnet%20TMZ%20manuscript%20consolidated%20Figures%20and%20Tables/TMZ%20FINAL%20FIGURES%20AND%20TABLES/Supplementary%20Figures/Images/Sup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Xnet%20TMZ%20manuscript%20consolidated%20Figures%20and%20Tables/TMZ%20FINAL%20FIGURES%20AND%20TABLES/Supplementary%20Figures/Images/SupFigure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0394" cy="6089862"/>
                    </a:xfrm>
                    <a:prstGeom prst="rect">
                      <a:avLst/>
                    </a:prstGeom>
                    <a:noFill/>
                    <a:ln>
                      <a:noFill/>
                    </a:ln>
                  </pic:spPr>
                </pic:pic>
              </a:graphicData>
            </a:graphic>
          </wp:inline>
        </w:drawing>
      </w:r>
    </w:p>
    <w:p w14:paraId="4729690F" w14:textId="72B49486" w:rsidR="00DC4816" w:rsidRDefault="00DC4816" w:rsidP="00540250">
      <w:pPr>
        <w:widowControl w:val="0"/>
        <w:rPr>
          <w:rFonts w:ascii="Calibri" w:eastAsia="Calibri" w:hAnsi="Calibri"/>
          <w:b/>
        </w:rPr>
      </w:pPr>
    </w:p>
    <w:p w14:paraId="5065615C" w14:textId="674358E3" w:rsidR="007B2DE2" w:rsidRPr="00F93CCF" w:rsidRDefault="00133674" w:rsidP="00540250">
      <w:pPr>
        <w:widowControl w:val="0"/>
        <w:rPr>
          <w:rFonts w:ascii="Calibri" w:eastAsia="Calibri" w:hAnsi="Calibri"/>
        </w:rPr>
      </w:pPr>
      <w:r w:rsidRPr="00F93CCF">
        <w:rPr>
          <w:rFonts w:ascii="Calibri" w:eastAsia="Calibri" w:hAnsi="Calibri"/>
          <w:b/>
        </w:rPr>
        <w:t>Supplementary Figure 1</w:t>
      </w:r>
      <w:r w:rsidRPr="00F93CCF">
        <w:rPr>
          <w:rFonts w:ascii="Calibri" w:eastAsia="Calibri" w:hAnsi="Calibri"/>
        </w:rPr>
        <w:t xml:space="preserve">:  Vehicle control arms at the PDMR and each PDTC for PDX models 625472-104-R </w:t>
      </w:r>
      <w:r w:rsidR="005007C6">
        <w:rPr>
          <w:rFonts w:ascii="Calibri" w:eastAsia="Calibri" w:hAnsi="Calibri"/>
          <w:b/>
          <w:bCs/>
        </w:rPr>
        <w:t>a</w:t>
      </w:r>
      <w:r w:rsidRPr="0082679C">
        <w:rPr>
          <w:rFonts w:ascii="Calibri" w:eastAsia="Calibri" w:hAnsi="Calibri"/>
          <w:b/>
          <w:bCs/>
        </w:rPr>
        <w:t>)</w:t>
      </w:r>
      <w:r w:rsidRPr="00F93CCF">
        <w:rPr>
          <w:rFonts w:ascii="Calibri" w:eastAsia="Calibri" w:hAnsi="Calibri"/>
        </w:rPr>
        <w:t xml:space="preserve">, 172845-121-T </w:t>
      </w:r>
      <w:r w:rsidR="005007C6">
        <w:rPr>
          <w:rFonts w:ascii="Calibri" w:eastAsia="Calibri" w:hAnsi="Calibri"/>
          <w:b/>
          <w:bCs/>
        </w:rPr>
        <w:t>b</w:t>
      </w:r>
      <w:r w:rsidRPr="0082679C">
        <w:rPr>
          <w:rFonts w:ascii="Calibri" w:eastAsia="Calibri" w:hAnsi="Calibri"/>
          <w:b/>
          <w:bCs/>
        </w:rPr>
        <w:t>)</w:t>
      </w:r>
      <w:r w:rsidRPr="00F93CCF">
        <w:rPr>
          <w:rFonts w:ascii="Calibri" w:eastAsia="Calibri" w:hAnsi="Calibri"/>
        </w:rPr>
        <w:t xml:space="preserve">, and BL0293-F563 </w:t>
      </w:r>
      <w:r w:rsidR="005007C6">
        <w:rPr>
          <w:rFonts w:ascii="Calibri" w:eastAsia="Calibri" w:hAnsi="Calibri"/>
          <w:b/>
          <w:bCs/>
        </w:rPr>
        <w:t>c)</w:t>
      </w:r>
      <w:r w:rsidRPr="00F93CCF">
        <w:rPr>
          <w:rFonts w:ascii="Calibri" w:eastAsia="Calibri" w:hAnsi="Calibri"/>
        </w:rPr>
        <w:t>. Data represent median tumor volume ± SD from staging of the drug study (day 0) until end-of-study.  Tumor volume is not normalized.</w:t>
      </w:r>
      <w:r w:rsidR="00484221">
        <w:rPr>
          <w:rFonts w:ascii="Calibri" w:eastAsia="Calibri" w:hAnsi="Calibri"/>
        </w:rPr>
        <w:t xml:space="preserve"> For statistical assessments, see Figure 3 and Table 2.</w:t>
      </w:r>
    </w:p>
    <w:p w14:paraId="5C54D3D2" w14:textId="77777777" w:rsidR="007B2DE2" w:rsidRDefault="007B2DE2" w:rsidP="00540250">
      <w:pPr>
        <w:widowControl w:val="0"/>
        <w:pBdr>
          <w:top w:val="nil"/>
          <w:left w:val="nil"/>
          <w:bottom w:val="nil"/>
          <w:right w:val="nil"/>
          <w:between w:val="nil"/>
        </w:pBdr>
      </w:pPr>
    </w:p>
    <w:p w14:paraId="3D4F117B" w14:textId="38B6349B" w:rsidR="007B2DE2" w:rsidRPr="00F93CCF" w:rsidRDefault="007B2DE2" w:rsidP="00540250">
      <w:pPr>
        <w:widowControl w:val="0"/>
        <w:rPr>
          <w:rFonts w:ascii="Calibri" w:eastAsia="Calibri" w:hAnsi="Calibri"/>
          <w:b/>
        </w:rPr>
      </w:pPr>
    </w:p>
    <w:p w14:paraId="16BB146A" w14:textId="650C91DB" w:rsidR="00DC4816" w:rsidRDefault="00DC4816" w:rsidP="00237A2A">
      <w:pPr>
        <w:pStyle w:val="figure"/>
      </w:pPr>
      <w:r>
        <w:rPr>
          <w:lang w:eastAsia="zh-CN"/>
        </w:rPr>
        <w:lastRenderedPageBreak/>
        <w:drawing>
          <wp:inline distT="0" distB="0" distL="0" distR="0" wp14:anchorId="3E8B2C8A" wp14:editId="776ABA25">
            <wp:extent cx="3612812" cy="6039446"/>
            <wp:effectExtent l="0" t="0" r="0" b="6350"/>
            <wp:docPr id="3" name="Picture 3" descr="../Sup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pFigure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2661" cy="6072626"/>
                    </a:xfrm>
                    <a:prstGeom prst="rect">
                      <a:avLst/>
                    </a:prstGeom>
                    <a:noFill/>
                    <a:ln>
                      <a:noFill/>
                    </a:ln>
                  </pic:spPr>
                </pic:pic>
              </a:graphicData>
            </a:graphic>
          </wp:inline>
        </w:drawing>
      </w:r>
    </w:p>
    <w:p w14:paraId="344B154F" w14:textId="26DB5A9C" w:rsidR="007B2DE2" w:rsidRPr="00DC4816" w:rsidRDefault="00133674" w:rsidP="00540250">
      <w:pPr>
        <w:pStyle w:val="FigureLegend"/>
        <w:jc w:val="left"/>
      </w:pPr>
      <w:r w:rsidRPr="00F93CCF">
        <w:rPr>
          <w:rFonts w:eastAsia="Calibri"/>
        </w:rPr>
        <w:t xml:space="preserve">Supplementary Figure 2: </w:t>
      </w:r>
      <w:r w:rsidRPr="00DE0331">
        <w:rPr>
          <w:rFonts w:eastAsia="Calibri"/>
          <w:b w:val="0"/>
          <w:bCs w:val="0"/>
        </w:rPr>
        <w:t xml:space="preserve">Comparison of 28-day and 7-day cycle treatment in the intermediary responsive model 172845-121-T.  Comparison of tumor volumes observed in </w:t>
      </w:r>
      <w:r w:rsidR="005007C6" w:rsidRPr="005007C6">
        <w:rPr>
          <w:rFonts w:eastAsia="Calibri"/>
        </w:rPr>
        <w:t>a</w:t>
      </w:r>
      <w:r w:rsidRPr="005007C6">
        <w:rPr>
          <w:rFonts w:eastAsia="Calibri"/>
        </w:rPr>
        <w:t>)</w:t>
      </w:r>
      <w:r w:rsidRPr="00DE0331">
        <w:rPr>
          <w:rFonts w:eastAsia="Calibri"/>
          <w:b w:val="0"/>
          <w:bCs w:val="0"/>
        </w:rPr>
        <w:t xml:space="preserve"> cohorts treated with temozolomide daily for 5 days on a 28-day cycle (1 or 2 cycles) compared to </w:t>
      </w:r>
      <w:r w:rsidR="005007C6" w:rsidRPr="005007C6">
        <w:rPr>
          <w:rFonts w:eastAsia="Calibri"/>
        </w:rPr>
        <w:t>b</w:t>
      </w:r>
      <w:r w:rsidRPr="005007C6">
        <w:rPr>
          <w:rFonts w:eastAsia="Calibri"/>
        </w:rPr>
        <w:t>)</w:t>
      </w:r>
      <w:r w:rsidRPr="00DE0331">
        <w:rPr>
          <w:rFonts w:eastAsia="Calibri"/>
          <w:b w:val="0"/>
          <w:bCs w:val="0"/>
        </w:rPr>
        <w:t xml:space="preserve"> cohorts treated with temozolomide daily for 5 days on a 7-day cycle (2 or 4 cycles).  Colored bars represent treatment cycles at each site.  All studies achieved tumor growth inhibition irrespective of cycle length. Dashed lines, vehicle control groups, Solid lines, temozolomide treatment groups.  Median ± SD. </w:t>
      </w:r>
    </w:p>
    <w:p w14:paraId="524B92FF" w14:textId="77777777" w:rsidR="00DE0331" w:rsidRDefault="00DE0331" w:rsidP="00540250">
      <w:pPr>
        <w:spacing w:line="276" w:lineRule="auto"/>
        <w:rPr>
          <w:b/>
        </w:rPr>
      </w:pPr>
      <w:r>
        <w:rPr>
          <w:b/>
        </w:rPr>
        <w:br w:type="page"/>
      </w:r>
    </w:p>
    <w:p w14:paraId="68A48B79" w14:textId="12E0B9FB" w:rsidR="00F6464B" w:rsidRPr="00411D03" w:rsidRDefault="00F6464B" w:rsidP="00540250">
      <w:pPr>
        <w:spacing w:line="276" w:lineRule="auto"/>
        <w:rPr>
          <w:b/>
        </w:rPr>
      </w:pPr>
      <w:r>
        <w:rPr>
          <w:b/>
        </w:rPr>
        <w:lastRenderedPageBreak/>
        <w:t>Supplementary Materials 3</w:t>
      </w:r>
      <w:r w:rsidR="00411D03">
        <w:rPr>
          <w:b/>
        </w:rPr>
        <w:t xml:space="preserve">: </w:t>
      </w:r>
      <w:r w:rsidR="00C048A5" w:rsidRPr="00C048A5">
        <w:rPr>
          <w:b/>
          <w:color w:val="222222"/>
          <w:shd w:val="clear" w:color="auto" w:fill="FFFFFF"/>
        </w:rPr>
        <w:t>Drug response assessment of each PDX model at different sites</w:t>
      </w:r>
    </w:p>
    <w:p w14:paraId="29A0AF41" w14:textId="77777777" w:rsidR="00F865D5" w:rsidRDefault="00133674" w:rsidP="00540250">
      <w:pPr>
        <w:pStyle w:val="figure"/>
        <w:jc w:val="left"/>
      </w:pPr>
      <w:r w:rsidRPr="00F93CCF">
        <w:rPr>
          <w:lang w:eastAsia="zh-CN"/>
        </w:rPr>
        <w:drawing>
          <wp:inline distT="114300" distB="114300" distL="114300" distR="114300" wp14:anchorId="601EFABC" wp14:editId="1F85F283">
            <wp:extent cx="5943600" cy="6337300"/>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5943600" cy="6337300"/>
                    </a:xfrm>
                    <a:prstGeom prst="rect">
                      <a:avLst/>
                    </a:prstGeom>
                    <a:ln/>
                  </pic:spPr>
                </pic:pic>
              </a:graphicData>
            </a:graphic>
          </wp:inline>
        </w:drawing>
      </w:r>
    </w:p>
    <w:p w14:paraId="3F7D4660" w14:textId="510D1415" w:rsidR="007B2DE2" w:rsidRPr="00DC4816" w:rsidRDefault="00146C7D" w:rsidP="00540250">
      <w:pPr>
        <w:pStyle w:val="FigureLegend"/>
        <w:jc w:val="left"/>
        <w:rPr>
          <w:rFonts w:eastAsia="Calibri"/>
          <w:b w:val="0"/>
        </w:rPr>
      </w:pPr>
      <w:r>
        <w:rPr>
          <w:rFonts w:eastAsia="Calibri"/>
        </w:rPr>
        <w:t>Supplementary</w:t>
      </w:r>
      <w:r w:rsidRPr="00F93CCF">
        <w:t xml:space="preserve"> </w:t>
      </w:r>
      <w:r w:rsidR="00133674" w:rsidRPr="00F93CCF">
        <w:t>Figure</w:t>
      </w:r>
      <w:r w:rsidR="00133674">
        <w:t xml:space="preserve"> </w:t>
      </w:r>
      <w:r w:rsidR="00411D03">
        <w:t>3</w:t>
      </w:r>
      <w:r w:rsidR="00133674" w:rsidRPr="00F93CCF">
        <w:t>.</w:t>
      </w:r>
      <w:r w:rsidR="00133674">
        <w:t xml:space="preserve"> </w:t>
      </w:r>
      <w:r w:rsidR="00133674" w:rsidRPr="002B7BE3">
        <w:rPr>
          <w:rFonts w:eastAsia="Calibri"/>
          <w:b w:val="0"/>
        </w:rPr>
        <w:t xml:space="preserve">Analytical Summaries, </w:t>
      </w:r>
      <w:r w:rsidR="00AA0C87">
        <w:rPr>
          <w:rFonts w:eastAsia="Calibri"/>
          <w:b w:val="0"/>
        </w:rPr>
        <w:t>MDACC</w:t>
      </w:r>
      <w:r w:rsidR="00133674" w:rsidRPr="002B7BE3">
        <w:rPr>
          <w:rFonts w:eastAsia="Calibri"/>
          <w:b w:val="0"/>
        </w:rPr>
        <w:t xml:space="preserve"> Study.</w:t>
      </w:r>
      <w:r w:rsidR="002B7BE3">
        <w:rPr>
          <w:rFonts w:eastAsia="Calibri"/>
          <w:b w:val="0"/>
        </w:rPr>
        <w:t xml:space="preserve"> </w:t>
      </w:r>
      <w:r w:rsidR="00133674" w:rsidRPr="00F93CCF">
        <w:rPr>
          <w:rFonts w:eastAsia="Calibri"/>
          <w:b w:val="0"/>
        </w:rPr>
        <w:t xml:space="preserve">Analytical results from the </w:t>
      </w:r>
      <w:r w:rsidR="00AA0C87">
        <w:rPr>
          <w:rFonts w:eastAsia="Calibri"/>
          <w:b w:val="0"/>
        </w:rPr>
        <w:t xml:space="preserve">MDACC </w:t>
      </w:r>
      <w:r w:rsidR="00133674" w:rsidRPr="00F93CCF">
        <w:rPr>
          <w:rFonts w:eastAsia="Calibri"/>
          <w:b w:val="0"/>
        </w:rPr>
        <w:t xml:space="preserve">study for progressive model (625472-104-R), stable disease model (172845-121-T) and complete response model (BL0293-F563) (columns 1-3, respectively), with interpolated individual curves (row 1), mean curves for treatment and control with 95% confidence bands (row 2), waterfall plots demonstrating </w:t>
      </w:r>
      <m:oMath>
        <m:sSub>
          <m:sSubPr>
            <m:ctrlPr>
              <w:rPr>
                <w:rFonts w:ascii="Cambria Math" w:eastAsia="Calibri" w:hAnsi="Cambria Math"/>
                <w:b w:val="0"/>
              </w:rPr>
            </m:ctrlPr>
          </m:sSubPr>
          <m:e>
            <m:r>
              <m:rPr>
                <m:sty m:val="bi"/>
              </m:rPr>
              <w:rPr>
                <w:rFonts w:ascii="Cambria Math" w:hAnsi="Cambria Math"/>
              </w:rPr>
              <m:t>Δ</m:t>
            </m:r>
            <m:r>
              <m:rPr>
                <m:sty m:val="bi"/>
              </m:rPr>
              <w:rPr>
                <w:rFonts w:ascii="Cambria Math" w:eastAsia="Calibri" w:hAnsi="Cambria Math"/>
              </w:rPr>
              <m:t>V</m:t>
            </m:r>
          </m:e>
          <m:sub>
            <m:r>
              <m:rPr>
                <m:sty m:val="bi"/>
              </m:rPr>
              <w:rPr>
                <w:rFonts w:ascii="Cambria Math" w:eastAsia="Calibri" w:hAnsi="Cambria Math"/>
              </w:rPr>
              <m:t>21</m:t>
            </m:r>
          </m:sub>
        </m:sSub>
      </m:oMath>
      <w:r w:rsidR="00133674" w:rsidRPr="00F93CCF">
        <w:rPr>
          <w:rFonts w:eastAsia="Calibri"/>
          <w:b w:val="0"/>
        </w:rPr>
        <w:t xml:space="preserve">(row 3), boxplots of </w:t>
      </w:r>
      <m:oMath>
        <m:r>
          <m:rPr>
            <m:sty m:val="bi"/>
          </m:rPr>
          <w:rPr>
            <w:rFonts w:ascii="Cambria Math" w:eastAsia="Calibri" w:hAnsi="Cambria Math"/>
          </w:rPr>
          <m:t>aAU</m:t>
        </m:r>
        <m:sSub>
          <m:sSubPr>
            <m:ctrlPr>
              <w:rPr>
                <w:rFonts w:ascii="Cambria Math" w:eastAsia="Calibri" w:hAnsi="Cambria Math"/>
                <w:b w:val="0"/>
              </w:rPr>
            </m:ctrlPr>
          </m:sSubPr>
          <m:e>
            <m:r>
              <m:rPr>
                <m:sty m:val="bi"/>
              </m:rPr>
              <w:rPr>
                <w:rFonts w:ascii="Cambria Math" w:eastAsia="Calibri" w:hAnsi="Cambria Math"/>
              </w:rPr>
              <m:t>C</m:t>
            </m:r>
          </m:e>
          <m:sub>
            <m:r>
              <m:rPr>
                <m:sty m:val="bi"/>
              </m:rPr>
              <w:rPr>
                <w:rFonts w:ascii="Cambria Math" w:eastAsia="Calibri" w:hAnsi="Cambria Math"/>
              </w:rPr>
              <m:t>21</m:t>
            </m:r>
          </m:sub>
        </m:sSub>
      </m:oMath>
      <w:r w:rsidR="00133674" w:rsidRPr="00F93CCF">
        <w:rPr>
          <w:rFonts w:eastAsia="Calibri"/>
          <w:b w:val="0"/>
        </w:rPr>
        <w:t xml:space="preserve">(row 4) and </w:t>
      </w:r>
      <m:oMath>
        <m:r>
          <m:rPr>
            <m:sty m:val="bi"/>
          </m:rPr>
          <w:rPr>
            <w:rFonts w:ascii="Cambria Math" w:eastAsia="Calibri" w:hAnsi="Cambria Math"/>
          </w:rPr>
          <m:t>aAU</m:t>
        </m:r>
        <m:sSub>
          <m:sSubPr>
            <m:ctrlPr>
              <w:rPr>
                <w:rFonts w:ascii="Cambria Math" w:eastAsia="Calibri" w:hAnsi="Cambria Math"/>
                <w:b w:val="0"/>
              </w:rPr>
            </m:ctrlPr>
          </m:sSubPr>
          <m:e>
            <m:r>
              <m:rPr>
                <m:sty m:val="bi"/>
              </m:rPr>
              <w:rPr>
                <w:rFonts w:ascii="Cambria Math" w:eastAsia="Calibri" w:hAnsi="Cambria Math"/>
              </w:rPr>
              <m:t>C</m:t>
            </m:r>
          </m:e>
          <m:sub>
            <m:r>
              <m:rPr>
                <m:sty m:val="bi"/>
              </m:rPr>
              <w:rPr>
                <w:rFonts w:ascii="Cambria Math" w:eastAsia="Calibri" w:hAnsi="Cambria Math"/>
              </w:rPr>
              <m:t>max</m:t>
            </m:r>
          </m:sub>
        </m:sSub>
      </m:oMath>
      <w:r w:rsidR="00133674" w:rsidRPr="00F93CCF">
        <w:rPr>
          <w:rFonts w:eastAsia="Calibri"/>
          <w:b w:val="0"/>
        </w:rPr>
        <w:t xml:space="preserve">(row 5) for treatment and control, and a boxplot of </w:t>
      </w:r>
      <m:oMath>
        <m:r>
          <m:rPr>
            <m:sty m:val="bi"/>
          </m:rPr>
          <w:rPr>
            <w:rFonts w:ascii="Cambria Math" w:eastAsia="Calibri" w:hAnsi="Cambria Math"/>
          </w:rPr>
          <m:t>TG</m:t>
        </m:r>
        <m:sSub>
          <m:sSubPr>
            <m:ctrlPr>
              <w:rPr>
                <w:rFonts w:ascii="Cambria Math" w:eastAsia="Calibri" w:hAnsi="Cambria Math"/>
                <w:b w:val="0"/>
              </w:rPr>
            </m:ctrlPr>
          </m:sSubPr>
          <m:e>
            <m:r>
              <m:rPr>
                <m:sty m:val="bi"/>
              </m:rPr>
              <w:rPr>
                <w:rFonts w:ascii="Cambria Math" w:eastAsia="Calibri" w:hAnsi="Cambria Math"/>
              </w:rPr>
              <m:t>I</m:t>
            </m:r>
          </m:e>
          <m:sub>
            <m:r>
              <m:rPr>
                <m:sty m:val="bi"/>
              </m:rPr>
              <w:rPr>
                <w:rFonts w:ascii="Cambria Math" w:eastAsia="Calibri" w:hAnsi="Cambria Math"/>
              </w:rPr>
              <m:t>21</m:t>
            </m:r>
          </m:sub>
        </m:sSub>
      </m:oMath>
      <w:r w:rsidR="00133674" w:rsidRPr="00F93CCF">
        <w:rPr>
          <w:rFonts w:eastAsia="Calibri"/>
          <w:b w:val="0"/>
        </w:rPr>
        <w:t>(row 6), along with p-values comparing treatment to control for each measure.</w:t>
      </w:r>
      <w:r w:rsidR="00133674">
        <w:br w:type="page"/>
      </w:r>
    </w:p>
    <w:p w14:paraId="0A70BA61" w14:textId="77777777" w:rsidR="00F865D5" w:rsidRDefault="00133674" w:rsidP="00540250">
      <w:pPr>
        <w:pStyle w:val="figure"/>
        <w:jc w:val="left"/>
      </w:pPr>
      <w:r w:rsidRPr="00F93CCF">
        <w:rPr>
          <w:lang w:eastAsia="zh-CN"/>
        </w:rPr>
        <w:lastRenderedPageBreak/>
        <w:drawing>
          <wp:inline distT="114300" distB="114300" distL="114300" distR="114300" wp14:anchorId="70B55ADD" wp14:editId="786BB0DD">
            <wp:extent cx="5943600" cy="6337300"/>
            <wp:effectExtent l="0" t="0" r="0" b="0"/>
            <wp:docPr id="1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5943600" cy="6337300"/>
                    </a:xfrm>
                    <a:prstGeom prst="rect">
                      <a:avLst/>
                    </a:prstGeom>
                    <a:ln/>
                  </pic:spPr>
                </pic:pic>
              </a:graphicData>
            </a:graphic>
          </wp:inline>
        </w:drawing>
      </w:r>
    </w:p>
    <w:p w14:paraId="4401A013" w14:textId="69898580" w:rsidR="007B2DE2" w:rsidRDefault="00146C7D" w:rsidP="00540250">
      <w:pPr>
        <w:pStyle w:val="FigureLegend"/>
        <w:jc w:val="left"/>
      </w:pPr>
      <w:r>
        <w:rPr>
          <w:rFonts w:eastAsia="Calibri"/>
        </w:rPr>
        <w:t>Supplementary</w:t>
      </w:r>
      <w:r w:rsidRPr="00F93CCF">
        <w:t xml:space="preserve"> </w:t>
      </w:r>
      <w:r w:rsidR="00133674" w:rsidRPr="00F93CCF">
        <w:t>Figure</w:t>
      </w:r>
      <w:r w:rsidR="00133674">
        <w:t xml:space="preserve"> </w:t>
      </w:r>
      <w:r w:rsidR="00411D03">
        <w:t>4</w:t>
      </w:r>
      <w:r w:rsidR="00133674" w:rsidRPr="00F93CCF">
        <w:t>.</w:t>
      </w:r>
      <w:r w:rsidR="00133674">
        <w:t xml:space="preserve"> </w:t>
      </w:r>
      <w:r w:rsidR="00133674" w:rsidRPr="002B7BE3">
        <w:rPr>
          <w:rFonts w:eastAsia="Calibri"/>
          <w:b w:val="0"/>
        </w:rPr>
        <w:t xml:space="preserve">Analytical Summaries, </w:t>
      </w:r>
      <w:r w:rsidR="00AA0C87">
        <w:rPr>
          <w:rFonts w:eastAsia="Calibri"/>
          <w:b w:val="0"/>
        </w:rPr>
        <w:t>WUSTL</w:t>
      </w:r>
      <w:r w:rsidR="00133674" w:rsidRPr="002B7BE3">
        <w:rPr>
          <w:rFonts w:eastAsia="Calibri"/>
          <w:b w:val="0"/>
        </w:rPr>
        <w:t xml:space="preserve"> Study.</w:t>
      </w:r>
      <w:r w:rsidR="002B7BE3">
        <w:rPr>
          <w:rFonts w:eastAsia="Calibri"/>
          <w:b w:val="0"/>
        </w:rPr>
        <w:t xml:space="preserve"> </w:t>
      </w:r>
      <w:r w:rsidR="00133674" w:rsidRPr="00F93CCF">
        <w:rPr>
          <w:rFonts w:eastAsia="Calibri"/>
          <w:b w:val="0"/>
        </w:rPr>
        <w:t xml:space="preserve">Analytical results from the </w:t>
      </w:r>
      <w:r w:rsidR="00AA0C87">
        <w:rPr>
          <w:rFonts w:eastAsia="Calibri"/>
          <w:b w:val="0"/>
        </w:rPr>
        <w:t xml:space="preserve">WUSTL </w:t>
      </w:r>
      <w:r w:rsidR="00133674" w:rsidRPr="00F93CCF">
        <w:rPr>
          <w:rFonts w:eastAsia="Calibri"/>
          <w:b w:val="0"/>
        </w:rPr>
        <w:t xml:space="preserve">study for progressive model (625472-104-R), stable disease model (172845-121-T) and complete response model (BL0293-F563) (columns 1-3, respectively), with interpolated individual curves (row 1), mean curves for treatment and control with 95% confidence bands (row 2), waterfall plots demonstrating </w:t>
      </w:r>
      <m:oMath>
        <m:sSub>
          <m:sSubPr>
            <m:ctrlPr>
              <w:rPr>
                <w:rFonts w:ascii="Cambria Math" w:eastAsia="Calibri" w:hAnsi="Cambria Math"/>
                <w:b w:val="0"/>
              </w:rPr>
            </m:ctrlPr>
          </m:sSubPr>
          <m:e>
            <m:r>
              <m:rPr>
                <m:sty m:val="bi"/>
              </m:rPr>
              <w:rPr>
                <w:rFonts w:ascii="Cambria Math" w:hAnsi="Cambria Math"/>
              </w:rPr>
              <m:t>Δ</m:t>
            </m:r>
            <m:r>
              <m:rPr>
                <m:sty m:val="bi"/>
              </m:rPr>
              <w:rPr>
                <w:rFonts w:ascii="Cambria Math" w:eastAsia="Calibri" w:hAnsi="Cambria Math"/>
              </w:rPr>
              <m:t>V</m:t>
            </m:r>
          </m:e>
          <m:sub>
            <m:r>
              <m:rPr>
                <m:sty m:val="bi"/>
              </m:rPr>
              <w:rPr>
                <w:rFonts w:ascii="Cambria Math" w:eastAsia="Calibri" w:hAnsi="Cambria Math"/>
              </w:rPr>
              <m:t>21</m:t>
            </m:r>
          </m:sub>
        </m:sSub>
      </m:oMath>
      <w:r w:rsidR="00133674" w:rsidRPr="00F93CCF">
        <w:rPr>
          <w:rFonts w:eastAsia="Calibri"/>
          <w:b w:val="0"/>
        </w:rPr>
        <w:t xml:space="preserve">(row 3), boxplots of </w:t>
      </w:r>
      <m:oMath>
        <m:r>
          <m:rPr>
            <m:sty m:val="bi"/>
          </m:rPr>
          <w:rPr>
            <w:rFonts w:ascii="Cambria Math" w:eastAsia="Calibri" w:hAnsi="Cambria Math"/>
          </w:rPr>
          <m:t>aAU</m:t>
        </m:r>
        <m:sSub>
          <m:sSubPr>
            <m:ctrlPr>
              <w:rPr>
                <w:rFonts w:ascii="Cambria Math" w:eastAsia="Calibri" w:hAnsi="Cambria Math"/>
                <w:b w:val="0"/>
              </w:rPr>
            </m:ctrlPr>
          </m:sSubPr>
          <m:e>
            <m:r>
              <m:rPr>
                <m:sty m:val="bi"/>
              </m:rPr>
              <w:rPr>
                <w:rFonts w:ascii="Cambria Math" w:eastAsia="Calibri" w:hAnsi="Cambria Math"/>
              </w:rPr>
              <m:t>C</m:t>
            </m:r>
          </m:e>
          <m:sub>
            <m:r>
              <m:rPr>
                <m:sty m:val="bi"/>
              </m:rPr>
              <w:rPr>
                <w:rFonts w:ascii="Cambria Math" w:eastAsia="Calibri" w:hAnsi="Cambria Math"/>
              </w:rPr>
              <m:t>21</m:t>
            </m:r>
          </m:sub>
        </m:sSub>
      </m:oMath>
      <w:r w:rsidR="00133674" w:rsidRPr="00F93CCF">
        <w:rPr>
          <w:rFonts w:eastAsia="Calibri"/>
          <w:b w:val="0"/>
        </w:rPr>
        <w:t xml:space="preserve">(row 4) and </w:t>
      </w:r>
      <m:oMath>
        <m:r>
          <m:rPr>
            <m:sty m:val="bi"/>
          </m:rPr>
          <w:rPr>
            <w:rFonts w:ascii="Cambria Math" w:eastAsia="Calibri" w:hAnsi="Cambria Math"/>
          </w:rPr>
          <m:t>aAU</m:t>
        </m:r>
        <m:sSub>
          <m:sSubPr>
            <m:ctrlPr>
              <w:rPr>
                <w:rFonts w:ascii="Cambria Math" w:eastAsia="Calibri" w:hAnsi="Cambria Math"/>
                <w:b w:val="0"/>
              </w:rPr>
            </m:ctrlPr>
          </m:sSubPr>
          <m:e>
            <m:r>
              <m:rPr>
                <m:sty m:val="bi"/>
              </m:rPr>
              <w:rPr>
                <w:rFonts w:ascii="Cambria Math" w:eastAsia="Calibri" w:hAnsi="Cambria Math"/>
              </w:rPr>
              <m:t>C</m:t>
            </m:r>
          </m:e>
          <m:sub>
            <m:r>
              <m:rPr>
                <m:sty m:val="bi"/>
              </m:rPr>
              <w:rPr>
                <w:rFonts w:ascii="Cambria Math" w:eastAsia="Calibri" w:hAnsi="Cambria Math"/>
              </w:rPr>
              <m:t>max</m:t>
            </m:r>
          </m:sub>
        </m:sSub>
      </m:oMath>
      <w:r w:rsidR="00133674" w:rsidRPr="00F93CCF">
        <w:rPr>
          <w:rFonts w:eastAsia="Calibri"/>
          <w:b w:val="0"/>
        </w:rPr>
        <w:t xml:space="preserve">(row 5) for treatment and control, and a boxplot of </w:t>
      </w:r>
      <m:oMath>
        <m:r>
          <m:rPr>
            <m:sty m:val="bi"/>
          </m:rPr>
          <w:rPr>
            <w:rFonts w:ascii="Cambria Math" w:eastAsia="Calibri" w:hAnsi="Cambria Math"/>
          </w:rPr>
          <m:t>TG</m:t>
        </m:r>
        <m:sSub>
          <m:sSubPr>
            <m:ctrlPr>
              <w:rPr>
                <w:rFonts w:ascii="Cambria Math" w:eastAsia="Calibri" w:hAnsi="Cambria Math"/>
                <w:b w:val="0"/>
              </w:rPr>
            </m:ctrlPr>
          </m:sSubPr>
          <m:e>
            <m:r>
              <m:rPr>
                <m:sty m:val="bi"/>
              </m:rPr>
              <w:rPr>
                <w:rFonts w:ascii="Cambria Math" w:eastAsia="Calibri" w:hAnsi="Cambria Math"/>
              </w:rPr>
              <m:t>I</m:t>
            </m:r>
          </m:e>
          <m:sub>
            <m:r>
              <m:rPr>
                <m:sty m:val="bi"/>
              </m:rPr>
              <w:rPr>
                <w:rFonts w:ascii="Cambria Math" w:eastAsia="Calibri" w:hAnsi="Cambria Math"/>
              </w:rPr>
              <m:t>21</m:t>
            </m:r>
          </m:sub>
        </m:sSub>
      </m:oMath>
      <w:r w:rsidR="00133674" w:rsidRPr="00F93CCF">
        <w:rPr>
          <w:rFonts w:eastAsia="Calibri"/>
          <w:b w:val="0"/>
        </w:rPr>
        <w:t>(row 6), along with p-values comparing treatment to control for each measure.</w:t>
      </w:r>
      <w:r w:rsidR="00133674">
        <w:br w:type="page"/>
      </w:r>
    </w:p>
    <w:p w14:paraId="0D66D285" w14:textId="77777777" w:rsidR="007B2DE2" w:rsidRPr="00F93CCF" w:rsidRDefault="00133674" w:rsidP="00540250">
      <w:pPr>
        <w:pStyle w:val="figure"/>
        <w:jc w:val="left"/>
      </w:pPr>
      <w:r w:rsidRPr="00F93CCF">
        <w:rPr>
          <w:lang w:eastAsia="zh-CN"/>
        </w:rPr>
        <w:lastRenderedPageBreak/>
        <w:drawing>
          <wp:inline distT="114300" distB="114300" distL="114300" distR="114300" wp14:anchorId="566D13BB" wp14:editId="319ADA1B">
            <wp:extent cx="5943600" cy="6337300"/>
            <wp:effectExtent l="0" t="0" r="0" b="0"/>
            <wp:docPr id="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5943600" cy="6337300"/>
                    </a:xfrm>
                    <a:prstGeom prst="rect">
                      <a:avLst/>
                    </a:prstGeom>
                    <a:ln/>
                  </pic:spPr>
                </pic:pic>
              </a:graphicData>
            </a:graphic>
          </wp:inline>
        </w:drawing>
      </w:r>
    </w:p>
    <w:p w14:paraId="3CA6F515" w14:textId="46EB3818" w:rsidR="007B2DE2" w:rsidRPr="00F93CCF" w:rsidRDefault="00146C7D" w:rsidP="00540250">
      <w:pPr>
        <w:pStyle w:val="FigureLegend"/>
        <w:jc w:val="left"/>
        <w:rPr>
          <w:rFonts w:eastAsia="Calibri"/>
        </w:rPr>
      </w:pPr>
      <w:r>
        <w:rPr>
          <w:rFonts w:eastAsia="Calibri"/>
        </w:rPr>
        <w:t>Supplementary</w:t>
      </w:r>
      <w:r w:rsidRPr="00F93CCF">
        <w:t xml:space="preserve"> </w:t>
      </w:r>
      <w:r w:rsidR="00133674" w:rsidRPr="00F93CCF">
        <w:t>Figure</w:t>
      </w:r>
      <w:r w:rsidR="00133674">
        <w:t xml:space="preserve"> </w:t>
      </w:r>
      <w:r w:rsidR="00411D03">
        <w:t>5</w:t>
      </w:r>
      <w:r w:rsidR="00133674" w:rsidRPr="00F93CCF">
        <w:t>.</w:t>
      </w:r>
      <w:r w:rsidR="00133674">
        <w:t xml:space="preserve"> </w:t>
      </w:r>
      <w:r w:rsidR="00133674" w:rsidRPr="002B7BE3">
        <w:rPr>
          <w:rFonts w:eastAsia="Calibri"/>
          <w:b w:val="0"/>
        </w:rPr>
        <w:t>Analytical Summaries, PDMR Study.</w:t>
      </w:r>
      <w:r w:rsidR="00133674" w:rsidRPr="00F93CCF">
        <w:rPr>
          <w:rFonts w:eastAsia="Calibri"/>
        </w:rPr>
        <w:t xml:space="preserve"> </w:t>
      </w:r>
      <w:r w:rsidR="00133674" w:rsidRPr="00F93CCF">
        <w:rPr>
          <w:rFonts w:eastAsia="Calibri"/>
          <w:b w:val="0"/>
        </w:rPr>
        <w:t xml:space="preserve">Analytical results from the PDMR study for progressive model (625472-104-R), stable disease model (172845-121-T) and complete response model (BL0293-F563) (columns 1-3, respectively), with interpolated individual curves (row 1), mean curves for treatment and control with 95% confidence bands (row 2), waterfall plots demonstrating </w:t>
      </w:r>
      <m:oMath>
        <m:sSub>
          <m:sSubPr>
            <m:ctrlPr>
              <w:rPr>
                <w:rFonts w:ascii="Cambria Math" w:eastAsia="Calibri" w:hAnsi="Cambria Math"/>
                <w:b w:val="0"/>
              </w:rPr>
            </m:ctrlPr>
          </m:sSubPr>
          <m:e>
            <m:r>
              <m:rPr>
                <m:sty m:val="bi"/>
              </m:rPr>
              <w:rPr>
                <w:rFonts w:ascii="Cambria Math" w:hAnsi="Cambria Math"/>
              </w:rPr>
              <m:t>Δ</m:t>
            </m:r>
            <m:r>
              <m:rPr>
                <m:sty m:val="bi"/>
              </m:rPr>
              <w:rPr>
                <w:rFonts w:ascii="Cambria Math" w:eastAsia="Calibri" w:hAnsi="Cambria Math"/>
              </w:rPr>
              <m:t>V</m:t>
            </m:r>
          </m:e>
          <m:sub>
            <m:r>
              <m:rPr>
                <m:sty m:val="bi"/>
              </m:rPr>
              <w:rPr>
                <w:rFonts w:ascii="Cambria Math" w:eastAsia="Calibri" w:hAnsi="Cambria Math"/>
              </w:rPr>
              <m:t>21</m:t>
            </m:r>
          </m:sub>
        </m:sSub>
      </m:oMath>
      <w:r w:rsidR="00133674" w:rsidRPr="00F93CCF">
        <w:rPr>
          <w:rFonts w:eastAsia="Calibri"/>
          <w:b w:val="0"/>
        </w:rPr>
        <w:t xml:space="preserve">(row 3), boxplots of </w:t>
      </w:r>
      <m:oMath>
        <m:r>
          <m:rPr>
            <m:sty m:val="bi"/>
          </m:rPr>
          <w:rPr>
            <w:rFonts w:ascii="Cambria Math" w:eastAsia="Calibri" w:hAnsi="Cambria Math"/>
          </w:rPr>
          <m:t>aAU</m:t>
        </m:r>
        <m:sSub>
          <m:sSubPr>
            <m:ctrlPr>
              <w:rPr>
                <w:rFonts w:ascii="Cambria Math" w:eastAsia="Calibri" w:hAnsi="Cambria Math"/>
                <w:b w:val="0"/>
              </w:rPr>
            </m:ctrlPr>
          </m:sSubPr>
          <m:e>
            <m:r>
              <m:rPr>
                <m:sty m:val="bi"/>
              </m:rPr>
              <w:rPr>
                <w:rFonts w:ascii="Cambria Math" w:eastAsia="Calibri" w:hAnsi="Cambria Math"/>
              </w:rPr>
              <m:t>C</m:t>
            </m:r>
          </m:e>
          <m:sub>
            <m:r>
              <m:rPr>
                <m:sty m:val="bi"/>
              </m:rPr>
              <w:rPr>
                <w:rFonts w:ascii="Cambria Math" w:eastAsia="Calibri" w:hAnsi="Cambria Math"/>
              </w:rPr>
              <m:t>21</m:t>
            </m:r>
          </m:sub>
        </m:sSub>
      </m:oMath>
      <w:r w:rsidR="00133674" w:rsidRPr="00F93CCF">
        <w:rPr>
          <w:rFonts w:eastAsia="Calibri"/>
          <w:b w:val="0"/>
        </w:rPr>
        <w:t xml:space="preserve">(row 4) and </w:t>
      </w:r>
      <m:oMath>
        <m:r>
          <m:rPr>
            <m:sty m:val="bi"/>
          </m:rPr>
          <w:rPr>
            <w:rFonts w:ascii="Cambria Math" w:eastAsia="Calibri" w:hAnsi="Cambria Math"/>
          </w:rPr>
          <m:t>aAU</m:t>
        </m:r>
        <m:sSub>
          <m:sSubPr>
            <m:ctrlPr>
              <w:rPr>
                <w:rFonts w:ascii="Cambria Math" w:eastAsia="Calibri" w:hAnsi="Cambria Math"/>
                <w:b w:val="0"/>
              </w:rPr>
            </m:ctrlPr>
          </m:sSubPr>
          <m:e>
            <m:r>
              <m:rPr>
                <m:sty m:val="bi"/>
              </m:rPr>
              <w:rPr>
                <w:rFonts w:ascii="Cambria Math" w:eastAsia="Calibri" w:hAnsi="Cambria Math"/>
              </w:rPr>
              <m:t>C</m:t>
            </m:r>
          </m:e>
          <m:sub>
            <m:r>
              <m:rPr>
                <m:sty m:val="bi"/>
              </m:rPr>
              <w:rPr>
                <w:rFonts w:ascii="Cambria Math" w:eastAsia="Calibri" w:hAnsi="Cambria Math"/>
              </w:rPr>
              <m:t>max</m:t>
            </m:r>
          </m:sub>
        </m:sSub>
      </m:oMath>
      <w:r w:rsidR="00133674" w:rsidRPr="00F93CCF">
        <w:rPr>
          <w:rFonts w:eastAsia="Calibri"/>
          <w:b w:val="0"/>
        </w:rPr>
        <w:t xml:space="preserve">(row 5) for treatment and control, and a boxplot of </w:t>
      </w:r>
      <m:oMath>
        <m:r>
          <m:rPr>
            <m:sty m:val="bi"/>
          </m:rPr>
          <w:rPr>
            <w:rFonts w:ascii="Cambria Math" w:eastAsia="Calibri" w:hAnsi="Cambria Math"/>
          </w:rPr>
          <m:t>TG</m:t>
        </m:r>
        <m:sSub>
          <m:sSubPr>
            <m:ctrlPr>
              <w:rPr>
                <w:rFonts w:ascii="Cambria Math" w:eastAsia="Calibri" w:hAnsi="Cambria Math"/>
                <w:b w:val="0"/>
              </w:rPr>
            </m:ctrlPr>
          </m:sSubPr>
          <m:e>
            <m:r>
              <m:rPr>
                <m:sty m:val="bi"/>
              </m:rPr>
              <w:rPr>
                <w:rFonts w:ascii="Cambria Math" w:eastAsia="Calibri" w:hAnsi="Cambria Math"/>
              </w:rPr>
              <m:t>I</m:t>
            </m:r>
          </m:e>
          <m:sub>
            <m:r>
              <m:rPr>
                <m:sty m:val="bi"/>
              </m:rPr>
              <w:rPr>
                <w:rFonts w:ascii="Cambria Math" w:eastAsia="Calibri" w:hAnsi="Cambria Math"/>
              </w:rPr>
              <m:t>21</m:t>
            </m:r>
          </m:sub>
        </m:sSub>
      </m:oMath>
      <w:r w:rsidR="00133674" w:rsidRPr="00F93CCF">
        <w:rPr>
          <w:rFonts w:eastAsia="Calibri"/>
          <w:b w:val="0"/>
        </w:rPr>
        <w:t>(row 6), along with p-values comparing treatment to control for each measure.</w:t>
      </w:r>
      <w:r w:rsidR="00133674">
        <w:br w:type="page"/>
      </w:r>
    </w:p>
    <w:p w14:paraId="76B29D2D" w14:textId="77777777" w:rsidR="00F865D5" w:rsidRDefault="00133674" w:rsidP="00540250">
      <w:pPr>
        <w:pStyle w:val="figure"/>
        <w:jc w:val="left"/>
      </w:pPr>
      <w:r w:rsidRPr="00F93CCF">
        <w:rPr>
          <w:lang w:eastAsia="zh-CN"/>
        </w:rPr>
        <w:lastRenderedPageBreak/>
        <w:drawing>
          <wp:inline distT="114300" distB="114300" distL="114300" distR="114300" wp14:anchorId="1CAE0A3D" wp14:editId="5BCB8420">
            <wp:extent cx="5943600" cy="6337300"/>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5943600" cy="6337300"/>
                    </a:xfrm>
                    <a:prstGeom prst="rect">
                      <a:avLst/>
                    </a:prstGeom>
                    <a:ln/>
                  </pic:spPr>
                </pic:pic>
              </a:graphicData>
            </a:graphic>
          </wp:inline>
        </w:drawing>
      </w:r>
    </w:p>
    <w:p w14:paraId="6C150C61" w14:textId="4528FE36" w:rsidR="007B2DE2" w:rsidRPr="00F93CCF" w:rsidRDefault="00146C7D" w:rsidP="00540250">
      <w:pPr>
        <w:pStyle w:val="FigureLegend"/>
        <w:jc w:val="left"/>
        <w:rPr>
          <w:rFonts w:eastAsia="Calibri"/>
          <w:b w:val="0"/>
        </w:rPr>
      </w:pPr>
      <w:r>
        <w:rPr>
          <w:rFonts w:eastAsia="Calibri"/>
        </w:rPr>
        <w:t>Supplementary</w:t>
      </w:r>
      <w:r w:rsidRPr="00F93CCF">
        <w:rPr>
          <w:rFonts w:eastAsia="Calibri"/>
        </w:rPr>
        <w:t xml:space="preserve"> </w:t>
      </w:r>
      <w:r w:rsidR="00133674" w:rsidRPr="00F93CCF">
        <w:rPr>
          <w:rFonts w:eastAsia="Calibri"/>
        </w:rPr>
        <w:t>F</w:t>
      </w:r>
      <w:r w:rsidR="00133674" w:rsidRPr="00F93CCF">
        <w:t>igure</w:t>
      </w:r>
      <w:r w:rsidR="00133674">
        <w:t xml:space="preserve"> </w:t>
      </w:r>
      <w:r w:rsidR="00411D03">
        <w:t>6</w:t>
      </w:r>
      <w:r w:rsidR="00133674" w:rsidRPr="00F93CCF">
        <w:t>.</w:t>
      </w:r>
      <w:r w:rsidR="00133674">
        <w:t xml:space="preserve"> </w:t>
      </w:r>
      <w:r w:rsidR="00133674" w:rsidRPr="002B7BE3">
        <w:rPr>
          <w:rFonts w:eastAsia="Calibri"/>
          <w:b w:val="0"/>
        </w:rPr>
        <w:t xml:space="preserve">Analytical Summaries, </w:t>
      </w:r>
      <w:r w:rsidR="00AA0C87">
        <w:rPr>
          <w:rFonts w:eastAsia="Calibri"/>
          <w:b w:val="0"/>
        </w:rPr>
        <w:t>WIST</w:t>
      </w:r>
      <w:r w:rsidR="00AA0C87" w:rsidRPr="002B7BE3">
        <w:rPr>
          <w:rFonts w:eastAsia="Calibri"/>
          <w:b w:val="0"/>
        </w:rPr>
        <w:t xml:space="preserve"> </w:t>
      </w:r>
      <w:r w:rsidR="00133674" w:rsidRPr="002B7BE3">
        <w:rPr>
          <w:rFonts w:eastAsia="Calibri"/>
          <w:b w:val="0"/>
        </w:rPr>
        <w:t>Study.</w:t>
      </w:r>
      <w:r w:rsidR="00133674" w:rsidRPr="00F93CCF">
        <w:rPr>
          <w:rFonts w:eastAsia="Calibri"/>
          <w:b w:val="0"/>
        </w:rPr>
        <w:t xml:space="preserve"> Analytical results from the </w:t>
      </w:r>
      <w:r w:rsidR="00AA0C87">
        <w:rPr>
          <w:rFonts w:eastAsia="Calibri"/>
          <w:b w:val="0"/>
        </w:rPr>
        <w:t>WIST</w:t>
      </w:r>
      <w:r w:rsidR="00AA0C87" w:rsidRPr="00F93CCF">
        <w:rPr>
          <w:rFonts w:eastAsia="Calibri"/>
          <w:b w:val="0"/>
        </w:rPr>
        <w:t xml:space="preserve"> </w:t>
      </w:r>
      <w:r w:rsidR="00133674" w:rsidRPr="00F93CCF">
        <w:rPr>
          <w:rFonts w:eastAsia="Calibri"/>
          <w:b w:val="0"/>
        </w:rPr>
        <w:t xml:space="preserve">study for progressive model (625472-104-R), stable disease model (172845-121-T) and complete response model (BL0293-F563) (columns 1-3, respectively), with interpolated individual curves (row 1), mean curves for treatment and control with 95% confidence bands (row 2), waterfall plots demonstrating </w:t>
      </w:r>
      <m:oMath>
        <m:sSub>
          <m:sSubPr>
            <m:ctrlPr>
              <w:rPr>
                <w:rFonts w:ascii="Cambria Math" w:eastAsia="Calibri" w:hAnsi="Cambria Math"/>
                <w:b w:val="0"/>
              </w:rPr>
            </m:ctrlPr>
          </m:sSubPr>
          <m:e>
            <m:r>
              <m:rPr>
                <m:sty m:val="bi"/>
              </m:rPr>
              <w:rPr>
                <w:rFonts w:ascii="Cambria Math" w:hAnsi="Cambria Math"/>
              </w:rPr>
              <m:t>Δ</m:t>
            </m:r>
            <m:r>
              <m:rPr>
                <m:sty m:val="bi"/>
              </m:rPr>
              <w:rPr>
                <w:rFonts w:ascii="Cambria Math" w:eastAsia="Calibri" w:hAnsi="Cambria Math"/>
              </w:rPr>
              <m:t>V</m:t>
            </m:r>
          </m:e>
          <m:sub>
            <m:r>
              <m:rPr>
                <m:sty m:val="bi"/>
              </m:rPr>
              <w:rPr>
                <w:rFonts w:ascii="Cambria Math" w:eastAsia="Calibri" w:hAnsi="Cambria Math"/>
              </w:rPr>
              <m:t>21</m:t>
            </m:r>
          </m:sub>
        </m:sSub>
      </m:oMath>
      <w:r w:rsidR="00133674" w:rsidRPr="00F93CCF">
        <w:rPr>
          <w:rFonts w:eastAsia="Calibri"/>
          <w:b w:val="0"/>
        </w:rPr>
        <w:t xml:space="preserve">(row 3), boxplots of </w:t>
      </w:r>
      <m:oMath>
        <m:r>
          <m:rPr>
            <m:sty m:val="bi"/>
          </m:rPr>
          <w:rPr>
            <w:rFonts w:ascii="Cambria Math" w:eastAsia="Calibri" w:hAnsi="Cambria Math"/>
          </w:rPr>
          <m:t>aAU</m:t>
        </m:r>
        <m:sSub>
          <m:sSubPr>
            <m:ctrlPr>
              <w:rPr>
                <w:rFonts w:ascii="Cambria Math" w:eastAsia="Calibri" w:hAnsi="Cambria Math"/>
                <w:b w:val="0"/>
              </w:rPr>
            </m:ctrlPr>
          </m:sSubPr>
          <m:e>
            <m:r>
              <m:rPr>
                <m:sty m:val="bi"/>
              </m:rPr>
              <w:rPr>
                <w:rFonts w:ascii="Cambria Math" w:eastAsia="Calibri" w:hAnsi="Cambria Math"/>
              </w:rPr>
              <m:t>C</m:t>
            </m:r>
          </m:e>
          <m:sub>
            <m:r>
              <m:rPr>
                <m:sty m:val="bi"/>
              </m:rPr>
              <w:rPr>
                <w:rFonts w:ascii="Cambria Math" w:eastAsia="Calibri" w:hAnsi="Cambria Math"/>
              </w:rPr>
              <m:t>21</m:t>
            </m:r>
          </m:sub>
        </m:sSub>
      </m:oMath>
      <w:r w:rsidR="00133674" w:rsidRPr="00F93CCF">
        <w:rPr>
          <w:rFonts w:eastAsia="Calibri"/>
          <w:b w:val="0"/>
        </w:rPr>
        <w:t xml:space="preserve">(row 4) and </w:t>
      </w:r>
      <m:oMath>
        <m:r>
          <m:rPr>
            <m:sty m:val="bi"/>
          </m:rPr>
          <w:rPr>
            <w:rFonts w:ascii="Cambria Math" w:eastAsia="Calibri" w:hAnsi="Cambria Math"/>
          </w:rPr>
          <m:t>aAU</m:t>
        </m:r>
        <m:sSub>
          <m:sSubPr>
            <m:ctrlPr>
              <w:rPr>
                <w:rFonts w:ascii="Cambria Math" w:eastAsia="Calibri" w:hAnsi="Cambria Math"/>
                <w:b w:val="0"/>
              </w:rPr>
            </m:ctrlPr>
          </m:sSubPr>
          <m:e>
            <m:r>
              <m:rPr>
                <m:sty m:val="bi"/>
              </m:rPr>
              <w:rPr>
                <w:rFonts w:ascii="Cambria Math" w:eastAsia="Calibri" w:hAnsi="Cambria Math"/>
              </w:rPr>
              <m:t>C</m:t>
            </m:r>
          </m:e>
          <m:sub>
            <m:r>
              <m:rPr>
                <m:sty m:val="bi"/>
              </m:rPr>
              <w:rPr>
                <w:rFonts w:ascii="Cambria Math" w:eastAsia="Calibri" w:hAnsi="Cambria Math"/>
              </w:rPr>
              <m:t>max</m:t>
            </m:r>
          </m:sub>
        </m:sSub>
      </m:oMath>
      <w:r w:rsidR="00133674" w:rsidRPr="00F93CCF">
        <w:rPr>
          <w:rFonts w:eastAsia="Calibri"/>
          <w:b w:val="0"/>
        </w:rPr>
        <w:t xml:space="preserve">(row 5) for treatment and control, and a boxplot of </w:t>
      </w:r>
      <m:oMath>
        <m:r>
          <m:rPr>
            <m:sty m:val="bi"/>
          </m:rPr>
          <w:rPr>
            <w:rFonts w:ascii="Cambria Math" w:eastAsia="Calibri" w:hAnsi="Cambria Math"/>
          </w:rPr>
          <m:t>TG</m:t>
        </m:r>
        <m:sSub>
          <m:sSubPr>
            <m:ctrlPr>
              <w:rPr>
                <w:rFonts w:ascii="Cambria Math" w:eastAsia="Calibri" w:hAnsi="Cambria Math"/>
                <w:b w:val="0"/>
              </w:rPr>
            </m:ctrlPr>
          </m:sSubPr>
          <m:e>
            <m:r>
              <m:rPr>
                <m:sty m:val="bi"/>
              </m:rPr>
              <w:rPr>
                <w:rFonts w:ascii="Cambria Math" w:eastAsia="Calibri" w:hAnsi="Cambria Math"/>
              </w:rPr>
              <m:t>I</m:t>
            </m:r>
          </m:e>
          <m:sub>
            <m:r>
              <m:rPr>
                <m:sty m:val="bi"/>
              </m:rPr>
              <w:rPr>
                <w:rFonts w:ascii="Cambria Math" w:eastAsia="Calibri" w:hAnsi="Cambria Math"/>
              </w:rPr>
              <m:t>21</m:t>
            </m:r>
          </m:sub>
        </m:sSub>
      </m:oMath>
      <w:r w:rsidR="00133674" w:rsidRPr="00F93CCF">
        <w:rPr>
          <w:rFonts w:eastAsia="Calibri"/>
          <w:b w:val="0"/>
        </w:rPr>
        <w:t>(row 6), along with p-values comparing treatment to control for each measure.</w:t>
      </w:r>
      <w:r w:rsidR="00D95044">
        <w:rPr>
          <w:rFonts w:eastAsia="Calibri"/>
          <w:b w:val="0"/>
        </w:rPr>
        <w:t xml:space="preserve"> The 625472-104-R was stopped after 14 days because of the lack of treatment response.</w:t>
      </w:r>
    </w:p>
    <w:p w14:paraId="6A44AE21" w14:textId="73747808" w:rsidR="007B2DE2" w:rsidRPr="00F93CCF" w:rsidRDefault="0086549E" w:rsidP="00540250">
      <w:pPr>
        <w:pStyle w:val="figure"/>
        <w:jc w:val="left"/>
      </w:pPr>
      <w:r>
        <w:rPr>
          <w:lang w:eastAsia="zh-CN"/>
        </w:rPr>
        <w:lastRenderedPageBreak/>
        <w:drawing>
          <wp:inline distT="0" distB="0" distL="0" distR="0" wp14:anchorId="0A15251C" wp14:editId="5970F1F3">
            <wp:extent cx="5715000" cy="60940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7-new-m-supp.png"/>
                    <pic:cNvPicPr/>
                  </pic:nvPicPr>
                  <pic:blipFill>
                    <a:blip r:embed="rId17">
                      <a:extLst>
                        <a:ext uri="{28A0092B-C50C-407E-A947-70E740481C1C}">
                          <a14:useLocalDpi xmlns:a14="http://schemas.microsoft.com/office/drawing/2010/main" val="0"/>
                        </a:ext>
                      </a:extLst>
                    </a:blip>
                    <a:stretch>
                      <a:fillRect/>
                    </a:stretch>
                  </pic:blipFill>
                  <pic:spPr>
                    <a:xfrm>
                      <a:off x="0" y="0"/>
                      <a:ext cx="5715000" cy="6094095"/>
                    </a:xfrm>
                    <a:prstGeom prst="rect">
                      <a:avLst/>
                    </a:prstGeom>
                  </pic:spPr>
                </pic:pic>
              </a:graphicData>
            </a:graphic>
          </wp:inline>
        </w:drawing>
      </w:r>
    </w:p>
    <w:p w14:paraId="67D90619" w14:textId="2386F3B6" w:rsidR="007B2DE2" w:rsidRPr="00F93CCF" w:rsidRDefault="00146C7D" w:rsidP="00540250">
      <w:pPr>
        <w:pStyle w:val="FigureLegend"/>
        <w:jc w:val="left"/>
        <w:rPr>
          <w:b w:val="0"/>
        </w:rPr>
      </w:pPr>
      <w:r>
        <w:rPr>
          <w:rFonts w:eastAsia="Calibri"/>
        </w:rPr>
        <w:t>Supplementary</w:t>
      </w:r>
      <w:r w:rsidRPr="00F93CCF">
        <w:rPr>
          <w:rFonts w:eastAsia="Calibri"/>
        </w:rPr>
        <w:t xml:space="preserve"> </w:t>
      </w:r>
      <w:r w:rsidR="00133674" w:rsidRPr="00F93CCF">
        <w:rPr>
          <w:rFonts w:eastAsia="Calibri"/>
        </w:rPr>
        <w:t>F</w:t>
      </w:r>
      <w:r w:rsidR="00133674" w:rsidRPr="00F93CCF">
        <w:t>igure</w:t>
      </w:r>
      <w:r w:rsidR="00133674">
        <w:t xml:space="preserve"> </w:t>
      </w:r>
      <w:r w:rsidR="00411D03">
        <w:t>7</w:t>
      </w:r>
      <w:r w:rsidR="00133674" w:rsidRPr="00F93CCF">
        <w:t>.</w:t>
      </w:r>
      <w:r w:rsidR="00133674">
        <w:t xml:space="preserve"> </w:t>
      </w:r>
      <w:r w:rsidR="00133674" w:rsidRPr="002B7BE3">
        <w:rPr>
          <w:rFonts w:eastAsia="Calibri"/>
          <w:b w:val="0"/>
        </w:rPr>
        <w:t xml:space="preserve">Results, Analysis of Change in Tumor Volume </w:t>
      </w:r>
      <m:oMath>
        <m:sSub>
          <m:sSubPr>
            <m:ctrlPr>
              <w:rPr>
                <w:rFonts w:ascii="Cambria Math" w:eastAsia="Calibri" w:hAnsi="Cambria Math"/>
                <w:b w:val="0"/>
              </w:rPr>
            </m:ctrlPr>
          </m:sSubPr>
          <m:e>
            <m:r>
              <m:rPr>
                <m:sty m:val="bi"/>
              </m:rPr>
              <w:rPr>
                <w:rFonts w:ascii="Cambria Math" w:hAnsi="Cambria Math"/>
              </w:rPr>
              <m:t>Δ</m:t>
            </m:r>
            <m:r>
              <m:rPr>
                <m:sty m:val="bi"/>
              </m:rPr>
              <w:rPr>
                <w:rFonts w:ascii="Cambria Math" w:eastAsia="Calibri" w:hAnsi="Cambria Math"/>
              </w:rPr>
              <m:t>V</m:t>
            </m:r>
          </m:e>
          <m:sub>
            <m:r>
              <m:rPr>
                <m:sty m:val="bi"/>
              </m:rPr>
              <w:rPr>
                <w:rFonts w:ascii="Cambria Math" w:eastAsia="Calibri" w:hAnsi="Cambria Math"/>
              </w:rPr>
              <m:t>21</m:t>
            </m:r>
          </m:sub>
        </m:sSub>
      </m:oMath>
      <w:r w:rsidR="00E562DA" w:rsidRPr="002B7BE3">
        <w:rPr>
          <w:rFonts w:eastAsia="Calibri"/>
          <w:b w:val="0"/>
        </w:rPr>
        <w:t>.</w:t>
      </w:r>
      <w:r w:rsidR="00E562DA">
        <w:rPr>
          <w:rFonts w:eastAsia="Calibri"/>
        </w:rPr>
        <w:t xml:space="preserve"> </w:t>
      </w:r>
      <w:r w:rsidR="00133674" w:rsidRPr="00F93CCF">
        <w:rPr>
          <w:rFonts w:eastAsia="Calibri"/>
          <w:b w:val="0"/>
        </w:rPr>
        <w:t>Analytical results of the change in tumor volume from baseline to day 21 from various studies for progressive model (625472-104-R), stable disease model (172845-121-T) and complete response model (BL0293-F563) (columns 1-3, respectively).</w:t>
      </w:r>
    </w:p>
    <w:p w14:paraId="0BCBCC52" w14:textId="76043018" w:rsidR="007B2DE2" w:rsidRPr="00F93CCF" w:rsidRDefault="0086549E" w:rsidP="00540250">
      <w:pPr>
        <w:pStyle w:val="figure"/>
        <w:jc w:val="left"/>
      </w:pPr>
      <w:r>
        <w:rPr>
          <w:lang w:eastAsia="zh-CN"/>
        </w:rPr>
        <w:lastRenderedPageBreak/>
        <w:drawing>
          <wp:inline distT="0" distB="0" distL="0" distR="0" wp14:anchorId="679670EF" wp14:editId="43E99ED2">
            <wp:extent cx="5715000" cy="60756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8-new-m-supp.png"/>
                    <pic:cNvPicPr/>
                  </pic:nvPicPr>
                  <pic:blipFill>
                    <a:blip r:embed="rId18">
                      <a:extLst>
                        <a:ext uri="{28A0092B-C50C-407E-A947-70E740481C1C}">
                          <a14:useLocalDpi xmlns:a14="http://schemas.microsoft.com/office/drawing/2010/main" val="0"/>
                        </a:ext>
                      </a:extLst>
                    </a:blip>
                    <a:stretch>
                      <a:fillRect/>
                    </a:stretch>
                  </pic:blipFill>
                  <pic:spPr>
                    <a:xfrm>
                      <a:off x="0" y="0"/>
                      <a:ext cx="5715000" cy="6075680"/>
                    </a:xfrm>
                    <a:prstGeom prst="rect">
                      <a:avLst/>
                    </a:prstGeom>
                  </pic:spPr>
                </pic:pic>
              </a:graphicData>
            </a:graphic>
          </wp:inline>
        </w:drawing>
      </w:r>
    </w:p>
    <w:p w14:paraId="246A1419" w14:textId="6EB6C9D1" w:rsidR="007B2DE2" w:rsidRPr="00F93CCF" w:rsidRDefault="00146C7D" w:rsidP="00540250">
      <w:pPr>
        <w:pStyle w:val="FigureLegend"/>
        <w:jc w:val="left"/>
        <w:rPr>
          <w:b w:val="0"/>
        </w:rPr>
      </w:pPr>
      <w:r>
        <w:rPr>
          <w:rFonts w:eastAsia="Calibri"/>
        </w:rPr>
        <w:t xml:space="preserve">Supplementary </w:t>
      </w:r>
      <w:r w:rsidR="00133674" w:rsidRPr="00F93CCF">
        <w:rPr>
          <w:rFonts w:eastAsia="Calibri"/>
        </w:rPr>
        <w:t>F</w:t>
      </w:r>
      <w:r w:rsidR="00133674" w:rsidRPr="00F93CCF">
        <w:t>igure</w:t>
      </w:r>
      <w:r w:rsidR="00133674">
        <w:t xml:space="preserve"> </w:t>
      </w:r>
      <w:r w:rsidR="00411D03">
        <w:t>8</w:t>
      </w:r>
      <w:r w:rsidR="00133674" w:rsidRPr="00F93CCF">
        <w:t>.</w:t>
      </w:r>
      <w:r w:rsidR="00133674">
        <w:t xml:space="preserve"> </w:t>
      </w:r>
      <w:r w:rsidR="00133674" w:rsidRPr="002B7BE3">
        <w:rPr>
          <w:rFonts w:eastAsia="Calibri"/>
          <w:b w:val="0"/>
        </w:rPr>
        <w:t>Results, adjusted area under the curve to 21 days</w:t>
      </w:r>
      <w:r w:rsidR="00E72D84" w:rsidRPr="002B7BE3">
        <w:rPr>
          <w:rFonts w:eastAsia="Calibri"/>
          <w:b w:val="0"/>
        </w:rPr>
        <w:t xml:space="preserve"> </w:t>
      </w:r>
      <m:oMath>
        <m:sSub>
          <m:sSubPr>
            <m:ctrlPr>
              <w:rPr>
                <w:rFonts w:ascii="Cambria Math" w:eastAsia="Calibri" w:hAnsi="Cambria Math"/>
                <w:b w:val="0"/>
              </w:rPr>
            </m:ctrlPr>
          </m:sSubPr>
          <m:e>
            <m:r>
              <m:rPr>
                <m:sty m:val="bi"/>
              </m:rPr>
              <w:rPr>
                <w:rFonts w:ascii="Cambria Math" w:eastAsia="Calibri" w:hAnsi="Cambria Math"/>
              </w:rPr>
              <m:t>aAUC</m:t>
            </m:r>
          </m:e>
          <m:sub>
            <m:r>
              <m:rPr>
                <m:sty m:val="bi"/>
              </m:rPr>
              <w:rPr>
                <w:rFonts w:ascii="Cambria Math" w:eastAsia="Calibri" w:hAnsi="Cambria Math"/>
              </w:rPr>
              <m:t>21</m:t>
            </m:r>
          </m:sub>
        </m:sSub>
      </m:oMath>
      <w:r w:rsidR="00133674" w:rsidRPr="002B7BE3">
        <w:rPr>
          <w:rFonts w:eastAsia="Calibri"/>
          <w:b w:val="0"/>
          <w:bCs w:val="0"/>
        </w:rPr>
        <w:t>.</w:t>
      </w:r>
      <w:r w:rsidR="002B7BE3">
        <w:rPr>
          <w:rFonts w:eastAsia="Calibri"/>
          <w:b w:val="0"/>
        </w:rPr>
        <w:t xml:space="preserve"> </w:t>
      </w:r>
      <w:r w:rsidR="00133674" w:rsidRPr="00F93CCF">
        <w:rPr>
          <w:rFonts w:eastAsia="Calibri"/>
          <w:b w:val="0"/>
        </w:rPr>
        <w:t>Analytical results of the adjusted area under the tumor growth curve from baseline to day 21 from various studies for progressive model (625472-104-R), stable disease model (172845-121-T) and complete response model (BL0293-F563) (columns 1-3, respectively).</w:t>
      </w:r>
      <w:r w:rsidR="00CA6110">
        <w:rPr>
          <w:rFonts w:eastAsia="Calibri"/>
          <w:b w:val="0"/>
        </w:rPr>
        <w:t xml:space="preserve"> (</w:t>
      </w:r>
      <w:r w:rsidR="00CA6110" w:rsidRPr="003E2C11">
        <w:rPr>
          <w:rFonts w:eastAsia="Calibri"/>
          <w:b w:val="0"/>
        </w:rPr>
        <w:t>PDMR - NCI Patient-Derived Models Repository, HCI-BCM - Huntsman Cancer Institute/Baylor College of Medicine, MDACC - MD Anderson Cancer Center, WUSTL - Washington University-St. Louis, and WIST - The Wistar Institute/University of Pennsylvania/MDACC</w:t>
      </w:r>
      <w:r w:rsidR="00CA6110" w:rsidRPr="009958E8">
        <w:rPr>
          <w:rFonts w:ascii="Arial" w:hAnsi="Arial" w:cs="Arial"/>
          <w:sz w:val="15"/>
          <w:szCs w:val="15"/>
          <w:shd w:val="clear" w:color="auto" w:fill="FFFFFF"/>
        </w:rPr>
        <w:t>.</w:t>
      </w:r>
      <w:r w:rsidR="00CA6110">
        <w:rPr>
          <w:rFonts w:ascii="Arial" w:hAnsi="Arial" w:cs="Arial"/>
          <w:sz w:val="15"/>
          <w:szCs w:val="15"/>
          <w:shd w:val="clear" w:color="auto" w:fill="FFFFFF"/>
        </w:rPr>
        <w:t>)</w:t>
      </w:r>
    </w:p>
    <w:p w14:paraId="368B0CCF" w14:textId="284A0B78" w:rsidR="007B2DE2" w:rsidRPr="00F93CCF" w:rsidRDefault="0086549E" w:rsidP="00540250">
      <w:pPr>
        <w:pStyle w:val="figure"/>
        <w:jc w:val="left"/>
      </w:pPr>
      <w:r>
        <w:rPr>
          <w:lang w:eastAsia="zh-CN"/>
        </w:rPr>
        <w:lastRenderedPageBreak/>
        <w:drawing>
          <wp:inline distT="0" distB="0" distL="0" distR="0" wp14:anchorId="45F95D0B" wp14:editId="57B85A43">
            <wp:extent cx="5715000" cy="60852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9-new-m-supp.png"/>
                    <pic:cNvPicPr/>
                  </pic:nvPicPr>
                  <pic:blipFill>
                    <a:blip r:embed="rId19">
                      <a:extLst>
                        <a:ext uri="{28A0092B-C50C-407E-A947-70E740481C1C}">
                          <a14:useLocalDpi xmlns:a14="http://schemas.microsoft.com/office/drawing/2010/main" val="0"/>
                        </a:ext>
                      </a:extLst>
                    </a:blip>
                    <a:stretch>
                      <a:fillRect/>
                    </a:stretch>
                  </pic:blipFill>
                  <pic:spPr>
                    <a:xfrm>
                      <a:off x="0" y="0"/>
                      <a:ext cx="5715000" cy="6085205"/>
                    </a:xfrm>
                    <a:prstGeom prst="rect">
                      <a:avLst/>
                    </a:prstGeom>
                  </pic:spPr>
                </pic:pic>
              </a:graphicData>
            </a:graphic>
          </wp:inline>
        </w:drawing>
      </w:r>
    </w:p>
    <w:p w14:paraId="0F773BF1" w14:textId="3C9A4384" w:rsidR="007B2DE2" w:rsidRPr="00F93CCF" w:rsidRDefault="00146C7D" w:rsidP="00540250">
      <w:pPr>
        <w:pStyle w:val="FigureLegend"/>
        <w:jc w:val="left"/>
        <w:rPr>
          <w:b w:val="0"/>
        </w:rPr>
      </w:pPr>
      <w:r>
        <w:rPr>
          <w:rFonts w:eastAsia="Calibri"/>
        </w:rPr>
        <w:t xml:space="preserve">Supplementary </w:t>
      </w:r>
      <w:r w:rsidR="00133674" w:rsidRPr="00F93CCF">
        <w:rPr>
          <w:rFonts w:eastAsia="Calibri"/>
        </w:rPr>
        <w:t>F</w:t>
      </w:r>
      <w:r w:rsidR="00133674" w:rsidRPr="00F93CCF">
        <w:t>igure</w:t>
      </w:r>
      <w:r w:rsidR="00411D03">
        <w:t xml:space="preserve"> 9</w:t>
      </w:r>
      <w:r w:rsidR="00133674" w:rsidRPr="00F93CCF">
        <w:t>.</w:t>
      </w:r>
      <w:r w:rsidR="00133674">
        <w:t xml:space="preserve"> </w:t>
      </w:r>
      <w:r w:rsidR="00133674" w:rsidRPr="002B7BE3">
        <w:rPr>
          <w:rFonts w:eastAsia="Calibri"/>
          <w:b w:val="0"/>
        </w:rPr>
        <w:t xml:space="preserve">Results, adjusted area under the curve to end date </w:t>
      </w:r>
      <m:oMath>
        <m:sSub>
          <m:sSubPr>
            <m:ctrlPr>
              <w:rPr>
                <w:rFonts w:ascii="Cambria Math" w:eastAsia="Calibri" w:hAnsi="Cambria Math"/>
                <w:b w:val="0"/>
              </w:rPr>
            </m:ctrlPr>
          </m:sSubPr>
          <m:e>
            <m:r>
              <m:rPr>
                <m:sty m:val="bi"/>
              </m:rPr>
              <w:rPr>
                <w:rFonts w:ascii="Cambria Math" w:eastAsia="Calibri" w:hAnsi="Cambria Math"/>
              </w:rPr>
              <m:t>aAUC</m:t>
            </m:r>
          </m:e>
          <m:sub>
            <m:r>
              <m:rPr>
                <m:sty m:val="bi"/>
              </m:rPr>
              <w:rPr>
                <w:rFonts w:ascii="Cambria Math" w:eastAsia="Calibri" w:hAnsi="Cambria Math"/>
              </w:rPr>
              <m:t>max</m:t>
            </m:r>
          </m:sub>
        </m:sSub>
      </m:oMath>
      <w:r w:rsidR="00133674" w:rsidRPr="002B7BE3">
        <w:rPr>
          <w:rFonts w:eastAsia="Calibri"/>
          <w:b w:val="0"/>
        </w:rPr>
        <w:t>.</w:t>
      </w:r>
      <w:r w:rsidR="00133674" w:rsidRPr="00F93CCF">
        <w:rPr>
          <w:rFonts w:eastAsia="Calibri"/>
        </w:rPr>
        <w:t xml:space="preserve">  </w:t>
      </w:r>
      <w:r w:rsidR="00133674" w:rsidRPr="00F93CCF">
        <w:rPr>
          <w:rFonts w:eastAsia="Calibri"/>
          <w:b w:val="0"/>
        </w:rPr>
        <w:t>Analytical results of the adjusted area under the tumor growth curve from baseline to day of last measurement from various studies for progressive model (625472-104-R), stable disease model (172845-121-T) and complete response model (BL0293-F563) (columns 1-3, respectively).</w:t>
      </w:r>
      <w:r w:rsidR="00CA6110" w:rsidRPr="00CA6110">
        <w:rPr>
          <w:rFonts w:eastAsia="Calibri"/>
          <w:b w:val="0"/>
        </w:rPr>
        <w:t xml:space="preserve"> </w:t>
      </w:r>
      <w:r w:rsidR="00CA6110">
        <w:rPr>
          <w:rFonts w:eastAsia="Calibri"/>
          <w:b w:val="0"/>
        </w:rPr>
        <w:t>(</w:t>
      </w:r>
      <w:r w:rsidR="00CA6110" w:rsidRPr="00B50D27">
        <w:rPr>
          <w:rFonts w:eastAsia="Calibri"/>
          <w:b w:val="0"/>
        </w:rPr>
        <w:t>PDMR - NCI Patient-Derived Models Repository, HCI-BCM - Huntsman Cancer Institute/Baylor College of Medicine, MDACC - MD Anderson Cancer Center, WUSTL - Washington University-St. Louis, and WIST - The Wistar Institute/University of Pennsylvania/MDACC</w:t>
      </w:r>
      <w:r w:rsidR="00CA6110" w:rsidRPr="009958E8">
        <w:rPr>
          <w:rFonts w:ascii="Arial" w:hAnsi="Arial" w:cs="Arial"/>
          <w:sz w:val="15"/>
          <w:szCs w:val="15"/>
          <w:shd w:val="clear" w:color="auto" w:fill="FFFFFF"/>
        </w:rPr>
        <w:t>.</w:t>
      </w:r>
      <w:r w:rsidR="00CA6110">
        <w:rPr>
          <w:rFonts w:ascii="Arial" w:hAnsi="Arial" w:cs="Arial"/>
          <w:sz w:val="15"/>
          <w:szCs w:val="15"/>
          <w:shd w:val="clear" w:color="auto" w:fill="FFFFFF"/>
        </w:rPr>
        <w:t>)</w:t>
      </w:r>
    </w:p>
    <w:p w14:paraId="6C433EC0" w14:textId="1A4B5EC5" w:rsidR="007B2DE2" w:rsidRPr="00F93CCF" w:rsidRDefault="0086549E" w:rsidP="00540250">
      <w:pPr>
        <w:pStyle w:val="figure"/>
        <w:jc w:val="left"/>
      </w:pPr>
      <w:r>
        <w:rPr>
          <w:lang w:eastAsia="zh-CN"/>
        </w:rPr>
        <w:lastRenderedPageBreak/>
        <w:drawing>
          <wp:inline distT="0" distB="0" distL="0" distR="0" wp14:anchorId="25609BC8" wp14:editId="1D56A83F">
            <wp:extent cx="5715000" cy="60496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10-new-m-supp.png"/>
                    <pic:cNvPicPr/>
                  </pic:nvPicPr>
                  <pic:blipFill>
                    <a:blip r:embed="rId20">
                      <a:extLst>
                        <a:ext uri="{28A0092B-C50C-407E-A947-70E740481C1C}">
                          <a14:useLocalDpi xmlns:a14="http://schemas.microsoft.com/office/drawing/2010/main" val="0"/>
                        </a:ext>
                      </a:extLst>
                    </a:blip>
                    <a:stretch>
                      <a:fillRect/>
                    </a:stretch>
                  </pic:blipFill>
                  <pic:spPr>
                    <a:xfrm>
                      <a:off x="0" y="0"/>
                      <a:ext cx="5715000" cy="6049645"/>
                    </a:xfrm>
                    <a:prstGeom prst="rect">
                      <a:avLst/>
                    </a:prstGeom>
                  </pic:spPr>
                </pic:pic>
              </a:graphicData>
            </a:graphic>
          </wp:inline>
        </w:drawing>
      </w:r>
    </w:p>
    <w:p w14:paraId="76041F2A" w14:textId="42B53E9A" w:rsidR="006C56CC" w:rsidRDefault="00146C7D" w:rsidP="00540250">
      <w:pPr>
        <w:pStyle w:val="FigureLegend"/>
        <w:jc w:val="left"/>
      </w:pPr>
      <w:r>
        <w:rPr>
          <w:rFonts w:eastAsia="Calibri"/>
        </w:rPr>
        <w:t xml:space="preserve">Supplementary </w:t>
      </w:r>
      <w:r w:rsidR="00133674" w:rsidRPr="00F93CCF">
        <w:rPr>
          <w:rFonts w:eastAsia="Calibri"/>
        </w:rPr>
        <w:t>F</w:t>
      </w:r>
      <w:r w:rsidR="00133674" w:rsidRPr="00F93CCF">
        <w:t>igure</w:t>
      </w:r>
      <w:r w:rsidR="00133674">
        <w:t xml:space="preserve"> </w:t>
      </w:r>
      <w:r>
        <w:t>1</w:t>
      </w:r>
      <w:r w:rsidR="00411D03">
        <w:t>0</w:t>
      </w:r>
      <w:r w:rsidR="00133674" w:rsidRPr="00F93CCF">
        <w:t>.</w:t>
      </w:r>
      <w:r w:rsidR="00133674">
        <w:t xml:space="preserve"> </w:t>
      </w:r>
      <w:r w:rsidR="00133674" w:rsidRPr="002B7BE3">
        <w:rPr>
          <w:rFonts w:eastAsia="Calibri"/>
          <w:b w:val="0"/>
        </w:rPr>
        <w:t xml:space="preserve">Results, tumor growth inhibition to day 21 </w:t>
      </w:r>
      <m:oMath>
        <m:sSub>
          <m:sSubPr>
            <m:ctrlPr>
              <w:rPr>
                <w:rFonts w:ascii="Cambria Math" w:eastAsia="Calibri" w:hAnsi="Cambria Math"/>
                <w:b w:val="0"/>
              </w:rPr>
            </m:ctrlPr>
          </m:sSubPr>
          <m:e>
            <m:r>
              <m:rPr>
                <m:sty m:val="bi"/>
              </m:rPr>
              <w:rPr>
                <w:rFonts w:ascii="Cambria Math" w:eastAsia="Calibri" w:hAnsi="Cambria Math"/>
              </w:rPr>
              <m:t>TGI</m:t>
            </m:r>
          </m:e>
          <m:sub>
            <m:r>
              <m:rPr>
                <m:sty m:val="bi"/>
              </m:rPr>
              <w:rPr>
                <w:rFonts w:ascii="Cambria Math" w:eastAsia="Calibri" w:hAnsi="Cambria Math"/>
              </w:rPr>
              <m:t>21</m:t>
            </m:r>
          </m:sub>
        </m:sSub>
      </m:oMath>
      <w:r w:rsidR="00133674" w:rsidRPr="00F865D5">
        <w:rPr>
          <w:rFonts w:eastAsia="Calibri"/>
          <w:b w:val="0"/>
          <w:bCs w:val="0"/>
        </w:rPr>
        <w:t>.</w:t>
      </w:r>
      <w:r w:rsidR="006C67E0">
        <w:rPr>
          <w:rFonts w:eastAsia="Calibri"/>
          <w:b w:val="0"/>
        </w:rPr>
        <w:t xml:space="preserve"> </w:t>
      </w:r>
      <w:r w:rsidR="00133674" w:rsidRPr="00F93CCF">
        <w:rPr>
          <w:rFonts w:eastAsia="Calibri"/>
          <w:b w:val="0"/>
        </w:rPr>
        <w:t xml:space="preserve">Analytical results of the tumor growth inhibition to day 21 measuring the mean ratio between treatment and baseline in terms of ratio of tumor </w:t>
      </w:r>
      <w:r w:rsidR="004812D4">
        <w:rPr>
          <w:rFonts w:eastAsia="Calibri"/>
          <w:b w:val="0"/>
        </w:rPr>
        <w:t xml:space="preserve">size from baseline to day 21, </w:t>
      </w:r>
      <w:r w:rsidR="00133674" w:rsidRPr="00F93CCF">
        <w:rPr>
          <w:rFonts w:eastAsia="Calibri"/>
          <w:b w:val="0"/>
        </w:rPr>
        <w:t>from various studies for progressive model (625472-104-R), stable disease model (172845-121-T) and complete response model (BL0293-F563) (columns 1-3, respectively).</w:t>
      </w:r>
      <w:r w:rsidR="00CA6110">
        <w:rPr>
          <w:rFonts w:eastAsia="Calibri"/>
          <w:b w:val="0"/>
        </w:rPr>
        <w:t xml:space="preserve"> (</w:t>
      </w:r>
      <w:r w:rsidR="00CA6110" w:rsidRPr="00B50D27">
        <w:rPr>
          <w:rFonts w:eastAsia="Calibri"/>
          <w:b w:val="0"/>
        </w:rPr>
        <w:t>PDMR - NCI Patient-Derived Models Repository, HCI-BCM - Huntsman Cancer Institute/Baylor College of Medicine, MDACC - MD Anderson Cancer Center, WUSTL - Washington University-St. Louis, and WIST - The Wistar Institute/University of Pennsylvania/MDACC</w:t>
      </w:r>
      <w:r w:rsidR="00CA6110" w:rsidRPr="009958E8">
        <w:rPr>
          <w:rFonts w:ascii="Arial" w:hAnsi="Arial" w:cs="Arial"/>
          <w:sz w:val="15"/>
          <w:szCs w:val="15"/>
          <w:shd w:val="clear" w:color="auto" w:fill="FFFFFF"/>
        </w:rPr>
        <w:t>.</w:t>
      </w:r>
      <w:r w:rsidR="00CA6110">
        <w:rPr>
          <w:rFonts w:ascii="Arial" w:hAnsi="Arial" w:cs="Arial"/>
          <w:sz w:val="15"/>
          <w:szCs w:val="15"/>
          <w:shd w:val="clear" w:color="auto" w:fill="FFFFFF"/>
        </w:rPr>
        <w:t>)</w:t>
      </w:r>
    </w:p>
    <w:p w14:paraId="243C8CCA" w14:textId="77777777" w:rsidR="006C56CC" w:rsidRDefault="006C56CC" w:rsidP="00540250">
      <w:pPr>
        <w:pStyle w:val="FigureLegend"/>
        <w:jc w:val="left"/>
      </w:pPr>
    </w:p>
    <w:p w14:paraId="7E6C2895" w14:textId="77777777" w:rsidR="00F6464B" w:rsidRDefault="00F6464B" w:rsidP="00540250">
      <w:pPr>
        <w:pStyle w:val="FigureLegend"/>
        <w:jc w:val="left"/>
      </w:pPr>
    </w:p>
    <w:p w14:paraId="60382AE8" w14:textId="55EBF030" w:rsidR="00BF0C77" w:rsidRDefault="00BF0C77" w:rsidP="00540250">
      <w:pPr>
        <w:pStyle w:val="Heading1"/>
        <w:spacing w:after="200"/>
      </w:pPr>
      <w:bookmarkStart w:id="55" w:name="_Toc27885951"/>
      <w:r w:rsidRPr="006C56CC">
        <w:t>Supplementary Materials</w:t>
      </w:r>
      <w:r>
        <w:t xml:space="preserve"> 3: Mouse Read Disambiguation</w:t>
      </w:r>
      <w:bookmarkEnd w:id="55"/>
    </w:p>
    <w:p w14:paraId="18BDD440" w14:textId="77777777" w:rsidR="002C79E0" w:rsidRDefault="002C79E0" w:rsidP="00BF0C77">
      <w:pPr>
        <w:pStyle w:val="Heading2"/>
      </w:pPr>
      <w:bookmarkStart w:id="56" w:name="_Toc27885952"/>
      <w:r>
        <w:t>Methods</w:t>
      </w:r>
      <w:bookmarkEnd w:id="56"/>
    </w:p>
    <w:p w14:paraId="47E543EE" w14:textId="468C8B03" w:rsidR="00BF0C77" w:rsidRPr="00BF0C77" w:rsidRDefault="00BF0C77" w:rsidP="002C79E0">
      <w:pPr>
        <w:pStyle w:val="Heading3"/>
      </w:pPr>
      <w:bookmarkStart w:id="57" w:name="_Toc27885953"/>
      <w:r w:rsidRPr="00BF0C77">
        <w:t>Simulated Data</w:t>
      </w:r>
      <w:bookmarkEnd w:id="57"/>
    </w:p>
    <w:p w14:paraId="65D2E8BC" w14:textId="3C208D9B" w:rsidR="00BF0C77" w:rsidRPr="002F051C" w:rsidRDefault="00BF0C77" w:rsidP="002F051C">
      <w:pPr>
        <w:pStyle w:val="PaperParagraph"/>
      </w:pPr>
      <w:r w:rsidRPr="002F051C">
        <w:t xml:space="preserve">For the WES data benchmark, an experimental WES series of simulated human-mouse mixtures (90:10, 80:20, 60:40, 50:50, 40:60, 20:80) was created by mixing two 100 % pure WES human and mouse samples (sample ids 14311X2 and 14311X8, respectively). A Python script based on HTseq (v0.6.1) was used to create the mixtures by randomly subsampling input pairs of human and mouse FASTQ.GZ files to a predefined fraction to obtain 56-57 million read pairs per data point. We also tested RNA-seq data using a simulated human-mouse mixture series (90:10, 80:20, 60:40, 50:50, 40:60, 20:80) based on a pair of human and mouse lung tissue RNA-seq samples (ENCSR129KCJ and ENCSR870AQU, respectively) </w:t>
      </w:r>
      <w:r w:rsidRPr="002F051C">
        <w:fldChar w:fldCharType="begin" w:fldLock="1"/>
      </w:r>
      <w:r w:rsidRPr="002F051C">
        <w:instrText>ADDIN CSL_CITATION {"citationItems":[{"id":"ITEM-1","itemData":{"DOI":"10.12688/f1000research.6536.1","abstract":"Recently, the Mouse ENCODE Consortium reported that comparative gene expression data from human and mouse tend to cluster more by species rather than by tissue. This observation was surprising, as it contradicted much of the comparative gene regulatory data collected previously, as well as the common notion that major developmental pathways are highly conserved across a wide range of species, in particular across mammals. Here we show that the Mouse ENCODE gene expression data were collected using a flawed study design, which confounded sequencing batch (namely, the assignment of samples to sequencing flowcells and lanes) with species. When we account for the batch effect, the corrected comparative gene expression data from human and mouse tend to cluster by tissue, not by species.","author":[{"dropping-particle":"","family":"Gilad","given":"Yoav","non-dropping-particle":"","parse-names":false,"suffix":""},{"dropping-particle":"","family":"Mizrahi-man","given":"Orna","non-dropping-particle":"","parse-names":false,"suffix":""}],"id":"ITEM-1","issue":"May","issued":{"date-parts":[["2015"]]},"page":"1-37","title":"A reanalysis of mouse ENCODE comparative gene expression data","type":"article-journal","volume":"121"},"uris":["http://www.mendeley.com/documents/?uuid=4af73b9b-73b3-4d6b-a420-e205a3c7270e"]}],"mendeley":{"formattedCitation":"(16)","plainTextFormattedCitation":"(16)","previouslyFormattedCitation":"&lt;sup&gt;16&lt;/sup&gt;"},"properties":{"noteIndex":0},"schema":"https://github.com/citation-style-language/schema/raw/master/csl-citation.json"}</w:instrText>
      </w:r>
      <w:r w:rsidRPr="002F051C">
        <w:fldChar w:fldCharType="separate"/>
      </w:r>
      <w:r w:rsidRPr="002F051C">
        <w:t>(16)</w:t>
      </w:r>
      <w:r w:rsidRPr="002F051C">
        <w:fldChar w:fldCharType="end"/>
      </w:r>
      <w:r w:rsidRPr="002F051C">
        <w:t xml:space="preserve">. The RNA-seq datasets were prepared with the same Python script used for mixing WES data. </w:t>
      </w:r>
    </w:p>
    <w:p w14:paraId="2A94E467" w14:textId="77777777" w:rsidR="00BF0C77" w:rsidRPr="00BF0C77" w:rsidRDefault="00BF0C77" w:rsidP="002C79E0">
      <w:pPr>
        <w:pStyle w:val="Heading3"/>
      </w:pPr>
      <w:bookmarkStart w:id="58" w:name="_Toc27885954"/>
      <w:r w:rsidRPr="00BF0C77">
        <w:t>Mouse Read Deconvolution Tools</w:t>
      </w:r>
      <w:bookmarkEnd w:id="58"/>
    </w:p>
    <w:p w14:paraId="6737680F" w14:textId="64584D28" w:rsidR="00BF0C77" w:rsidRPr="002F051C" w:rsidRDefault="00BF0C77" w:rsidP="002F051C">
      <w:pPr>
        <w:pStyle w:val="PaperParagraph"/>
      </w:pPr>
      <w:r w:rsidRPr="002F051C">
        <w:t xml:space="preserve">We compared several tools for mouse-human read deconvolution. These were Xenome (v1.0.0) </w:t>
      </w:r>
      <w:r w:rsidRPr="002F051C">
        <w:fldChar w:fldCharType="begin" w:fldLock="1"/>
      </w:r>
      <w:r w:rsidRPr="002F051C">
        <w:instrText>ADDIN CSL_CITATION {"citationItems":[{"id":"ITEM-1","itemData":{"DOI":"10.1093/bioinformatics/bts236","ISBN":"1367-4811 (Electronic)\\r1367-4803 (Linking)","ISSN":"13674803","PMID":"22689758","abstract":"MOTIVATION: Shotgun sequence read data derived from xenograft material contains a mixture of reads arising from the host and reads arising from the graft. Classifying the read mixture to separate the two allows for more precise analysis to be performed.\\n\\nRESULTS: We present a technique, with an associated tool Xenome, which performs fast, accurate and specific classification of xenograft-derived sequence read data. We have evaluated it on RNA-Seq data from human, mouse and human-in-mouse xenograft datasets.\\n\\nAVAILABILITY: Xenome is available for non-commercial use from http://www.nicta.com.au/bioinformatics.","author":[{"dropping-particle":"","family":"Conway","given":"Thomas","non-dropping-particle":"","parse-names":false,"suffix":""},{"dropping-particle":"","family":"Wazny","given":"Jeremy","non-dropping-particle":"","parse-names":false,"suffix":""},{"dropping-particle":"","family":"Bromage","given":"Andrew","non-dropping-particle":"","parse-names":false,"suffix":""},{"dropping-particle":"","family":"Tymms","given":"Martin","non-dropping-particle":"","parse-names":false,"suffix":""},{"dropping-particle":"","family":"Sooraj","given":"Dhanya","non-dropping-particle":"","parse-names":false,"suffix":""},{"dropping-particle":"","family":"Williams","give</w:instrText>
      </w:r>
      <w:r w:rsidRPr="003A15B7">
        <w:rPr>
          <w:lang w:val="it-IT"/>
        </w:rPr>
        <w:instrText>n":"Elizabeth D.","non-dropping-particle":"","parse-names":false,"suffix":""},{"dropping-particle":"","family":"Beresford-Smith","given":"Bryan","non-dropping-particle":"","parse-names":false,"suffix":""}],"container-title":"Bioinformatics","id":"ITEM-1","issue":"12","issued":{"date-parts":[["2012"]]},"page":"172-178","title":"Xenome-a tool for classifying reads from xenograft samples","type":"article-journal","volume":"28"},"uris":["http://www.mendeley.com/documents/?uuid=522fe022-13b3-483c-ae57-bee0c1a86e6a"]}],"mendeley":{"formattedCitation":"(17)","plainTextFormattedCitation":"(17)","previouslyFormattedCitation":"&lt;sup&gt;17&lt;/sup&gt;"},"properties":{"noteIndex":0},"schema":"https://github.com/citation-style-language/schema/raw/master/csl-citation.json"}</w:instrText>
      </w:r>
      <w:r w:rsidRPr="002F051C">
        <w:fldChar w:fldCharType="separate"/>
      </w:r>
      <w:r w:rsidRPr="003A15B7">
        <w:rPr>
          <w:lang w:val="it-IT"/>
        </w:rPr>
        <w:t>(17)</w:t>
      </w:r>
      <w:r w:rsidRPr="002F051C">
        <w:fldChar w:fldCharType="end"/>
      </w:r>
      <w:r w:rsidRPr="003A15B7">
        <w:rPr>
          <w:lang w:val="it-IT"/>
        </w:rPr>
        <w:t xml:space="preserve">, BBSplit (v37.93) </w:t>
      </w:r>
      <w:r w:rsidRPr="002F051C">
        <w:fldChar w:fldCharType="begin" w:fldLock="1"/>
      </w:r>
      <w:r w:rsidRPr="003A15B7">
        <w:rPr>
          <w:lang w:val="it-IT"/>
        </w:rPr>
        <w:instrText>ADDIN CSL_CITATION {"citationItems":[{"id":"ITEM-1","itemData":{"author":[{"dropping-particle":"","family":"DOE Joint Genome Institute","given":"","non-dropping-particle":"","parse-names":false,"suffix":""}],"id":"ITEM-1","issued":{"date-parts":[["2018"]]},"number":"38.34","publisher":"DOE Joint Genome Institute","publisher-place":"Walnut Creek","title":"BBMap","type":"article"},"uris":["http://www.mendeley.com/documents/?uuid=f1535c7e-4253-4ed7-880c-6e422e5aab6b"]}],"mendeley":{"formattedCitation":"(18)","plainTextFormattedCitation":"(18)","previouslyFormattedCitation":"&lt;sup&gt;18&lt;/sup&gt;"},"properties":{"noteIndex":0},"schema":"https://g</w:instrText>
      </w:r>
      <w:r w:rsidRPr="00D95044">
        <w:rPr>
          <w:lang w:val="it-IT"/>
        </w:rPr>
        <w:instrText>ithub.com/citation-style-language/schema/raw/master/csl-citation.json"}</w:instrText>
      </w:r>
      <w:r w:rsidRPr="002F051C">
        <w:fldChar w:fldCharType="separate"/>
      </w:r>
      <w:r w:rsidRPr="00D95044">
        <w:rPr>
          <w:lang w:val="it-IT"/>
        </w:rPr>
        <w:t>(18)</w:t>
      </w:r>
      <w:r w:rsidRPr="002F051C">
        <w:fldChar w:fldCharType="end"/>
      </w:r>
      <w:r w:rsidRPr="00D95044">
        <w:rPr>
          <w:lang w:val="it-IT"/>
        </w:rPr>
        <w:t xml:space="preserve">, Disambiguate (v1.0; commit c52402a) </w:t>
      </w:r>
      <w:r w:rsidRPr="002F051C">
        <w:fldChar w:fldCharType="begin" w:fldLock="1"/>
      </w:r>
      <w:r w:rsidRPr="00D95044">
        <w:rPr>
          <w:lang w:val="it-IT"/>
        </w:rPr>
        <w:instrText>ADDIN CSL_CITATION {"citationItems":[{"id":"ITEM-1","itemData":{"author":[{"dropping-particle":"","family":"DOE Joint Genome Institute","given":"","non-dropping-particle":"","parse-names":false,"suffix":""}],"id":"ITEM-1","issued":{"date-parts":[["2018"]]},"number":"38.34","publisher":"DOE Joint Genome Institute","publisher-place":"Walnut Creek","title":"BBMap","type":"article"},"uris":["http://www.mendeley.com/documents/?uuid=f1535c7e-4253-4ed7-880c-6e422e5aab6b"]}],"mendeley":{"formattedCitation":"(18)","plainTextFormattedCitation":"(18)","previouslyFormattedCitation":"&lt;sup&gt;18&lt;/sup&gt;"},"properties":{"noteIndex":0},"schema":"https://github.com/citation-style-language/schema/raw/master/csl-citation.json"}</w:instrText>
      </w:r>
      <w:r w:rsidRPr="002F051C">
        <w:fldChar w:fldCharType="separate"/>
      </w:r>
      <w:r w:rsidRPr="00D95044">
        <w:rPr>
          <w:lang w:val="it-IT"/>
        </w:rPr>
        <w:t>(18)</w:t>
      </w:r>
      <w:r w:rsidRPr="002F051C">
        <w:fldChar w:fldCharType="end"/>
      </w:r>
      <w:r w:rsidRPr="00D95044">
        <w:rPr>
          <w:lang w:val="it-IT"/>
        </w:rPr>
        <w:t xml:space="preserve">, ICRG (Callari et al., 2018) </w:t>
      </w:r>
      <w:r w:rsidRPr="002F051C">
        <w:fldChar w:fldCharType="begin" w:fldLock="1"/>
      </w:r>
      <w:r w:rsidRPr="00D95044">
        <w:rPr>
          <w:lang w:val="it-IT"/>
        </w:rPr>
        <w:instrText>ADDIN CSL_CITATION {"citationItems":[{"id":"ITEM-1","itemData":{"DOI":"10.1186/s12864-017-4414-y","ISBN":"0094-8276","ISSN":"14712164","PMID":"29304755","abstract":"Patient-Derived Tumour Xenografts (PDTXs) have emerged as the pre-clinical models that best represent clinical tumour diversity and intra-tumour heterogeneity. The molecular characterization of PDTXs using High-Throughput Sequencing (HTS) is essential; however, the presence of mouse stroma is challenging for HTS data analysis. Indeed, the high homology between the two genomes results in a proportion of mouse reads being mapped as human. In this study we generated Whole Exome Sequencing (WES), Reduced Representation Bisulfite Sequencing</w:instrText>
      </w:r>
      <w:r w:rsidRPr="002F051C">
        <w:instrText xml:space="preserve"> (RRBS) and RNA sequencing (RNA-seq) data from samples with known mixtures of mouse and human DNA or RNA and from a cohort of human breast cancers and their derived PDTXs. We show that using an In silico Combined human-mouse Reference Genome (ICRG) for alignment discriminates between human and mouse reads with up to 99.9% accuracy and decreases the number of false positive somatic mutations caused by misalignment by &gt;99.9%. We also derived a model to estimate the human DNA content in independent PDTX samples. For RNA-seq and RRBS data analysis, the use of the ICRG allows dissecting computationally the transcriptome and methylome of human tumour cells and mouse stroma. In a direct comparison with previously reported approaches, our method showed similar or higher accuracy while requiring significantly less computing time. The computational pipeline we describe here is a valuable tool for the molecular analysis of PDTXs as well as any other mixture of DNA or RNA species.","author":[{"dropping-particle":"","family":"Callari","given":"Maurizio","non-dropping-particle":"","parse-names":false,"suffix":""},{"dropping-particle":"","family":"Batra","given":"Ankita Sati","non-dropping-particle":"","parse-names":false,"suffix":""},{"dropping-particle":"","family":"Batra","given":"Rajbir Nath","non-dropping-particle":"","parse-names":false,"suffix":""},{"dropping-particle":"","family":"Sammut","given":"Stephen John","non-dropping-particle":"","parse-names":false,"suffix":""},{"dropping-particle":"","family":"Greenwood","given":"Wendy","non-dropping-particle":"","parse-names":false,"suffix":""},{"dropping-particle":"","family":"Clifford","given":"Harry","non-dropping-particle":"","parse-names":false,"suffix":""},{"dropping-particle":"","family":"Hercus","given":"Colin","non-dropping-particle":"","parse-names":false,"suffix":""},{"dropping-particle":"","family":"Chin","given":"Suet Feung","non-dropping-particle":"","parse-names":false,"suffix":""},{"dropping-particle":"","family":"Bruna","given":"Alejandra","non-dropping-particle":"","parse-names":false,"suffix":""},{"dropping-particle":"","family":"Rueda","given":"Oscar M.","non-dropping-particle":"","parse-names":false,"suffix":""},{"dropping-particle":"","family":"Caldas","given":"Carlos","non-dropping-particle":"","parse-names":false,"suffix":""}],"container-title":"BMC genomics","id":"ITEM-1","issue":"1","issued":{"date-parts":[["2018"]]},"page":"19","publisher":"BMC Genomics","title":"Computational approach to discriminate human and mouse sequences in patient-derived tumour xenografts","type":"article-journal","volume":"19"},"uris":["http://www.mendeley.com/documents/?uuid=1433c9b8-c51b-4c4c-bf8e-6657396dec2a"]}],"mendeley":{"formattedCitation":"(19)","plainTextFormattedCitation":"(19)","previouslyFormattedCitation":"&lt;sup&gt;19&lt;/sup&gt;"},"properties":{"noteIndex":0},"schema":"https://github.com/citation-style-language/schema/raw/master/csl-citation.json"}</w:instrText>
      </w:r>
      <w:r w:rsidRPr="002F051C">
        <w:fldChar w:fldCharType="separate"/>
      </w:r>
      <w:r w:rsidRPr="002F051C">
        <w:t>(19)</w:t>
      </w:r>
      <w:r w:rsidRPr="002F051C">
        <w:fldChar w:fldCharType="end"/>
      </w:r>
      <w:r w:rsidRPr="002F051C">
        <w:t xml:space="preserve">, and XenofilteR (v1.5) </w:t>
      </w:r>
      <w:r w:rsidRPr="002F051C">
        <w:fldChar w:fldCharType="begin" w:fldLock="1"/>
      </w:r>
      <w:r w:rsidRPr="002F051C">
        <w:instrText>ADDIN CSL_CITATION {"citationItems":[{"id":"ITEM-1","itemData":{"DOI":"10.1186/s12859-018-2353-5","ISSN":"14712105","PMID":"30286710","abstract":"&lt;h3 class=\"a-plus-plus\"&gt;Abstract&lt;/h3&gt;\n                    &lt;span class=\"a-plus-plus abstract-section id-a-sec1\"&gt;\n                      &lt;h3 class=\"a-plus-plus\"&gt;Background&lt;/h3&gt;\n                      &lt;p class=\"a-plus-plus\"&gt;Mouse xenografts from (patient-derived) tumors (PDX) or tumor cell lines are widely used as models to study various biological and preclinical aspects of cancer. However, analyses of their RNA and DNA profiles are challenging, because they comprise reads not only from the grafted human cancer but also from the murine host. The reads of murine origin result in false positives in mutation analysis of DNA samples and obscure gene expression levels when sequencing RNA. However, currently available algorithms are limited and improvements in accuracy and ease of use are necessary.&lt;/p&gt;\n                    &lt;/span&gt;\n                    &lt;span class=\"a-plus-plus abstract-section id-a-sec2\"&gt;\n                      &lt;h3 class=\"a-plus-plus\"&gt;Results&lt;/h3&gt;\n                      &lt;p class=\"a-plus-plus\"&gt;We developed the R-package XenofilteR, which separates mouse from human sequence reads based on the edit-distance between a sequence read and reference genome. To assess the accuracy of XenofilteR, we generated sequence data by in silico mixing of mouse and human DNA sequence data. These analyses revealed that XenofilteR removes &amp;gt; 99.9% of sequence reads of mouse origin while retaining human sequences. This allowed for mutation analysis of xenograft samples with accurate variant allele frequencies, and retrieved all non-synonymous somatic tumor mutations.&lt;/p&gt;\n                    &lt;/span&gt;\n                    &lt;span class=\"a-plus-plus abstract-section id-a-sec3\"&gt;\n                      &lt;h3 class=\"a-plus-plus\"&gt;Conclusions&lt;/h3&gt;\n                      &lt;p class=\"a-plus-plus\"&gt;XenofilteR accurately dissects RNA and DNA sequences from mouse and human origin, thereby outperforming currently available tools. XenofilteR is open source and available at &lt;a href=\"https://github.com/PeeperLab/XenofilteR\" class=\"a-plus-plus\"&gt;https://github.com/PeeperLab/XenofilteR&lt;/a&gt;.&lt;/p&gt;\n                    &lt;/span&gt;","author":[{"dropping-particle":"","family":"Kluin","given":"Roelof J.C.","non-dropping-particle":"","parse-names":false,"suffix":""},{"dropping-particle":"","family":"Kemper","given":"Kristel","non-dropping-particle":"","parse-names":false,"suffix":""},{"dropping-particle":"","family":"Kuilman","given":"Thomas","non-dropping-particle":"","parse-names":false,"suffix":""},{"dropping-particle":"","family":"Ruiter","given":"Julian R.","non-dropping-particle":"de","parse-names":false,"suffix":""},{"dropping-particle":"","family":"Iyer","given":"Vivek","non-dropping-particle":"","parse-names":false,"suffix":""},{"dropping-particle":"V.","family":"Forment","given":"Josep","non-dropping-particle":"","parse-names":false,"suffix":""},{"dropping-particle":"","family":"Cornelissen-Steijger","given":"Paulien","non-dropping-particle":"","parse-names":false,"suffix":""},{"dropping-particle":"","family":"Rink","given":"Iris","non-dropping-particle":"de","parse-names":false,"suffix":""},{"dropping-particle":"","family":"Brugge","given":"Petra","non-dropping-particle":"ter","parse-names":false,"suffix":""},{"dropping-particle":"","family":"Song","given":"Ji Ying","non-dropping-particle":"","parse-names":false,"suffix":""},{"dropping-particle":"","family":"Klarenbeek","given":"Sjoerd","non-dropping-particle":"","parse-names":false,"suffix":""},{"dropping-particle":"","family":"McDermott","given":"Ultan","non-dropping-particle":"","parse-names":false,"suffix":""},{"dropping-particle":"","family":"Jonkers","given":"Jos","non-dropping-particle":"","parse-names":false,"suffix":""},{"dropping-particle":"","family":"Velds","given":"Arno","non-dropping-particle":"","parse-names":false,"suffix":""},{"dropping-particle":"","family":"Adams","given":"David J.","non-dropping-particle":"","parse-names":false,"suffix":""},{"dropping-particle":"","family":"Peeper","given":"Daniel S.","non-dropping-particle":"","parse-names":false,"suffix":""},{"dropping-particle":"","family":"Krijgsman","given":"Oscar","non-dropping-particle":"","parse-names":false,"suffix":""}],"container-title":"BMC Bioinformatics","id":"ITEM-1","issue":"1","issued":{"date-parts":[["2018"]]},"page":"1-15","publisher":"BMC Bioinformatics","title":"XenofilteR: Computational deconvolution of mouse and human reads in tumor xenograft sequence data","type":"article-journal","volume":"19"},"uris":["http://www.mendeley.com/documents/?uuid=f0ba10d0-3daf-4a10-bb21-73a4cbc7066a"]}],"mendeley":{"formattedCitation":"(20)","plainTextFormattedCitation":"(20)","previouslyFormattedCitation":"&lt;sup&gt;20&lt;/sup&gt;"},"properties":{"noteIndex":0},"schema":"https://github.com/citation-style-language/schema/raw/master/csl-citation.json"}</w:instrText>
      </w:r>
      <w:r w:rsidRPr="002F051C">
        <w:fldChar w:fldCharType="separate"/>
      </w:r>
      <w:r w:rsidRPr="002F051C">
        <w:t>(20)</w:t>
      </w:r>
      <w:r w:rsidRPr="002F051C">
        <w:fldChar w:fldCharType="end"/>
      </w:r>
      <w:r w:rsidRPr="002F051C">
        <w:t>. BBtools Seal tool was also initially considered; however, it was excluded because of extremely high default RAM requirements. These methods followed three main approaches: BBSplit and Xenome operate on raw FASTQ data, with BBSplit aligning whole reads and Xenome using k-mers to classify reads. Disambiguate and XenofilteR require pre-aligned inputs (i.e. reads aligned to both host and graft reference genomes) and use alignment quality scores for classification. ICRG relies on aligning reads to a combined host-graft reference sequence.</w:t>
      </w:r>
    </w:p>
    <w:p w14:paraId="03C0F189" w14:textId="77777777" w:rsidR="00BF0C77" w:rsidRPr="00BF0C77" w:rsidRDefault="00BF0C77" w:rsidP="002C79E0">
      <w:pPr>
        <w:pStyle w:val="Heading3"/>
      </w:pPr>
      <w:bookmarkStart w:id="59" w:name="_Toc27885955"/>
      <w:r w:rsidRPr="00BF0C77">
        <w:lastRenderedPageBreak/>
        <w:t>Read Alignment</w:t>
      </w:r>
      <w:bookmarkEnd w:id="59"/>
    </w:p>
    <w:p w14:paraId="539FF9A4" w14:textId="74299C34" w:rsidR="00BF0C77" w:rsidRDefault="00BF0C77" w:rsidP="002F051C">
      <w:pPr>
        <w:pStyle w:val="PaperParagraph"/>
      </w:pPr>
      <w:r w:rsidRPr="002F051C">
        <w:t xml:space="preserve">For tools requiring aligned data inputs (BAM files), BWA-MEM </w:t>
      </w:r>
      <w:r w:rsidRPr="002F051C">
        <w:fldChar w:fldCharType="begin" w:fldLock="1"/>
      </w:r>
      <w:r w:rsidRPr="002F051C">
        <w:instrText>ADDIN CSL_CITATION {"citationItems":[{"id":"ITEM-1","itemData":{"DOI":"10.1186/s12859-018-2353-5","ISSN":"14712105","PMID":"30286710","abstract":"&lt;h3 class=\"a-plus-plus\"&gt;Abstract&lt;/h3&gt;\n                    &lt;span class=\"a-plus-plus abstract-section id-a-sec1\"&gt;\n                      &lt;h3 class=\"a-plus-plus\"&gt;Background&lt;/h3&gt;\n                      &lt;p class=\"a-plus-plus\"&gt;Mouse xenografts from (patient-derived) tumors (PDX) or tumor cell lines are widely used as models to study various biological and preclinical aspects of cancer. However, analyses of their RNA and DNA profiles are challenging, because they comprise reads not only from the grafted human cancer but also from the murine host. The reads of murine origin result in false positives in mutation analysis of DNA samples and obscure gene expression levels when sequencing RNA. However, currently available algorithms are limited and improvements in accuracy and ease of use are necessary.&lt;/p&gt;\n                    &lt;/span&gt;\n                    &lt;span class=\"a-plus-plus abstract-section id-a-sec2\"&gt;\n                      &lt;h3 class=\"a-plus-plus\"&gt;Results&lt;/h3&gt;\n                      &lt;p class=\"a-plus-plus\"&gt;We developed the R-package XenofilteR, which separates mouse from human sequence reads based on the edit-distance between a sequence read and reference genome. To assess the accuracy of XenofilteR, we generated sequence data by in silico mixing of mouse and human DNA sequence data. These analyses revealed that XenofilteR removes &amp;gt; 99.9% of sequence reads of mouse origin while retaining human sequences. This allowed for mutation analysis of xenograft samples with accurate variant allele frequencies, and retrieved all non-synonymous somatic tumor mutations.&lt;/p&gt;\n                    &lt;/span&gt;\n                    &lt;span class=\"a-plus-plus abstract-section id-a-sec3\"&gt;\n                      &lt;h3 class=\"a-plus-plus\"&gt;Conclusions&lt;/h3&gt;\n                      &lt;p class=\"a-plus-plus\"&gt;XenofilteR accurately dissects RNA and DNA sequences from mouse and human origin, thereby outperforming currently available tools. XenofilteR is open source and available at &lt;a href=\"https://github.com/PeeperLab/XenofilteR\" class=\"a-plus-plus\"&gt;https://github.com/PeeperLab/XenofilteR&lt;/a&gt;.&lt;/p&gt;\n                    &lt;/span&gt;","author":[{"dropping-particle":"","family":"Kluin","given":"Roelof J.C.","non-dropping-particle":"","parse-names":false,"suffix":""},{"dropping-particle":"","family":"Kemper","given":"Kristel","non-dropping-particle":"","parse-names":false,"suffix":""},{"dropping-particle":"","family":"Kuilman","given":"Thomas","non-dropping-particle":"","parse-names":false,"suffix":""},{"dropping-particle":"","family":"Ruiter","given":"Julian R.","non-dropping-particle":"de","parse-names":false,"suffix":""},{"dropping-particle":"","family":"Iyer","given":"Vivek","non-dropping-particle":"","parse-names":false,"suffix":""},{"dropping-particle":"V.","family":"Forment","given":"Josep","non-dropping-particle":"","parse-names":false,"suffix":""},{"dropping-particle":"","family":"Cornelissen-Steijger","given":"Paulien","non-dropping-particle":"","parse-names":false,"suffix":""},{"dropping-particle":"","family":"Rink","given":"Iris","non-dropping-particle":"de","parse-names":false,"suffix":""},{"dropping-particle":"","family":"Brugge","given":"Petra","non-dropping-particle":"ter","parse-names":false,"suffix":""},{"dropping-particle":"","family":"Song","given":"Ji Ying","non-dropping-particle":"","parse-names":false,"suffix":""},{"dropping-particle":"","family":"Klarenbeek","given":"Sjoerd","non-dropping-particle":"","parse-names":false,"suffix":""},{"dropping-particle":"","family":"McDermott","given":"Ultan","non-dropping-particle":"","parse-names":false,"suffix":""},{"dropping-particle":"","family":"Jonkers","given":"Jos","non-dropping-particle":"","parse-names":false,"suffix":""},{"dropping-particle":"","family":"Velds","given":"Arno","non-dropping-particle":"","parse-names":false,"suffix":""},{"dropping-particle":"","family":"Adams","given":"David J.","non-dropping-particle":"","parse-names":false,"suffix":""},{"dropping-particle":"","family":"Peeper","given":"Daniel S.","non-dropping-particle":"","parse-names":false,"suffix":""},{"dropping-particle":"","family":"Krijgsman","given":"Oscar","non-dropping-particle":"","parse-names":false,"suffix":""}],"container-title":"BMC Bioinformatics","id":"ITEM-1","issue":"1","issued":{"date-parts":[["2018"]]},"page":"1-15","publisher":"BMC Bioinformatics","title":"XenofilteR: Computational deconvolution of mouse and human reads in tumor xenograft sequence data","type":"article-journal","volume":"19"},"uris":["http://www.mendeley.com/documents/?uuid=f0ba10d0-3daf-4a10-bb21-73a4cbc7066a"]}],"mendeley":{"formattedCitation":"(20)","plainTextFormattedCitation":"(20)","previouslyFormattedCitation":"&lt;sup&gt;20&lt;/sup&gt;"},"properties":{"noteIndex":0},"schema":"https://github.com/citation-style-language/schema/raw/master/csl-citation.json"}</w:instrText>
      </w:r>
      <w:r w:rsidRPr="002F051C">
        <w:fldChar w:fldCharType="separate"/>
      </w:r>
      <w:r w:rsidRPr="002F051C">
        <w:t>(20)</w:t>
      </w:r>
      <w:r w:rsidRPr="002F051C">
        <w:fldChar w:fldCharType="end"/>
      </w:r>
      <w:r w:rsidRPr="002F051C">
        <w:t xml:space="preserve"> was used for alignment. For the mouse-human disambiguation step, only reads unambiguously classified as human by a tool were labeled “human.” All other reads were considered “not human” for the true/false positive/negative calling. This classification scheme provided a simplified common framework for evaluating all benchmarked tools. All metrics were calculated via a Python script based on HTseq.</w:t>
      </w:r>
    </w:p>
    <w:p w14:paraId="7B5A7D89" w14:textId="1788A499" w:rsidR="002C79E0" w:rsidRDefault="002C79E0" w:rsidP="002C79E0">
      <w:pPr>
        <w:pStyle w:val="Heading2"/>
      </w:pPr>
      <w:bookmarkStart w:id="60" w:name="_Toc27885956"/>
      <w:r>
        <w:t>Results</w:t>
      </w:r>
      <w:bookmarkEnd w:id="60"/>
    </w:p>
    <w:p w14:paraId="662977BF" w14:textId="77777777" w:rsidR="002C79E0" w:rsidRPr="002C79E0" w:rsidRDefault="002C79E0" w:rsidP="002C79E0">
      <w:pPr>
        <w:pStyle w:val="Heading3"/>
      </w:pPr>
      <w:bookmarkStart w:id="61" w:name="_Toc12018400"/>
      <w:bookmarkStart w:id="62" w:name="_Toc12041548"/>
      <w:bookmarkStart w:id="63" w:name="_Toc12041706"/>
      <w:bookmarkStart w:id="64" w:name="_Toc12437850"/>
      <w:bookmarkStart w:id="65" w:name="_Toc12438312"/>
      <w:bookmarkStart w:id="66" w:name="_Toc15283912"/>
      <w:bookmarkStart w:id="67" w:name="_Toc16606334"/>
      <w:bookmarkStart w:id="68" w:name="_Toc27885957"/>
      <w:r w:rsidRPr="002C79E0">
        <w:t>Benchmarking of human-mouse read disambiguation</w:t>
      </w:r>
      <w:bookmarkEnd w:id="61"/>
      <w:bookmarkEnd w:id="62"/>
      <w:bookmarkEnd w:id="63"/>
      <w:bookmarkEnd w:id="64"/>
      <w:bookmarkEnd w:id="65"/>
      <w:bookmarkEnd w:id="66"/>
      <w:bookmarkEnd w:id="67"/>
      <w:bookmarkEnd w:id="68"/>
    </w:p>
    <w:p w14:paraId="5FE3D125" w14:textId="242A07C4" w:rsidR="002C79E0" w:rsidRPr="00F13C7C" w:rsidRDefault="002C79E0" w:rsidP="002C79E0">
      <w:pPr>
        <w:pStyle w:val="PaperParagraph"/>
      </w:pPr>
      <w:r w:rsidRPr="00F13C7C">
        <w:t>We first compared the efficacy of the five pipelines (</w:t>
      </w:r>
      <w:r w:rsidRPr="0007354B">
        <w:rPr>
          <w:b/>
          <w:bCs/>
        </w:rPr>
        <w:t>Supplementary Table 2</w:t>
      </w:r>
      <w:r w:rsidRPr="00F13C7C">
        <w:t>) for human-mouse read disambiguation using a series of simulated benchmark WES and RNA-Seq datasets. The WES benchmark dataset consisted of a paired end exome-seq data series with human-mouse ratios of 90:10, 80:20, 60:40, 50:50, 40:60, and 20:80 created by computationally mixing two 100% pure WES human and mouse samples (sample ids 14311X2 and 14311X8, respectively). Similarly, the RNA-Seq benchmark dataset consisted of a simulated human-mouse mixture series (90:10, 80:20, 60:40, 50:50, 40:60, 20:80) created from human and mouse lung RNA-seq samples (ENCSR129KCJ and ENCSR870AQU, respectively). The above mentioned simulated WES and RNA-Seq datasets were used to test the five commonly used human-mouse read deconvolution tools: BBSplit, Xenome, Disambiguate, Xenofilter, and ICRG. All tools achieved &gt;99 % precision for both WES and RNA-Seq benchmarks (</w:t>
      </w:r>
      <w:r w:rsidRPr="0007354B">
        <w:rPr>
          <w:b/>
          <w:bCs/>
        </w:rPr>
        <w:t>Figure 4</w:t>
      </w:r>
      <w:r w:rsidRPr="00F13C7C">
        <w:t xml:space="preserve">). Xenofilter showed the lowest recall (96.60 % and 89.63 % recall in WES and RNA-seq benchmarks, respectively), whereas BBSplit showed the best overall performance i.e. highest precision without any loss in recall (99.87 % and 99.64 % precision in WES and RNA-seq benchmarks, respectively), </w:t>
      </w:r>
      <w:r w:rsidRPr="00F13C7C">
        <w:lastRenderedPageBreak/>
        <w:t xml:space="preserve">followed closely by Disambiguate on WES data (99.77 % precision) and Xenome on RNA-seq data (99.77 % precision). </w:t>
      </w:r>
    </w:p>
    <w:p w14:paraId="3EEF6D37" w14:textId="1F141361" w:rsidR="00BF0C77" w:rsidRDefault="00BF0C77" w:rsidP="00540250">
      <w:pPr>
        <w:pStyle w:val="Heading1"/>
        <w:spacing w:after="200"/>
      </w:pPr>
      <w:r>
        <w:br w:type="page"/>
      </w:r>
    </w:p>
    <w:p w14:paraId="7C50024D" w14:textId="70AEB6FB" w:rsidR="002F051C" w:rsidRPr="00BF0C77" w:rsidRDefault="002F051C" w:rsidP="002F051C">
      <w:pPr>
        <w:pStyle w:val="Heading1"/>
        <w:spacing w:after="200"/>
      </w:pPr>
      <w:bookmarkStart w:id="69" w:name="_Toc27885958"/>
      <w:r w:rsidRPr="006C56CC">
        <w:lastRenderedPageBreak/>
        <w:t>Supplementary Materials</w:t>
      </w:r>
      <w:r>
        <w:t xml:space="preserve"> 4: Tumor Normal WES Variant Calling</w:t>
      </w:r>
      <w:bookmarkEnd w:id="69"/>
    </w:p>
    <w:p w14:paraId="1CAFC2C5" w14:textId="77777777" w:rsidR="002F051C" w:rsidRPr="002F051C" w:rsidRDefault="002F051C" w:rsidP="002F051C">
      <w:pPr>
        <w:pStyle w:val="Heading2"/>
      </w:pPr>
      <w:bookmarkStart w:id="70" w:name="_Toc27885959"/>
      <w:r w:rsidRPr="002F051C">
        <w:t>Benchmark Datasets</w:t>
      </w:r>
      <w:bookmarkEnd w:id="70"/>
    </w:p>
    <w:p w14:paraId="1DCFD2BD" w14:textId="5043ACB4" w:rsidR="002F051C" w:rsidRPr="002F051C" w:rsidRDefault="002F051C" w:rsidP="002F051C">
      <w:pPr>
        <w:pStyle w:val="PaperParagraph"/>
      </w:pPr>
      <w:r w:rsidRPr="002F051C">
        <w:t xml:space="preserve">Two simulated whole exome-seq datasets were used in the benchmark for the tumor-normal variant calling workflow. The first dataset (DN) was prepared by researchers from </w:t>
      </w:r>
      <w:r w:rsidR="00C429C1">
        <w:t xml:space="preserve">HCI-BCM </w:t>
      </w:r>
      <w:r w:rsidRPr="002F051C">
        <w:t>and consisted of 100x data based on two normal samples, spiked with 30,466 SNPs, 1,723 insertions, and 4,192 deletions sampled from ClinVar, at 0.025, 0.05, 0.1, 0.2, and 0.3 simulated variant allele frequency (VAF) and 10 and 50 % mouse contamination. Germline variants were called with HaplotypeCaller and blacklisted before analysis. The second dataset (BS) was NA12878 WES data (~250x coverage; with 10 % mouse reads contamination) which was spiked with BamSurgeon [i] (default parameters, haplosize 151) at 0.05, 0.1, 0.2, and 0.3 VAF using both the ClinVar variant set used for the other simulated dataset (BS-DN) and 30000 TCGA BRCA SNPs combined with indels from the ClinVar set) (BS-BRCA). For both variant sets, 0.05 and 0.3 VAF samples were also downsampled to 130x and 65x to analyze coverage effects (the experimental coverage of the datasets was 250x).</w:t>
      </w:r>
    </w:p>
    <w:p w14:paraId="48D467F6" w14:textId="77777777" w:rsidR="002F051C" w:rsidRPr="002F051C" w:rsidRDefault="002F051C" w:rsidP="002F051C">
      <w:pPr>
        <w:pStyle w:val="Heading2"/>
      </w:pPr>
      <w:bookmarkStart w:id="71" w:name="_Toc27885960"/>
      <w:r w:rsidRPr="002F051C">
        <w:t>Workflow testing</w:t>
      </w:r>
      <w:bookmarkEnd w:id="71"/>
    </w:p>
    <w:p w14:paraId="17A53744" w14:textId="77777777" w:rsidR="002F051C" w:rsidRPr="002F051C" w:rsidRDefault="002F051C" w:rsidP="002F051C">
      <w:pPr>
        <w:pStyle w:val="PaperParagraph"/>
      </w:pPr>
      <w:r w:rsidRPr="002F051C">
        <w:t xml:space="preserve">Five tumor-normal WES data analysis workflows from PDXNet research groups were tested on the benchmark sets, as detailed in </w:t>
      </w:r>
      <w:r w:rsidRPr="0007354B">
        <w:rPr>
          <w:b/>
          <w:bCs/>
        </w:rPr>
        <w:t>Supplementary Table 2</w:t>
      </w:r>
      <w:r w:rsidRPr="002F051C">
        <w:t xml:space="preserve">, with the goal of evaluating the accuracy in the presence of variable mouse contamination, coverage, and VAF. Starting from FASTQ data the workflows performed mouse-human disambiguation, alignment, and variant calling with one or more somatic variant callers. For the variant calling step, Mutect2 </w:t>
      </w:r>
      <w:r w:rsidRPr="002F051C">
        <w:fldChar w:fldCharType="begin" w:fldLock="1"/>
      </w:r>
      <w:r w:rsidRPr="002F051C">
        <w:instrText>ADDIN CSL_CITATION {"citationItems":[{"id":"ITEM-1","itemData":{"abstract":"The Genome Analysis Toolkit or GATK, developed at the Broad Institute, is currently one of the most widely used software toolkits for germline short variant discovery and genotyping in whole genome and exome data. GATK4 is the next generation of GATK; it runs faster and covers more ground, adding somatic SNVs, Indels and CNVs to its variant discovery portfolio. Given the breathtaking increase in the amount of genomic data produced in recent years, GATK development has come to tackle multiple challenges: a) reflect the cutting-edge of science in terms of depth as well as breadth of analyses offered, b) scale to petabytes of data and c) provide a way to navigate the tradeoff between turn-around-time and cost of analyses. GATK4 addresses all of these challenges through a complete redesign and reimplementation of the original GATK software. This new version greatly expands the toolkit's scope of action within the variant discovery space by improving somatic mutation calling and adding copy number, structural variant and tumor-heterogeneity analysis tools. For the established tools and algorithms composing the GATK Best Practices pipelines for short variant discovery (including MuTect2, the next generation of the DREAM challenge-winning somatic SNV caller MuTect, developed originally in the Cancer Genome Analysis group at the Broad Institute), GATK4 is a substantial upgrade that streamlines the tools' operation, providing functionally equivalent results in a much faster timeframe through greatly increased efficiency and leaner engineering. Designed with cloud infrastructure in mind (although it still runs on local infrastructure), GATK4 is implemented with support for Apache Spark, makes key operations hundreds of times faster than previous generations of GATK and comes with end-to-end pipeline implementations that run out of the box on select cloud platforms.","author":[{"dropping-particle":"Van der","family":"Auwera","given":"Geraldine A.","non-dropping-particle":"","parse-names":false,"suffix":""}],"container-title":"American Association for Cancer Research","id":"ITEM-1","issued":{"date-parts":[["2017"]]},"title":"Somatic variation discovery with GATK4","type":"paper-conference"},"uris":["http://www.mendeley.com/documents/?uuid=f12852fa-5023-4a8c-beae-77e329cb9467"]},{"id":"ITEM-2","itemData":{"DOI":"10.1038/nbt.2514","ISBN":"1546-1696 (Electronic)\\n1087-0156 (Linking)","ISSN":"10870156","PMID":"23396013","abstract":"Detection of somatic point substitutions is a key step in characterizing the cancer genome. However, existing methods typically miss low-allelic-fraction mutations that occur in only a subset of the sequenced cells owing to either tumor heterogeneity or contamination by normal cells. Here we present MuTect, a method that applies a Bayesian classifier to detect somatic mutations with very low allele fractions, requiring only a few supporting reads, followed by carefully tuned filters that ensure high specificity. We also describe benchmarking approaches that use real, rather than simulated, sequencing data to evaluate the sensitivity and specificity as a function of sequencing depth, base quality and allelic fraction. Compared with other methods, MuTect has higher sensitivity with similar specificity, especially for mutations with allelic fractions as low as 0.1 and below, making MuTect particularly useful for studying cancer subclones and their evolution in standard exome and genome sequencing data.\\nView full text","author":[{"dropping-particle":"","family":"Cibulskis","given":"Kristian","non-dropping-particle":"","parse-names":false,"suffix":""},{"dropping-particle":"","family":"Lawrence","given":"Michael S.","non-dropping-particle":"","parse-names":false,"suffix":""},{"dropping-particle":"","family":"Carter","given":"Scott L.","non-dropping-particle":"","parse-names":false,"suffix":""},{"dropping-particle":"","family":"Sivachenko","given":"Andrey","non-dropping-particle":"","parse-names":false,"suffix":""},{"dropping-particle":"","family":"Jaffe","given":"David","non-dropping-particle":"","parse-names":false,"suffix":""},{"dropping-particle":"","family":"Sougnez","given":"Carrie","non-dropping-particle":"","parse-names":false,"suffix":""},{"dropping-particle":"","family":"Gabriel","given":"Stacey","non-dropping-particle":"","parse-names":false,"suffix":""},{"dropping-particle":"","family":"Meyerson","given":"Matthew","non-dropping-particle":"","parse-names":false,"suffix":""},{"dropping-particle":"","family":"Lander","given":"Eric S.","non-dropping-particle":"","parse-names":false,"suffix":""},{"dropping-particle":"","family":"Getz","given":"Gad","non-dropping-particle":"","parse-names":false,"suffix":""}],"container-title":"Nature Biotechnology","id":"ITEM-2","issue":"3","issued":{"date-parts":[["2013"]]},"page":"213-219","publisher":"Nature Publishing Group","title":"Sensitive detection of somatic point mutations in impure and heterogeneous cancer samples","type":"article-journal","volume":"31"},"uris":["http://www.mendeley.com/documents/?uuid=c97600b7-9338-46ee-a874-a2322fde3296"]}],"mendeley":{"formattedCitation":"(21,22)","plainTextFormattedCitation":"(21,22)","previouslyFormattedCitation":"&lt;sup&gt;21,22&lt;/sup&gt;"},"properties":{"noteIndex":0},"schema":"https://github.com/citation-style-language/schema/raw/master/csl-citation.json"}</w:instrText>
      </w:r>
      <w:r w:rsidRPr="002F051C">
        <w:fldChar w:fldCharType="separate"/>
      </w:r>
      <w:r w:rsidRPr="002F051C">
        <w:t>(21,22)</w:t>
      </w:r>
      <w:r w:rsidRPr="002F051C">
        <w:fldChar w:fldCharType="end"/>
      </w:r>
      <w:r w:rsidRPr="002F051C">
        <w:t xml:space="preserve">, VarScan2 </w:t>
      </w:r>
      <w:r w:rsidRPr="002F051C">
        <w:fldChar w:fldCharType="begin" w:fldLock="1"/>
      </w:r>
      <w:r w:rsidRPr="002F051C">
        <w:instrText>ADDIN CSL_CITATION {"citationItems":[{"id":"ITEM-1","itemData":{"DOI":"10.1101/gr.129684.111","ISBN":"1549-5469 (Electronic)\\n1088-9051 (Linking)","ISSN":"1088-9051","PMID":"22300766","abstract":"Cancer is a disease driven by genetic variation and mutation. Exome sequencing can be utilized for discovering these variants and mutations across hundreds of tumors. Here we present an analysis tool, VarScan 2, for the detection of somatic mutations and copy number alterations (CNAs) in exome data from tumor-normal pairs. Unlike most current approaches, our algorithm reads data from both samples simultaneously; a heuristic and statistical algorithm detects sequence variants and classifies them by somatic status (germline, somatic, or LOH); while a comparison of normalized read depth delineates relative copy number changes. We apply these methods to the analysis of exome sequence data from 151 high-grade ovarian tumors characterized as part of the Cancer Genome Atlas (TCGA). We validated some 7790 somatic coding mutations, achieving 93% sensitivity and 85% precision for single nucleotide variant (SNV) detection. Exome-based CNA analysis identified 29 large-scale alterations and 619 focal events per tumor on average. As in our previous analysis of these data, we observed frequent amplification of oncogenes (e.g., CCNE1, MYC) and deletion of tumor suppressors (NF1, PTEN, and CDKN2A). We searched for additional recurrent focal CNAs using the correlation matrix diagonal segmentation (CMDS) algorithm, which identified 424 significant events affecting 582 genes. Taken together, our results demonstrate the robust performance of VarScan 2 for somatic mutation and CNA detection and shed new light on the landscape of genetic alterations in ovarian cancer.","author":[{"dropping-particle":"","family":"Wilson","given":"R. K.","non-dropping-particle":"","parse-names":false,"suffix":""},{"dropping-particle":"","family":"Mardis","given":"E. R.","non-dropping-particle":"","parse-names":false,"suffix":""},{"dropping-particle":"","family":"McLellan","given":"M. D.","non-dropping-particle":"","parse-names":false,"suffix":""},{"dropping-particle":"","family":"Koboldt","given":"D. C.","non-dropping-particle":"","parse-names":false,"suffix":""},{"dropping-particle":"","family":"Shen","given":"D.","non-dropping-particle":"","parse-names":false,"suffix":""},{"dropping-particle":"","family":"Zhang","given":"Q.","non-dropping-particle":"","parse-names":false,"suffix":""},{"dropping-particle":"","family":"Ding","given":"L.","non-dropping-particle":"","parse-names":false,"suffix":""},{"dropping-particle":"","family":"Larson","given":"D. E.","non-dropping-particle":"","parse-names":false,"suffix":""},{"dropping-particle":"","family":"Lin","given":"L.","non-dropping-particle":"","parse-names":false,"suffix":""},{"dropping-particle":"","family":"Miller","given":"C. A.","non-dropping-particle":"","parse-names":false,"suffix":""}],"container-title":"Genome Research","id":"ITEM-1","issued":{"date-parts":[["2012"]]},"page":"568-576","title":"VarScan 2: Somatic mutation and copy number alteration discovery in cancer by exome sequencing","type":"article-journal","volume":"22"},"uris":["http://www.mendeley.com/documents/?uuid=be2e0de9-84d0-4d50-adc2-6f3bfbd0da91"]}],"mendeley":{"formattedCitation":"(23)","plainTextFormattedCitation":"(23)","previouslyFormattedCitation":"&lt;sup&gt;23&lt;/sup&gt;"},"properties":{"noteIndex":0},"schema":"https://github.com/citation-style-language/schema/raw/master/csl-citation.json"}</w:instrText>
      </w:r>
      <w:r w:rsidRPr="002F051C">
        <w:fldChar w:fldCharType="separate"/>
      </w:r>
      <w:r w:rsidRPr="002F051C">
        <w:t>(23)</w:t>
      </w:r>
      <w:r w:rsidRPr="002F051C">
        <w:fldChar w:fldCharType="end"/>
      </w:r>
      <w:r w:rsidRPr="002F051C">
        <w:t xml:space="preserve">, and Strelka2 </w:t>
      </w:r>
      <w:r w:rsidRPr="002F051C">
        <w:fldChar w:fldCharType="begin" w:fldLock="1"/>
      </w:r>
      <w:r w:rsidRPr="002F051C">
        <w:instrText>ADDIN CSL_CITATION {"citationItems":[{"id":"ITEM-1","itemData":{"DOI":"10.1038/s41592-018-0051-x","ISSN":"1548-7105","abstract":"We describe Strelka2 (https://github.com/Illumina/strelka), an open-source small-variant-calling method for research and clinical germline and somatic sequencing applications. Strelka2 introduces a novel mixture-model-based estimation of insertion/deletion error parameters from each sample, an efficient tiered haplotype-modeling strategy, and a normal sample contamination model to improve liquid tumor analysis. For both germline and somatic calling, Strelka2 substantially outperformed the current leading tools in terms of both variant-calling accuracy and computing cost.","author":[{"dropping-particle":"","family":"Kim","given":"Sangtae","non-dropping-particle":"","parse-names":false,"suffix":""},{"dropping-particle":"","family":"Scheffler","given":"Konrad","non-dropping-particle":"","parse-names":false,"suffix":""},{"dropping-particle":"","family":"Halpern","given":"Aaron L","non-dropping-particle":"","parse-names":false,"suffix":""},{"dropping-particle":"","family":"Bekritsky","given":"Mitchell A","non-dropping-particle":"","parse-names":false,"suffix":""},{"dropping-particle":"","family":"Noh","given":"Eunho","non-dropping-particle":"","parse-names":false,"suffix":""},{"dropping-particle":"","family":"Källberg","given":"Morten","non-dropping-particle":"","parse-names":false,"suffix":""},{"dropping-particle":"","family":"Chen","given":"Xiaoyu","non-dropping-particle":"","parse-names":false,"suffix":""},{"dropping-particle":"","family":"Kim","given":"Yeonbin","non-dropping-particle":"","parse-names":false,"suffix":""},{"dropping-particle":"","family":"Beyter","given":"Doruk","non-dropping-particle":"","parse-names":false,"suffix":""},{"dropping-particle":"","family":"Krusche","given":"Peter","non-dropping-particle":"","parse-names":false,"suffix":""},{"dropping-particle":"","family":"Saunders","given":"Christopher T","non-dropping-particle":"","parse-names":false,"suffix":""}],"container-title":"Nature Methods","id":"ITEM-1","issue":"8","issued":{"date-parts":[["2018"]]},"page":"591-594","title":"Strelka2: fast and accurate calling of germline and somatic variants","type":"article-journal","volume":"15"},"uris":["http://www.mendeley.com/documents/?uuid=78ebcfb2-dc6d-4455-9214-4f55f81247b6"]}],"mendeley":{"formattedCitation":"(9)","plainTextFormattedCitation":"(9)","previouslyFormattedCitation":"&lt;sup&gt;9&lt;/sup&gt;"},"properties":{"noteIndex":0},"schema":"https://github.com/citation-style-language/schema/raw/master/csl-citation.json"}</w:instrText>
      </w:r>
      <w:r w:rsidRPr="002F051C">
        <w:fldChar w:fldCharType="separate"/>
      </w:r>
      <w:r w:rsidRPr="002F051C">
        <w:t>(9)</w:t>
      </w:r>
      <w:r w:rsidRPr="002F051C">
        <w:fldChar w:fldCharType="end"/>
      </w:r>
      <w:r w:rsidRPr="002F051C">
        <w:t xml:space="preserve"> each featured in two workflows. Manta </w:t>
      </w:r>
      <w:r w:rsidRPr="002F051C">
        <w:fldChar w:fldCharType="begin" w:fldLock="1"/>
      </w:r>
      <w:r w:rsidRPr="002F051C">
        <w:instrText>ADDIN CSL_CITATION {"citationItems":[{"id":"ITEM-1","itemData":{"DOI":"10.1093/bioinformatics/btv710","ISBN":"1367-4811 (Electronic)\\r1367-4803 (Linking)","ISSN":"14602059","PMID":"26647377","abstract":": We describe Manta, a method to discover structural variants and indels from next generation sequencing data. Manta is optimized for rapid germline and somatic analysis, calling structural variants, medium-sized indels and large insertions on standard compute hardware in less than a tenth of the time that comparable methods require to identify only subsets of these variant types: for example NA12878 at 50× genomic coverage is analyzed in less than 20 min. Manta can discover and score variants based on supporting paired and split-read evidence, with scoring models optimized for germline analysis of diploid individuals and somatic analysis of tumor-normal sample pairs. Call quality is similar to or better than comparable methods, as determined by pedigree consistency of germline calls and comparison of somatic calls to COSMIC database variants. Manta consistently assembles a higher fraction of its calls to base-pair resolution, allowing for improved downstream annotation and analysis of clinical significance. We provide Manta as a community resource to facilitate practical and routine structural variant analysis in clinical and research sequencing scenarios. AVAILABILITY AND IMPLEMENTATION Manta is released under the open-source GPLv3 license. Source code, documentation and Linux binaries are available from https://github.com/Illumina/manta. CONTACT csaunders@illumina.comSupplementary information: Supplementary data are available at Bioinformatics online.","author":[{"dropping-particle":"","family":"Chen","given":"Xiaoyu","non-dropping-particle":"","parse-names":false,"suffix":""},{"dropping-particle":"","family":"Schulz-Trieglaff","given":"Ole","non-dropping-particle":"","parse-names":false,"suffix":""},{"dropping-particle":"","family":"Shaw","given":"Richard","non-dropping-particle":"","parse-names":false,"suffix":""},{"dropping-particle":"","family":"Barnes","given":"Bret","non-dropping-particle":"","parse-names":false,"suffix":""},{"dropping-particle":"","family":"Schlesinger","given":"Felix","non-dropping-particle":"","parse-names":false,"suffix":""},{"dropping-particle":"","family":"Källberg","given":"Morten","non-dropping-particle":"","parse-names":false,"suffix":""},{"dropping-particle":"","family":"Cox","given":"Anthony J.","non-dropping-particle":"","parse-names":false,"suffix":""},{"dropping-particle":"","family":"Kruglyak","given":"Semyon","non-dropping-particle":"","parse-names":false,"suffix":""},{"dropping-particle":"","family":"Saunders","given":"Christopher T.","non-dropping-particle":"","parse-names":false,"suffix":""}],"container-title":"Bioinformatics","id":"ITEM-1","issue":"8","issued":{"date-parts":[["2016"]]},"page":"1220-1222","title":"Manta: Rapid detection of structural variants and indels for germline and cancer sequencing applications","type":"article-journal","volume":"32"},"uris":["http://www.mendeley.com/documents/?uuid=a44922d9-efb3-4e8f-9ba2-5149b7a857d6"]}],"mendeley":{"formattedCitation":"(24)","plainTextFormattedCitation":"(24)","previouslyFormattedCitation":"&lt;sup&gt;24&lt;/sup&gt;"},"properties":{"noteIndex":0},"schema":"https://github.com/citation-style-language/schema/raw/master/csl-citation.json"}</w:instrText>
      </w:r>
      <w:r w:rsidRPr="002F051C">
        <w:fldChar w:fldCharType="separate"/>
      </w:r>
      <w:r w:rsidRPr="002F051C">
        <w:t>(24)</w:t>
      </w:r>
      <w:r w:rsidRPr="002F051C">
        <w:fldChar w:fldCharType="end"/>
      </w:r>
      <w:r w:rsidRPr="002F051C">
        <w:t xml:space="preserve"> and Pindel </w:t>
      </w:r>
      <w:r w:rsidRPr="002F051C">
        <w:fldChar w:fldCharType="begin" w:fldLock="1"/>
      </w:r>
      <w:r w:rsidRPr="002F051C">
        <w:instrText>ADDIN CSL_CITATION {"citationItems":[{"id":"ITEM-1","itemData":{"DOI":"10.1093/bioinformatics/btp394","ISBN":"1367-4811 (Electronic)\\r1367-4803 (Linking)","ISSN":"13674803","PMID":"19561018","abstract":"MOTIVATION: There is a strong demand in the genomic community to develop effective algorithms to reliably identify genomic variants. Indel detection using next-gen data is difficult and identification of long structural variations is extremely challenging. RESULTS: We present Pindel, a pattern growth approach, to detect breakpoints of large deletions and medium-sized insertions from paired-end short reads. We use both simulated reads and real data to demonstrate the efficiency of the computer program and accuracy of the results. AVAILABILITY: The binary code and a short user manual can be freely downloaded from http://www.ebi.ac.uk/ approximately kye/pindel/. CONTACT: k.ye@lumc.nl; zn1@sanger.ac.uk.","author":[{"dropping-particle":"","family":"Ye","given":"Kai","non-dropping-particle":"","parse-names":false,"suffix":""},{"dropping-particle":"","family":"Schulz","given":"Marcel H.","non-dropping-particle":"","parse-names":false,"suffix":""},{"dropping-particle":"","family":"Long","given":"Quan","non-dropping-particle":"","parse-names":false,"suffix":""},{"dropping-particle":"","family":"Apweiler","given":"Rolf","non-dropping-particle":"","parse-names":false,"suffix":""},{"dropping-particle":"","family":"Ning","given":"Zemin","non-dropping-particle":"","parse-names":false,"suffix":""}],"container-title":"Bioinformatics","id":"ITEM-1","issue":"21","issued":{"date-parts":[["2009"]]},"page":"2865-2871","title":"Pindel: A pattern growth approach to detect break points of large deletions and medium sized insertions from paired-end short reads","type":"article-journal","volume":"25"},"uris":["http://www.mendeley.com/documents/?uuid=b93a4f35-be5d-4473-8d8d-eba972c8aa4b"]}],"mendeley":{"formattedCitation":"(25)","plainTextFormattedCitation":"(25)","previouslyFormattedCitation":"&lt;sup&gt;25&lt;/sup&gt;"},"properties":{"noteIndex":0},"schema":"https://github.com/citation-style-language/schema/raw/master/csl-citation.json"}</w:instrText>
      </w:r>
      <w:r w:rsidRPr="002F051C">
        <w:fldChar w:fldCharType="separate"/>
      </w:r>
      <w:r w:rsidRPr="002F051C">
        <w:t>(25)</w:t>
      </w:r>
      <w:r w:rsidRPr="002F051C">
        <w:fldChar w:fldCharType="end"/>
      </w:r>
      <w:r w:rsidRPr="002F051C">
        <w:t xml:space="preserve"> structural variant callers were also used, but were not evaluated, as the benchmark focused on small variants, i.e. SNPs and indels with length &lt;50 base pairs. </w:t>
      </w:r>
    </w:p>
    <w:p w14:paraId="3845D896" w14:textId="77777777" w:rsidR="002F051C" w:rsidRPr="002F051C" w:rsidRDefault="002F051C" w:rsidP="002F051C">
      <w:pPr>
        <w:pStyle w:val="PaperParagraph"/>
      </w:pPr>
      <w:r w:rsidRPr="002F051C">
        <w:lastRenderedPageBreak/>
        <w:t xml:space="preserve">Precision/recall and pseudo-ROC curves were used to evaluate the detection of SNPs, insertions and deletions. Pseudo-ROC curves are plots of descending false discovery rate (FDR) vs. true positive rate (recall). To produce the curves, VCF calls are ranked using a caller-provided quantitative score. These were TLOD, SSC, QSS/QSI for MuTect2, VarScan2 and Strelka2, respectively. These rankings allowed us to order the calls for the FDR and TPR calculations. Python scripts were used to calculate the relevant metrics. </w:t>
      </w:r>
    </w:p>
    <w:p w14:paraId="6A92C4C3" w14:textId="77777777" w:rsidR="002F051C" w:rsidRPr="002F051C" w:rsidRDefault="002F051C" w:rsidP="002F051C">
      <w:pPr>
        <w:pStyle w:val="PaperParagraph"/>
      </w:pPr>
      <w:r w:rsidRPr="002F051C">
        <w:t xml:space="preserve">For all the submitted workflows, default parameters were used as specified by the workflow authors. Details are provided in the workflows that are accessible through the CGC upon request. </w:t>
      </w:r>
    </w:p>
    <w:p w14:paraId="38C7F6AE" w14:textId="77777777" w:rsidR="002F051C" w:rsidRDefault="002F051C">
      <w:pPr>
        <w:spacing w:line="276" w:lineRule="auto"/>
        <w:rPr>
          <w:b/>
          <w:bCs/>
          <w:sz w:val="32"/>
          <w:szCs w:val="32"/>
        </w:rPr>
      </w:pPr>
      <w:r>
        <w:br w:type="page"/>
      </w:r>
    </w:p>
    <w:p w14:paraId="6EE6B36B" w14:textId="6D3D3817" w:rsidR="00B61283" w:rsidRPr="009C0AD1" w:rsidRDefault="00B61283" w:rsidP="00B61283">
      <w:pPr>
        <w:pStyle w:val="Heading1"/>
        <w:spacing w:after="200"/>
      </w:pPr>
      <w:bookmarkStart w:id="72" w:name="_Toc27885961"/>
      <w:r w:rsidRPr="006C56CC">
        <w:lastRenderedPageBreak/>
        <w:t>Supplementary Materials</w:t>
      </w:r>
      <w:r>
        <w:t xml:space="preserve"> </w:t>
      </w:r>
      <w:r w:rsidR="006E7A31">
        <w:t>5</w:t>
      </w:r>
      <w:r>
        <w:t xml:space="preserve">: </w:t>
      </w:r>
      <w:r w:rsidRPr="009C0AD1">
        <w:t>Comparison of Tumor-normal whole exome workflow performance for each of the submitted workflows</w:t>
      </w:r>
      <w:bookmarkEnd w:id="72"/>
    </w:p>
    <w:p w14:paraId="07D6EB2F" w14:textId="58B8AD03" w:rsidR="00B61283" w:rsidRPr="00B61283" w:rsidRDefault="00B61283" w:rsidP="00B61283">
      <w:pPr>
        <w:pStyle w:val="PaperParagraph"/>
      </w:pPr>
      <w:r w:rsidRPr="00F13C7C">
        <w:t xml:space="preserve">All reads were required to meet the quality control cutoff that at least half of the nt positions have &gt;20 phred base quality. We removed adaptors using Trimmomatic v 0.36 </w:t>
      </w:r>
      <w:hyperlink r:id="rId21">
        <w:r w:rsidRPr="00F13C7C">
          <w:t>(Bolger et al. 2014)</w:t>
        </w:r>
      </w:hyperlink>
      <w:r w:rsidRPr="00F13C7C">
        <w:t xml:space="preserve">. Trimmed reads were aligned to the human genome (build GRCh38.p5) using bwakit v0.7.15 </w:t>
      </w:r>
      <w:hyperlink r:id="rId22">
        <w:r w:rsidRPr="00F13C7C">
          <w:t>(Li and Durbin 2009)</w:t>
        </w:r>
      </w:hyperlink>
      <w:r w:rsidRPr="00F13C7C">
        <w:t xml:space="preserve">. Mouse reads were removed with xenome v 1.0.0 </w:t>
      </w:r>
      <w:hyperlink r:id="rId23">
        <w:r w:rsidRPr="00F13C7C">
          <w:t>(Conway et al. 2012)</w:t>
        </w:r>
      </w:hyperlink>
      <w:r w:rsidRPr="00F13C7C">
        <w:t xml:space="preserve"> at default parameters. The alignments were converted to BAM format using Picard SortSam v 1.140 (</w:t>
      </w:r>
      <w:hyperlink r:id="rId24">
        <w:r w:rsidRPr="00F13C7C">
          <w:t>https://broadinstitute.github.io/picard/</w:t>
        </w:r>
      </w:hyperlink>
      <w:r w:rsidRPr="00F13C7C">
        <w:t xml:space="preserve">), and duplicates were removed by the Picard MarkDuplicates utility. BaseRecalibrator from the Genome Analysis Tool Kit (GATK) v4.0.5.1 </w:t>
      </w:r>
      <w:r w:rsidRPr="00F13C7C">
        <w:fldChar w:fldCharType="begin" w:fldLock="1"/>
      </w:r>
      <w:r w:rsidRPr="00F13C7C">
        <w:instrText>ADDIN CSL_CITATION {"citationItems":[{"id":"ITEM-1","itemData":{"author":[{"dropping-particle":"","family":"DePristo","given":"Mark A","non-dropping-particle":"","parse-names":false,"suffix":""},{"dropping-particle":"","family":"Banks","given":"Eric","non-dropping-particle":"","parse-names":false,"suffix":""},{"dropping-particle":"","family":"Poplin","given":"Ryan","non-dropping-particle":"","parse-names":false,"suffix":""},{"dropping-particle":"V","family":"Garimella","given":"Kiran","non-dropping-particle":"","parse-names":false,"suffix":""},{"dropping-particle":"","family":"Maguire","given":"Jared R","non-dropping-particle":"","parse-names":false,"suffix":""},{"dropping-particle":"","family":"Hartl","given":"Christopher","non-dropping-particle":"","parse-names":false,"suffix":""},{"dropping-particle":"","family":"Philippakis","given":"Anthony A","non-dropping-particle":"","parse-names":false,"suffix":""},{"dropping-particle":"","family":"Angel","given":"Guillermo","non-dropping-particle":"del","parse-names":false,"suffix":""},{"dropping-particle":"","family":"Rivas","given":"Manuel A","non-dropping-particle":"","parse-names":false,"suffix":""},{"dropping-particle":"","family":"Hanna","given":"Matt","non-dropping-particle":"","parse-names":false,"suffix":""},{"dropping-particle":"","family":"McKenna","given":"Aaron","non-dropping-particle":"","parse-names":false,"suffix":""},{"dropping-particle":"","family":"Fennell","given":"Tim J","non-dropping-particle":"","parse-names":false,"suffix":""},{"dropping-particle":"","family":"Kernytsky","given":"Andrew M","non-dropping-particle":"","parse-names":false,"suffix":""},{"dropping-particle":"","family":"Sivachenko","given":"Andrey Y","non-dropping-particle":"","parse-names":false,"suffix":""},{"dropping-particle":"","family":"Cibulskis","given":"Kristian","non-dropping-particle":"","parse-names":false,"suffix":""},{"dropping-particle":"","family":"Gabriel","given":"Stacey B","non-dropping-particle":"","parse-names":false,"suffix":""},{"dropping-particle":"","family":"Altshuler","given":"David","non-dropping-particle":"","parse-names":false,"suffix":""},{"dropping-particle":"","family":"Daly","given":"Mark J","non-dropping-particle":"","parse-names":false,"suffix":""}],"container-title":"Nature Genetics","id":"ITEM-1","issued":{"date-parts":[["2011","4","10"]]},"page":"491","publisher":"Nature Publishing Group, a division of Macmillan Publishers Limited. All Rights Reserved.","title":"A framework for variation discovery and genotyping using next-generation DNA sequencing data","type":"article-journal","volume":"43"},"uris":["http://www.mendeley.com/documents/?uuid=84e974d6-9bca-4d5f-be51-b07dfaa8a709"]},{"id":"ITEM-2","itemData":{"DOI":"doi: 10.1101/gr.107524.110","abstract":"Next-generation DNA sequencing (NGS) projects, such as the 1000 Genomes Project, are already revolutionizing our understanding of genetic variation among individuals. However, the massive data sets generated by NGS—the 1000 Genome pilot alone includes nearly five terabases—make writing feature-rich, efficient, and robust analysis tools difficult for even computationally sophisticated individuals. Indeed, many professionals are limited in the scope and the ease with which they can answer scientific questions by the complexity of accessing and manipulating the data produced by these machines. Here, we discuss our Genome Analysis Toolkit (GATK), a structured programming framework designed to ease the development of efficient and robust analysis tools for next-generation DNA sequencers using the functional programming philosophy of MapReduce. The GATK provides a small but rich set of data access patterns that encompass the majority of analysis tool needs. Separating specific analysis calculations from common data management infrastructure enables us to optimize the GATK framework for correctness, stability, and CPU and memory efficiency and to enable distributed and shared memory parallelization. We highlight the capabilities of the GATK by describing the implementation and application of robust, scale-tolerant tools like coverage calculators and single nucleotide polymorphism (SNP) calling. We conclude that the GATK programming framework enables developers and analysts to quickly and easily write efficient and robust NGS tools, many of which have already been incorporated into large-scale sequencing projects like the 1000 Genomes Project and The Cancer Genome Atlas.","author":[{"dropping-particle":"","family":"McKenna","given":"A1","non-dropping-particle":"","parse-names":false,"suffix":""},{"dropping-particle":"","family":"Hanna","given":"M","non-dropping-particle":"","parse-names":false,"suffix":""},{"dropping-particle":"","family":"Banks","given":"E","non-dropping-particle":"","parse-names":false,"suffix":""},{"dropping-particle":"","family":"Sivachenko","given":"A","non-dropping-particle":"","parse-names":false,"suffix":""},{"dropping-particle":"","family":"Cibulskis","given":"K","non-dropping-particle":"","parse-names":false,"suffix":""},{"dropping-particle":"","family":"Kernytsky","given":"A","non-dropping-particle":"","parse-names":false,"suffix":""},{"dropping-particle":"","family":"Garimella","given":"K","non-dropping-particle":"","parse-names":false,"suffix":""},{"dropping-particle":"","family":"Altshuler","given":"D","non-dropping-particle":"","parse-names":false,"suffix":""},{"dropping-particle":"","family":"Gabriel","given":"S","non-dropping-particle":"","parse-names":false,"suffix":""},{"dropping-particle":"","family":"Daly","given":"M","non-dropping-particle":"","parse-names":false,"suffix":""},{"dropping-particle":"","family":"DePristo","given":"MA","non-dropping-particle":"","parse-names":false,"suffix":""}],"container-title":"Genome Res.","id":"ITEM-2","issue":"9","issued":{"date-parts":[["2010"]]},"page":"1297-303","title":"The Genome Analysis Toolkit: A MapReduce framework for analyzing next-generation DNA sequencing data","type":"article-journal","volume":"20"},"uris":["http://www.mendeley.com/documents/?uuid=fa8fff4d-4941-4abe-8c6c-7efa1e18fc23"]}],"mendeley":{"formattedCitation":"(26,27)","plainTextFormattedCitation":"(26,27)","previouslyFormattedCitation":"&lt;sup&gt;26,27&lt;/sup&gt;"},"properties":{"noteIndex":0},"schema":"https://github.com/citation-style-language/schema/raw/master/csl-citation.json"}</w:instrText>
      </w:r>
      <w:r w:rsidRPr="00F13C7C">
        <w:fldChar w:fldCharType="separate"/>
      </w:r>
      <w:r w:rsidRPr="00F13C7C">
        <w:t>(26,27)</w:t>
      </w:r>
      <w:r w:rsidRPr="00F13C7C">
        <w:fldChar w:fldCharType="end"/>
      </w:r>
      <w:r w:rsidRPr="00F13C7C">
        <w:t xml:space="preserve"> was used to adjust the quality of raw reads. Training files for the base quality scale recalibration were Mills_and_1000G_gold_standard.indels.hg38.vcf.gz, Homo_sapiens_assembly38.known_indels.vcf.gz, and dbSNP v151. Mean target coverage was determined for each sample by Picard CollectHsMetrics, and a MultiQC </w:t>
      </w:r>
      <w:r w:rsidRPr="00F13C7C">
        <w:fldChar w:fldCharType="begin" w:fldLock="1"/>
      </w:r>
      <w:r w:rsidRPr="00F13C7C">
        <w:instrText>ADDIN CSL_CITATION {"citationItems":[{"id":"ITEM-1","itemData":{"DOI":"10.1093/bioinformatics/btw354","ISSN":"14602059","abstract":"MOTIVATION Fast and accurate quality control is essential for studies involving next-generation sequencing data. Whilst numerous tools exist to quantify QC metrics, there is no common approach to flexibly integrate these across tools and large sample sets. Assessing analysis results across an entire project can be time consuming and error prone; batch effects and outlier samples can easily be missed in the early stages of analysis. RESULTS We present MultiQC, a tool to create a single report visualising output from multiple tools across many samples, enabling global trends and biases to be quickly identified. MultiQC can plot data from many common bioinformatics tools and is built to allow easy extension and customization. AVAILABILITY MultiQC is available with an GNU GPLv3 license on GitHub, the Python Package Index and Bioconda. Documentation and example reports available at http://multiqc.info CONTACT: phil.ewels@scilifelab.se.","author":[{"dropping-particle":"","family":"Ewels","given":"Philip","non-dropping-particle":"","parse-names":false,"suffix":""},{"dropping-particle":"","family":"Magnusson","given":"Måns","non-dropping-particle":"","parse-names":false,"suffix":""},{"dropping-particle":"","family":"Lundin","given":"Sverker","non-dropping-particle":"","parse-names":false,"suffix":""},{"dropping-particle":"","family":"Käller","given":"Max","non-dropping-particle":"","parse-names":false,"suffix":""}],"container-title":"Bioinformatics","id":"ITEM-1","issue":"19","issued":{"date-parts":[["2016"]]},"page":"3047-3048","title":"MultiQC: Summarize analysis results for multiple tools and samples in a single report","type":"article-journal","volume":"32"},"uris":["http://www.mendeley.com/documents/?uuid=4d2da507-ba99-44d0-89ab-a630b178f31c"]}],"mendeley":{"formattedCitation":"(28)","plainTextFormattedCitation":"(28)","previouslyFormattedCitation":"&lt;sup&gt;28&lt;/sup&gt;"},"properties":{"noteIndex":0},"schema":"https://github.com/citation-style-language/schema/raw/master/csl-citation.json"}</w:instrText>
      </w:r>
      <w:r w:rsidRPr="00F13C7C">
        <w:fldChar w:fldCharType="separate"/>
      </w:r>
      <w:r w:rsidRPr="00F13C7C">
        <w:t>(28)</w:t>
      </w:r>
      <w:r w:rsidRPr="00F13C7C">
        <w:fldChar w:fldCharType="end"/>
      </w:r>
      <w:r w:rsidRPr="00F13C7C">
        <w:t xml:space="preserve"> report was generated. Aligned BAM files were indexed by GATK and passed to GATK Mutect2 v 4.0.5.1. Variants were called in Mutect2 using the Exome Aggregation Consortium </w:t>
      </w:r>
      <w:r w:rsidRPr="00F13C7C">
        <w:fldChar w:fldCharType="begin" w:fldLock="1"/>
      </w:r>
      <w:r w:rsidRPr="00F13C7C">
        <w:instrText>ADDIN CSL_CITATION {"citationItems":[{"id":"ITEM-1","itemData":{"DOI":"10.1038/nature19057.Analysis","author":[{"dropping-particle":"","family":"M","given":"Lek","non-dropping-particle":"","parse-names":false,"suffix":""},{"dropping-particle":"","family":"KJ","given":"Karczewski","non-dropping-particle":"","parse-names":false,"suffix":""},{"dropping-particle":"","family":"EV","given":"Minikel","non-dropping-particle":"","parse-names":false,"suffix":""},{"dropping-particle":"","family":"KE","given":"Samocha","non-dropping-particle":"","parse-names":false,"suffix":""},{"dropping-particle":"","family":"E","given":"Banks","non-dropping-particle":"","parse-names":false,"suffix":""},{"dropping-particle":"","family":"T","given":"Fennell","non-dropping-particle":"","parse-names":false,"suffix":""},{"dropping-particle":"","family":"AH","given":"O'Donnell-Luria","non-dropping-particle":"","parse-names":false,"suffix":""},{"dropping-particle":"","family":"JS","given":"Ware","non-dropping-particle":"","parse-names":false,"suffix":""},{"dropping-particle":"","family":"AJ","given":"Hill","non-dropping-particle":"","parse-names":false,"suffix":""},{"dropping-particle":"","family":"BB","given":"Cummings","non-dropping-particle":"","parse-names":false,"suffix":""},{"dropping-particle":"","family":"T","given":"Tukiainen","non-dropping-particle":"","parse-names":false,"suffix":""},{"dropping-particle":"","family":"DP","given":"Birnbaum","non-dropping-particle":"","parse-names":false,"suffix":""},{"dropping-particle":"","family":"JA","given":"Kosmicki","non-dropping-particle":"","parse-names":false,"suffix":""},{"dropping-particle":"","family":"LE","given":"Duncan","non-dropping-particle":"","parse-names":false,"suffix":""},{"dropping-particle":"","family":"K","given":"Estrada","non-dropping-particle":"","parse-names":false,"suffix":""},{"dropping-particle":"","family":"F","given":"Zhao","non-dropping-particle":"","parse-names":false,"suffix":""},{"dropping-particle":"","family":"J","given":"Zou","non-dropping-particle":"","parse-names":false,"suffix":""},{"dropping-particle":"","family":"E","given":"Pierce-Hoffman","non-dropping-particle":"","parse-names":false,"suffix":""},{"dropping-particle":"","family":"J","given":"Berghout","non-dropping-particle":"","parse-names":false,"suffix":""},{"dropping-particle":"","family":"DN","given":"Cooper","non-dropping-particle":"","parse-names":false,"suffix":""},{"dropping-particle":"","family":"N17","given":"Deflaux","non-dropping-particle":"","parse-names":false,"suffix":""},{"dropping-particle":"","family":"M","given":"DePristo","non-dropping-particle":"","parse-names":false,"suffix":""},{"dropping-particle":"","family":"R","given":"Do","non-dropping-particle":"","parse-names":false,"suffix":""},{"dropping-particle":"","family":"J","given":"Flannick","non-dropping-particle":"","parse-names":false,"suffix":""},{"dropping-particle":"","family":"M","given":"Fromer","non-dropping-particle":"","parse-names":false,"suffix":""},{"dropping-particle":"","family":"L","given":"Gauthier","non-dropping-particle":"","parse-names":false,"suffix":""},{"dropping-particle":"","family":"J","given":"Goldstein","non-dropping-particle":"","parse-names":false,"suffix":""},{"dropping-particle":"","family":"N2","given":"Gupta","non-dropping-particle":"","parse-names":false,"suffix":""},{"dropping-particle":"","family":"D","given":"Howrigan","non-dropping-particle":"","parse-names":false,"suffix":""},{"dropping-particle":"","family":"A","given":"Kiezun","non-dropping-particle":"","parse-names":false,"suffix":""},{"dropping-particle":"","family":"M","given":"Kurki","non-dropping-particle":"","parse-names":false,"suffix":""},{"dropping-particle":"","family":"AL","given":"Moonshine","non-dropping-particle":"","parse-names":false,"suffix":""},{"dropping-particle":"","family":"P","given":"Natarajan","non-dropping-particle":"","parse-names":false,"suffix":""},{"dropping-particle":"","family":"L","given":"Orozco","non-dropping-particle":"","parse-names":false,"suffix":""},{"dropping-particle":"","family":"GM","given":"Peloso","non-dropping-particle":"","parse-names":false,"suffix":""},{"dropping-particle":"","family":"R","given":"Poplin","non-dropping-particle":"","parse-names":false,"suffix":""},{"dropping-particle":"","family":"MA","given":"Rivas","non-dropping-particle":"","parse-names":false,"suffix":""},{"dropping-particle":"","family":"V","given":"Ruano-Rubio","non-dropping-particle":"","parse-names":false,"suffix":""},{"dropping-particle":"","family":"SA","given":"Rose","non-dropping-particle":"","parse-names":false,"suffix":""},{"dropping-particle":"","family":"DM","given":"Ruderfer","non-dropping-particle":"","parse-names":false,"suffix":""},{"dropping-particle":"","family":"K","given":"Shakir","non-dropping-particle":"","parse-names":false,"suffix":""},{"dropping-particle":"","family":"PD","given":"Stenson","non-dropping-particle":"","parse-names":false,"suffix":""},{"dropping-particle":"","family":"C2","given":"Stevens","non-dropping-particle":"","parse-names":false,"suffix":""},{"dropping-particle":"","family":"BP","given":"Thomas","non-dropping-particle":"","parse-names":false,"suffix":""},{"dropping-particle":"","family":"Tiao","given":"G","non-dropping-particle":"","parse-names":false,"suffix":""},{"dropping-particle":"","family":"Tusie-Luna","given":"MT","non-dropping-particle":"","parse-names":false,"suffix":""},{"dropping-particle":"","family":"Weisburd","given":"B","non-dropping-particle":"","parse-names":false,"suffix":""},{"dropping-particle":"","family":"Won","given":"HH","non-dropping-particle":"","parse-names":false,"suffix":""},{"dropping-particle":"","family":"Yu","given":"D","non-dropping-particle":"","parse-names":false,"suffix":""},{"dropping-particle":"","family":"Altshuler","given":"DM","non-dropping-particle":"","parse-names":false,"suffix":""},{"dropping-particle":"","family":"Ardissino","given":"D","non-dropping-particle":"","parse-names":false,"suffix":""},{"dropping-particle":"","family":"Boehnke","given":"M","non-dropping-particle":"","parse-names":false,"suffix":""},{"dropping-particle":"","family":"Danesh","given":"J","non-dropping-particle":"","parse-names":false,"suffix":""},{"dropping-particle":"","family":"Donnelly","given":"S","non-dropping-particle":"","parse-names":false,"suffix":""},{"dropping-particle":"","family":"Elosua","given":"R","non-dropping-particle":"","parse-names":false,"suffix":""},{"dropping-particle":"","family":"Florez","given":"JC","non-dropping-particle":"","parse-names":false,"suffix":""},{"dropping-particle":"","family":"Gabriel","given":"SB","non-dropping-particle":"","parse-names":false,"suffix":""},{"dropping-particle":"","family":"Getz","given":"G","non-dropping-particle":"","parse-names":false,"suffix":""},{"dropping-particle":"","family":"Glatt","given":"SJ","non-dropping-particle":"","parse-names":false,"suffix":""},{"dropping-particle":"","family":"Hultman","given":"CM","non-dropping-particle":"","parse-names":false,"suffix":""},{"dropping-particle":"","family":"Kathiresan","given":"S","non-dropping-particle":"","parse-names":false,"suffix":""},{"dropping-particle":"","family":"Laakso","given":"M","non-dropping-particle":"","parse-names":false,"suffix":""},{"dropping-particle":"","family":"McCarroll","given":"S","non-dropping-particle":"","parse-names":false,"suffix":""},{"dropping-particle":"","family":"McCarthy","given":"MI","non-dropping-particle":"","parse-names":false,"suffix":""},{"dropping-particle":"","family":"McGovern","given":"D","non-dropping-particle":"","parse-names":false,"suffix":""},{"dropping-particle":"","family":"McPherson","given":"R","non-dropping-particle":"","parse-names":false,"suffix":""},{"dropping-particle":"","family":"Neale","given":"BM","non-dropping-particle":"","parse-names":false,"suffix":""},{"dropping-particle":"","family":"Palotie","given":"A","non-dropping-particle":"","parse-names":false,"suffix":""},{"dropping-particle":"","family":"Purcell","given":"SM","non-dropping-particle":"","parse-names":false,"suffix":""},{"dropping-particle":"","family":"Saleheen","given":"D","non-dropping-particle":"","parse-names":false,"suffix":""},{"dropping-particle":"","family":"Scharf","given":"JM","non-dropping-particle":"","parse-names":false,"suffix":""},{"dropping-particle":"","family":"Sklar","given":"P","non-dropping-particle":"","parse-names":false,"suffix":""},{"dropping-particle":"","family":"Sullivan","given":"PF","non-dropping-particle":"","parse-names":false,"suffix":""},{"dropping-particle":"","family":"Tuomilehto","given":"J","non-dropping-particle":"","parse-names":false,"suffix":""},{"dropping-particle":"","family":"Tsuang","given":"MT","non-dropping-particle":"","parse-names":false,"suffix":""},{"dropping-particle":"","family":"Watkins","given":"HC","non-dropping-particle":"","parse-names":false,"suffix":""},{"dropping-particle":"","family":"Wilson","given":"JG","non-dropping-particle":"","parse-names":false,"suffix":""},{"dropping-particle":"","family":"Daly","given":"MJ","non-dropping-particle":"","parse-names":false,"suffix":""},{"dropping-particle":"","family":"MacArthur","given":"DG","non-dropping-particle":"","parse-names":false,"suffix":""},{"dropping-particle":"","family":"Consortium","given":"Exome Aggregation","non-dropping-particle":"","parse-names":false,"suffix":""}],"container-title":"Nature","id":"ITEM-1","issue":"7616","issued":{"date-parts":[["2017"]]},"page":"285-291","title":"Analysis of protein-coding genetic variation in 60,706 humans","type":"article-journal","volume":"536"},"uris":["http://www.mendeley.com/documents/?uuid=98c874ce-3215-4d34-82da-d1daa34ab17f"]}],"mendeley":{"formattedCitation":"(29)","plainTextFormattedCitation":"(29)","previouslyFormattedCitation":"&lt;sup&gt;29&lt;/sup&gt;"},"properties":{"noteIndex":0},"schema":"https://github.com/citation-style-language/schema/raw/master/csl-citation.json"}</w:instrText>
      </w:r>
      <w:r w:rsidRPr="00F13C7C">
        <w:fldChar w:fldCharType="separate"/>
      </w:r>
      <w:r w:rsidRPr="00F13C7C">
        <w:t>(29)</w:t>
      </w:r>
      <w:r w:rsidRPr="00F13C7C">
        <w:fldChar w:fldCharType="end"/>
      </w:r>
      <w:r w:rsidRPr="00F13C7C">
        <w:t xml:space="preserve"> database lifted over to GRCh38 as a germline reference with the allele frequency of samples not in reference set to 0.0000082364. Variant calls were then filtered using GATK FilterMutectCalls v 4.0.5.1. Calls were segregated by chromosome with SnpSift Split v 4.3 </w:t>
      </w:r>
      <w:r w:rsidRPr="00F13C7C">
        <w:fldChar w:fldCharType="begin" w:fldLock="1"/>
      </w:r>
      <w:r w:rsidRPr="00F13C7C">
        <w:instrText>ADDIN CSL_CITATION {"citationItems":[{"id":"ITEM-1","itemData":{"DOI":"10.1016/S1877-1203(13)70353-7","ISBN":"1933-6942 (Electronic) 1933-6934 (Linking)","ISSN":"18771203","PMID":"22728672","abstract":"We describe a new computer program, SnpEff, for rapidly categorizing the effects of variants in genome sequences. Once a genome is sequenced, SnpEff annotates variants based on their genomic locations and predicts coding effects. Annotated genomic locations include intronic, untranslated region, upstream, downstream, splice site, or intergenic regions. Coding effects such as synonymous or non-synonymous amino acid replacement, start codon gains or losses, stop codon gains or losses, or frame shifts can be predicted. Here the use of SnpEff is illustrated by annotating ~356,660 candidate SNPs in ~117 Mb unique sequences, representing a substitution rate of ~1/305 nucleotides, between the Drosophila melanogaster w(1118); iso-2; iso-3 strain and the reference y(1); cn(1) bw(1) sp(1) strain. We show that ~15,842 SNPs are synonymous and ~4,467 SNPs are non-synonymous (N/S ~0.28). The remaining SNPs are in other categories, such as stop codon gains (38 SNPs), stop codon losses (8 SNPs), and start codon gains (297 SNPs) in the 5'UTR. We found, as expected, that the SNP frequency is proportional to the recombination frequency (i.e., highest in the middle of chromosome arms). We also found that start-gain or stop-lost SNPs in Drosophila melanogaster often result in additions of N-terminal or C-terminal amino acids that are conserved in other Drosophila species. It appears that the 5' and 3' UTRs are reservoirs for genetic variations that changes the termini of proteins during evolution of the Drosophila genus. As genome sequencing is becoming inexpensive and routine, SnpEff enables rapid analyses of whole-genome sequencing data to be performed by an individual laboratory.","author":[{"dropping-particle":"","family":"Cingolani P, Platts A, Wang le L, Coon M, Nguyen T, Wang L, Land SJ, Lu X","given":"Ruden DM.","non-dropping-particle":"","parse-names":false,"suffix":""},{"dropping-particle":"","family":"Cingolani","given":"Pablo","non-dropping-particle":"","parse-names":false,"suffix":""},{"dropping-particle":"","family":"Platts","given":"Adrian","non-dropping-particle":"","parse-names":false,"suffix":""},{"dropping-particle":"","family":"Wang","given":"Le Lily Luan","non-dropping-particle":"","parse-names":false,"suffix":""},{"dropping-particle":"","family":"Coon","given":"Melissa","non-dropping-particle":"","parse-names":false,"suffix":""},{"dropping-particle":"","family":"Nguyen","given":"Tung","non-dropping-particle":"","parse-names":false,"suffix":""},{"dropping-particle":"","family":"Wang","given":"Le Lily Luan","non-dropping-particle":"","parse-names":false,"suffix":""},{"dropping-particle":"","family":"Land","given":"Susan J.","non-dropping-particle":"","parse-names":false,"suffix":""},{"dropping-particle":"","family":"Lu","given":"Xiangyi","non-dropping-particle":"","parse-names":false,"suffix":""},{"dropping-particle":"","family":"Ruden","given":"Douglas M.","non-dropping-particle":"","parse-names":false,"suffix":""}],"container-title":"Fly","id":"ITEM-1","issue":"2","issued":{"date-parts":[["2012"]]},"page":"80-92","title":"A program for annotating and predicting the effects of single nucleotide polymorphisms, SnpEff: SNPs in the genome of Drosophila melanogaster strain w1118 ; iso-2; iso-3","type":"article-journal","volume":"6"},"uris":["http://www.mendeley.com/documents/?uuid=9b55fa60-56e8-4528-94de-36fa9de99807"]}],"mendeley":{"formattedCitation":"(30)","plainTextFormattedCitation":"(30)","previouslyFormattedCitation":"&lt;sup&gt;30&lt;/sup&gt;"},"properties":{"noteIndex":0},"schema":"https://github.com/citation-style-language/schema/raw/master/csl-citation.json"}</w:instrText>
      </w:r>
      <w:r w:rsidRPr="00F13C7C">
        <w:fldChar w:fldCharType="separate"/>
      </w:r>
      <w:r w:rsidRPr="00F13C7C">
        <w:t>(30)</w:t>
      </w:r>
      <w:r w:rsidRPr="00F13C7C">
        <w:fldChar w:fldCharType="end"/>
      </w:r>
      <w:r w:rsidRPr="00F13C7C">
        <w:t xml:space="preserve"> and annotated by SnpEff v 4.3 </w:t>
      </w:r>
      <w:r w:rsidRPr="00F13C7C">
        <w:fldChar w:fldCharType="begin" w:fldLock="1"/>
      </w:r>
      <w:r w:rsidRPr="00F13C7C">
        <w:instrText>ADDIN CSL_CITATION {"citationItems":[{"id":"ITEM-1","itemData":{"DOI":"10.3389/fgene.2012.00035","ISSN":"16648021","abstract":"This paper describes a new program SnpSift for filtering differential DNA sequence variants between two or more experimental genomes after genotoxic chemical exposure. Here, we illustrate how SnpSift can be used to identify candidate phenotype-relevant variants including single nucleotide polymorphisms, multiple nucleotide polymorphisms, insertions, and deletions (InDels) in mutant strains isolated from genome-wide chemical mutagenesis of Drosophila melanogaster. First, the genomes of two independently isolated mutant fly strains that are allelic for a novel recessive male-sterile locus generated by genotoxic chemical exposure were sequenced using the Illumina next-generation DNA sequencer to obtain 20- to 29-fold coverage of the euchromatic sequences. The sequencing reads were processed and variants were called using standard bioinformatic tools. Next, SnpEff was used to annotate all sequence variants and their potential mutational effects on associated genes. Then, SnpSift was used to filter and select differential variants that potentially disrupt a common gene in the two allelic mutant strains. The potential causative DNA lesions were partially validated by capillary sequencing of polymerase chain reaction-amplified DNA in the genetic interval as defined by meiotic mapping and deletions that remove defined regions of the chromosome. Of the five candidate genes located in the genetic interval, the Pka-like gene CG12069 was found to carry a separate pre-mature stop codon mutation in each of the two allelic mutants whereas the other four candidate genes within the interval have wild-type sequences. The Pka-like gene is therefore a strong candidate gene for the male-sterile locus. These results demonstrate that combining SnpEff and SnpSift can expedite the identification of candidate phenotype-causative mutations in chemically mutagenized Drosophila strains. This technique can also be used to characterize the variety of mutations generated by genotoxic chemicals. © 2012 Cingolani, Patel, Coon, Nguyen, Land, Ruden and Lu.","author":[{"dropping-particle":"","family":"Cingolani","given":"Pablo","non-dropping-particle":"","parse-names":false,"suffix":""},{"dropping-particle":"","family":"Patel","given":"Viral M.","non-dropping-particle":"","parse-names":false,"suffix":""},{"dropping-particle":"","family":"Coon","given":"Melissa","non-dropping-particle":"","parse-names":false,"suffix":""},{"dropping-particle":"","family":"Nguyen","given":"Tung","non-dropping-particle":"","parse-names":false,"suffix":""},{"dropping-particle":"","family":"Land","given":"Susan J.","non-dropping-particle":"","parse-names":false,"suffix":""},{"dropping-particle":"","family":"Ruden","given":"Douglas M.","non-dropping-particle":"","parse-names":false,"suffix":""},{"dropping-particle":"","family":"Lu","given":"Xiangyi","non-dropping-particle":"","parse-names":false,"suffix":""}],"container-title":"Frontiers in Genetics","id":"ITEM-1","issue":"MAR","issued":{"date-parts":[["2012"]]},"page":"1-9","title":"Using Drosophila melanogaster as a model for genotoxic chemical mutational studies with a new program, SnpSift","type":"article-journal","volume":"3"},"uris":["http://www.mendeley.com/documents/?uuid=84d2f208-692d-4923-8df1-bb3b60074e8c"]}],"mendeley":{"formattedCitation":"(31)","plainTextFormattedCitation":"(31)","previouslyFormattedCitation":"&lt;sup&gt;31&lt;/sup&gt;"},"properties":{"noteIndex":0},"schema":"https://github.com/citation-style-language/schema/raw/master/csl-citation.json"}</w:instrText>
      </w:r>
      <w:r w:rsidRPr="00F13C7C">
        <w:fldChar w:fldCharType="separate"/>
      </w:r>
      <w:r w:rsidRPr="00F13C7C">
        <w:t>(31)</w:t>
      </w:r>
      <w:r w:rsidRPr="00F13C7C">
        <w:fldChar w:fldCharType="end"/>
      </w:r>
      <w:r w:rsidRPr="00F13C7C">
        <w:t xml:space="preserve"> using the snpEff v4.3 GRCh38 database. Two additional annotations of variant calls were done with SnpSift dbNSFP using database dbNSFP3.2a, and with SnpSift Annotate using the catalogue of somatic mutations in cancer (COSMIC) v80 database </w:t>
      </w:r>
      <w:r w:rsidRPr="00F13C7C">
        <w:fldChar w:fldCharType="begin" w:fldLock="1"/>
      </w:r>
      <w:r w:rsidRPr="00F13C7C">
        <w:instrText>ADDIN CSL_CITATION {"citationItems":[{"id":"ITEM-1","itemData":{"DOI":"10.1093/nar/gky1015","ISSN":"13624962","abstract":"COSMIC, the Catalogue Of Somatic Mutations In Cancer (https://cancer.sanger.ac.uk) is the most detailed and comprehensive resource for exploring the effect of somatic mutations in human cancer. The latest release, COSMIC v86 (August 2018), includes almost 6 million coding mutations across 1.4 million tumour samples, curated from over 26 000 publications. In addition to coding mutations, COSMIC covers all the genetic mechanisms by which somatic mutations promote cancer, including non-coding mutations, gene fusions, copy-number variants and drug-resistance mutations. COSMIC is primarily hand-curated, ensuring quality, accuracy and descriptive data capture. Building on our manual curation processes, we are introducing new initiatives that allow us to prioritize key genes and diseases, and to react more quickly and comprehensively to new findings in the literature. Alongside improvements to the public website and data-download systems, new functionality in COSMIC-3D allows exploration of mutations within three-dimensional protein structures, their protein structural and functional impacts, and implications for druggability. In parallel with COSMIC's deep and broad variant coverage, the Cancer Gene Census (CGC) describes a curated catalogue of genes driving every form of human cancer. Currently describing 719 genes, the CGC has recently introduced functional descriptions of how each gene drives disease, summarized into the 10 cancer Hallmarks.","author":[{"dropping-particle":"","family":"Tate","given":"John G.","non-dropping-particle":"","parse-names":false,"suffix":""},{"dropping-particle":"","family":"Bamford","given":"Sally","non-dropping-particle":"","parse-names":false,"suffix":""},{"dropping-particle":"","family":"Jubb","given":"Harry C.","non-dropping-particle":"","parse-names":false,"suffix":""},{"dropping-particle":"","family":"Sondka","given":"Zbyslaw","non-dropping-particle":"","parse-names":false,"suffix":""},{"dropping-particle":"","family":"Beare","given":"David M.","non-dropping-particle":"","parse-names":false,"suffix":""},{"dropping-particle":"","family":"Bindal","given":"Nidhi","non-dropping-particle":"","parse-names":false,"suffix":""},{"dropping-particle":"","family":"Boutselakis","given":"Harry","non-dropping-particle":"","parse-names":false,"suffix":""},{"dropping-particle":"","family":"Cole","given":"Charlotte G.","non-dropping-particle":"","parse-names":false,"suffix":""},{"dropping-particle":"","family":"Creatore","given":"Celestino","non-dropping-particle":"","parse-names":false,"suffix":""},{"dropping-particle":"","family":"Dawson","given":"Elisabeth","non-dropping-particle":"","parse-names":false,"suffix":""},{"dropping-particle":"","family":"Fish","given":"Peter","non-dropping-particle":"","parse-names":false,"suffix":""},{"dropping-particle":"","family":"Harsha","given":"Bhavana","non-dropping-particle":"","parse-names":false,"suffix":""},{"dropping-particle":"","family":"Hathaway","given":"Charlie","non-dropping-particle":"","parse-names":false,"suffix":""},{"dropping-particle":"","family":"Jupe","given":"Steve C.","non-dropping-particle":"","parse-names":false,"suffix":""},{"dropping-particle":"","family":"Kok","given":"Chai Yin","non-dropping-particle":"","parse-names":false,"suffix":""},{"dropping-particle":"","family":"Noble","given":"Kate","non-dropping-particle":"","parse-names":false,"suffix":""},{"dropping-particle":"","family":"Ponting","given":"Laura","non-dropping-particle":"","parse-names":false,"suffix":""},{"dropping-particle":"","family":"Ramshaw","given":"Christopher C.","non-dropping-particle":"","parse-names":false,"suffix":""},{"dropping-particle":"","family":"Rye","given":"Claire E.","non-dropping-particle":"","parse-names":false,"suffix":""},{"dropping-particle":"","family":"Speedy","given":"Helen E.","non-dropping-particle":"","parse-names":false,"suffix":""},{"dropping-particle":"","family":"Stefancsik","given":"Ray","non-dropping-particle":"","parse-names":false,"suffix":""},{"dropping-particle":"","family":"Thompson","given":"Sam L.","non-dropping-particle":"","parse-names":false,"suffix":""},{"dropping-particle":"","family":"Wang","given":"Shicai","non-dropping-particle":"","parse-names":false,"suffix":""},{"dropping-particle":"","family":"Ward","given":"Sari","non-dropping-particle":"","parse-names":false,"suffix":""},{"dropping-particle":"","family":"Campbell","given":"Peter J.","non-dropping-particle":"","parse-names":false,"suffix":""},{"dropping-particle":"","family":"Forbes","given":"Simon A.","non-dropping-particle":"","parse-names":false,"suffix":""}],"container-title":"Nucleic Acids Research","id":"ITEM-1","issue":"D1","issued":{"date-parts":[["2019"]]},"page":"D941-D947","publisher":"Oxford University Press","title":"COSMIC: The Catalogue Of Somatic Mutations In Cancer","type":"article-journal","volume":"47"},"uris":["http://www.mendeley.com/documents/?uuid=4cc4d085-7300-466b-a506-35c7c198cada"]}],"mendeley":{"formattedCitation":"(32)","plainTextFormattedCitation":"(32)","previouslyFormattedCitation":"&lt;sup&gt;32&lt;/sup&gt;"},"properties":{"noteIndex":0},"schema":"https://github.com/citation-style-language/schema/raw/master/csl-citation.json"}</w:instrText>
      </w:r>
      <w:r w:rsidRPr="00F13C7C">
        <w:fldChar w:fldCharType="separate"/>
      </w:r>
      <w:r w:rsidRPr="00F13C7C">
        <w:t>(32)</w:t>
      </w:r>
      <w:r w:rsidRPr="00F13C7C">
        <w:fldChar w:fldCharType="end"/>
      </w:r>
      <w:r w:rsidRPr="00F13C7C">
        <w:t>. A reference implementation of this workflow is developed and deployed on the CGC.</w:t>
      </w:r>
      <w:r>
        <w:br w:type="page"/>
      </w:r>
    </w:p>
    <w:p w14:paraId="3BF961E7" w14:textId="496FE294" w:rsidR="007B2DE2" w:rsidRDefault="00133674" w:rsidP="00F13C7C">
      <w:pPr>
        <w:pStyle w:val="PaperParagraph"/>
      </w:pPr>
      <w:r>
        <w:lastRenderedPageBreak/>
        <w:t xml:space="preserve">The PDTCs submitted a total of five tumor-normal whole exome variant calling workflows. A summary of the tools used in each of the workflows is described in </w:t>
      </w:r>
      <w:r w:rsidR="00B70D11">
        <w:t xml:space="preserve">the </w:t>
      </w:r>
      <w:r w:rsidR="00B70D11" w:rsidRPr="0007354B">
        <w:rPr>
          <w:b/>
          <w:bCs/>
        </w:rPr>
        <w:t xml:space="preserve">Supplementary </w:t>
      </w:r>
      <w:r w:rsidRPr="0007354B">
        <w:rPr>
          <w:b/>
          <w:bCs/>
        </w:rPr>
        <w:t>Table</w:t>
      </w:r>
      <w:r w:rsidR="00B70D11" w:rsidRPr="0007354B">
        <w:rPr>
          <w:b/>
          <w:bCs/>
        </w:rPr>
        <w:t xml:space="preserve"> </w:t>
      </w:r>
      <w:r w:rsidR="00CC55D4" w:rsidRPr="0007354B">
        <w:rPr>
          <w:b/>
          <w:bCs/>
        </w:rPr>
        <w:t>2</w:t>
      </w:r>
      <w:r w:rsidRPr="0007354B">
        <w:rPr>
          <w:b/>
          <w:bCs/>
        </w:rPr>
        <w:t xml:space="preserve"> </w:t>
      </w:r>
      <w:r>
        <w:t xml:space="preserve">below. </w:t>
      </w:r>
      <w:r w:rsidR="00632997">
        <w:t xml:space="preserve">Wiring schematics for each of the submitted workflows are shown in </w:t>
      </w:r>
      <w:r w:rsidR="002B7BE3" w:rsidRPr="002B7BE3">
        <w:rPr>
          <w:b/>
        </w:rPr>
        <w:t xml:space="preserve">Supplementary </w:t>
      </w:r>
      <w:r w:rsidR="00632997" w:rsidRPr="002B7BE3">
        <w:rPr>
          <w:b/>
        </w:rPr>
        <w:t>Figure</w:t>
      </w:r>
      <w:r w:rsidR="002B7BE3" w:rsidRPr="002B7BE3">
        <w:rPr>
          <w:b/>
        </w:rPr>
        <w:t>s 12 and 13</w:t>
      </w:r>
      <w:r w:rsidR="00632997" w:rsidRPr="002B7BE3">
        <w:rPr>
          <w:b/>
        </w:rPr>
        <w:t>.</w:t>
      </w:r>
      <w:r w:rsidR="00632997">
        <w:t xml:space="preserve"> </w:t>
      </w:r>
      <w:r>
        <w:t>Detailed command lines that were used to execute each workflow can be made available upon request. Detailed description about tools that each workflow comprises of can also be made available upon request via access to the workflow(s) on the</w:t>
      </w:r>
      <w:r w:rsidR="004F23B2">
        <w:t xml:space="preserve"> CGC</w:t>
      </w:r>
      <w:r>
        <w:t>.</w:t>
      </w:r>
    </w:p>
    <w:p w14:paraId="692DA82B" w14:textId="77777777" w:rsidR="007B2DE2" w:rsidRDefault="007B2DE2" w:rsidP="00540250">
      <w:pPr>
        <w:widowControl w:val="0"/>
      </w:pPr>
    </w:p>
    <w:p w14:paraId="17995DE1" w14:textId="5207B051" w:rsidR="007B2DE2" w:rsidRPr="009C0AD1" w:rsidRDefault="00146C7D" w:rsidP="00540250">
      <w:pPr>
        <w:pStyle w:val="tableheader"/>
        <w:rPr>
          <w:b w:val="0"/>
          <w:bCs/>
        </w:rPr>
      </w:pPr>
      <w:r>
        <w:t xml:space="preserve">Supplementary </w:t>
      </w:r>
      <w:r w:rsidR="00133674">
        <w:t xml:space="preserve">Table </w:t>
      </w:r>
      <w:r w:rsidR="00411D03">
        <w:t>2</w:t>
      </w:r>
      <w:r w:rsidR="002B7BE3">
        <w:t xml:space="preserve">. </w:t>
      </w:r>
      <w:r w:rsidR="00133674" w:rsidRPr="009C0AD1">
        <w:rPr>
          <w:b w:val="0"/>
          <w:bCs/>
        </w:rPr>
        <w:t>Main components of Tumor-Normal Whole Exome Workflows submitted by PDTCs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460"/>
        <w:gridCol w:w="6900"/>
      </w:tblGrid>
      <w:tr w:rsidR="007B2DE2" w14:paraId="32119917" w14:textId="77777777" w:rsidTr="00F93CCF">
        <w:tc>
          <w:tcPr>
            <w:tcW w:w="2460" w:type="dxa"/>
            <w:tcBorders>
              <w:top w:val="single" w:sz="12" w:space="0" w:color="000000"/>
              <w:left w:val="single" w:sz="8" w:space="0" w:color="FFFFFF"/>
              <w:right w:val="single" w:sz="8" w:space="0" w:color="FFFFFF"/>
            </w:tcBorders>
            <w:shd w:val="clear" w:color="auto" w:fill="auto"/>
            <w:tcMar>
              <w:top w:w="100" w:type="dxa"/>
              <w:left w:w="100" w:type="dxa"/>
              <w:bottom w:w="100" w:type="dxa"/>
              <w:right w:w="100" w:type="dxa"/>
            </w:tcMar>
          </w:tcPr>
          <w:p w14:paraId="71B3358F" w14:textId="77777777" w:rsidR="007B2DE2" w:rsidRDefault="00133674" w:rsidP="00540250">
            <w:pPr>
              <w:widowControl w:val="0"/>
              <w:rPr>
                <w:b/>
              </w:rPr>
            </w:pPr>
            <w:r>
              <w:rPr>
                <w:b/>
              </w:rPr>
              <w:t xml:space="preserve">Workflows submitted by PDTCs </w:t>
            </w:r>
          </w:p>
        </w:tc>
        <w:tc>
          <w:tcPr>
            <w:tcW w:w="6900" w:type="dxa"/>
            <w:tcBorders>
              <w:top w:val="single" w:sz="12" w:space="0" w:color="000000"/>
              <w:left w:val="single" w:sz="8" w:space="0" w:color="FFFFFF"/>
              <w:right w:val="single" w:sz="8" w:space="0" w:color="FFFFFF"/>
            </w:tcBorders>
            <w:shd w:val="clear" w:color="auto" w:fill="auto"/>
            <w:tcMar>
              <w:top w:w="100" w:type="dxa"/>
              <w:left w:w="100" w:type="dxa"/>
              <w:bottom w:w="100" w:type="dxa"/>
              <w:right w:w="100" w:type="dxa"/>
            </w:tcMar>
          </w:tcPr>
          <w:p w14:paraId="031AB154" w14:textId="77777777" w:rsidR="007B2DE2" w:rsidRDefault="00133674" w:rsidP="00540250">
            <w:pPr>
              <w:widowControl w:val="0"/>
              <w:rPr>
                <w:b/>
              </w:rPr>
            </w:pPr>
            <w:r>
              <w:rPr>
                <w:b/>
              </w:rPr>
              <w:t>Main Components</w:t>
            </w:r>
          </w:p>
        </w:tc>
      </w:tr>
      <w:tr w:rsidR="007B2DE2" w14:paraId="49A0DC89" w14:textId="77777777" w:rsidTr="00F93CCF">
        <w:trPr>
          <w:trHeight w:val="480"/>
        </w:trPr>
        <w:tc>
          <w:tcPr>
            <w:tcW w:w="2460" w:type="dxa"/>
            <w:tcBorders>
              <w:left w:val="single" w:sz="8" w:space="0" w:color="FFFFFF"/>
              <w:right w:val="single" w:sz="8" w:space="0" w:color="FFFFFF"/>
            </w:tcBorders>
            <w:shd w:val="clear" w:color="auto" w:fill="auto"/>
            <w:tcMar>
              <w:top w:w="100" w:type="dxa"/>
              <w:left w:w="100" w:type="dxa"/>
              <w:bottom w:w="100" w:type="dxa"/>
              <w:right w:w="100" w:type="dxa"/>
            </w:tcMar>
          </w:tcPr>
          <w:p w14:paraId="682ADC53" w14:textId="77777777" w:rsidR="007B2DE2" w:rsidRDefault="00133674" w:rsidP="00540250">
            <w:pPr>
              <w:widowControl w:val="0"/>
            </w:pPr>
            <w:r>
              <w:t>Workflow 1</w:t>
            </w:r>
          </w:p>
        </w:tc>
        <w:tc>
          <w:tcPr>
            <w:tcW w:w="6900" w:type="dxa"/>
            <w:tcBorders>
              <w:left w:val="single" w:sz="8" w:space="0" w:color="FFFFFF"/>
              <w:right w:val="single" w:sz="8" w:space="0" w:color="FFFFFF"/>
            </w:tcBorders>
            <w:shd w:val="clear" w:color="auto" w:fill="auto"/>
            <w:tcMar>
              <w:top w:w="100" w:type="dxa"/>
              <w:left w:w="100" w:type="dxa"/>
              <w:bottom w:w="100" w:type="dxa"/>
              <w:right w:w="100" w:type="dxa"/>
            </w:tcMar>
          </w:tcPr>
          <w:p w14:paraId="4F534C3F" w14:textId="77777777" w:rsidR="007B2DE2" w:rsidRDefault="00133674" w:rsidP="00540250">
            <w:pPr>
              <w:widowControl w:val="0"/>
            </w:pPr>
            <w:r>
              <w:rPr>
                <w:highlight w:val="white"/>
              </w:rPr>
              <w:t xml:space="preserve">(BBSplit, BWA-MEM), </w:t>
            </w:r>
            <w:r>
              <w:rPr>
                <w:b/>
                <w:highlight w:val="white"/>
              </w:rPr>
              <w:t>Manta</w:t>
            </w:r>
            <w:r>
              <w:rPr>
                <w:highlight w:val="white"/>
              </w:rPr>
              <w:t xml:space="preserve">, </w:t>
            </w:r>
            <w:r>
              <w:rPr>
                <w:b/>
                <w:highlight w:val="white"/>
              </w:rPr>
              <w:t>Strelka2</w:t>
            </w:r>
            <w:r>
              <w:rPr>
                <w:highlight w:val="white"/>
              </w:rPr>
              <w:t>, USeq, Tabix</w:t>
            </w:r>
          </w:p>
        </w:tc>
      </w:tr>
      <w:tr w:rsidR="007B2DE2" w14:paraId="1D5671A9" w14:textId="77777777" w:rsidTr="00F93CCF">
        <w:tc>
          <w:tcPr>
            <w:tcW w:w="2460" w:type="dxa"/>
            <w:tcBorders>
              <w:left w:val="single" w:sz="8" w:space="0" w:color="FFFFFF"/>
              <w:right w:val="single" w:sz="8" w:space="0" w:color="FFFFFF"/>
            </w:tcBorders>
            <w:shd w:val="clear" w:color="auto" w:fill="auto"/>
            <w:tcMar>
              <w:top w:w="100" w:type="dxa"/>
              <w:left w:w="100" w:type="dxa"/>
              <w:bottom w:w="100" w:type="dxa"/>
              <w:right w:w="100" w:type="dxa"/>
            </w:tcMar>
          </w:tcPr>
          <w:p w14:paraId="3B3950D5" w14:textId="77777777" w:rsidR="007B2DE2" w:rsidRDefault="00133674" w:rsidP="00540250">
            <w:pPr>
              <w:widowControl w:val="0"/>
            </w:pPr>
            <w:r>
              <w:t>Workflow 2</w:t>
            </w:r>
          </w:p>
        </w:tc>
        <w:tc>
          <w:tcPr>
            <w:tcW w:w="6900" w:type="dxa"/>
            <w:tcBorders>
              <w:left w:val="single" w:sz="8" w:space="0" w:color="FFFFFF"/>
              <w:right w:val="single" w:sz="8" w:space="0" w:color="FFFFFF"/>
            </w:tcBorders>
            <w:shd w:val="clear" w:color="auto" w:fill="auto"/>
            <w:tcMar>
              <w:top w:w="100" w:type="dxa"/>
              <w:left w:w="100" w:type="dxa"/>
              <w:bottom w:w="100" w:type="dxa"/>
              <w:right w:w="100" w:type="dxa"/>
            </w:tcMar>
          </w:tcPr>
          <w:p w14:paraId="20DEC5C9" w14:textId="77777777" w:rsidR="007B2DE2" w:rsidRDefault="00133674" w:rsidP="00540250">
            <w:pPr>
              <w:widowControl w:val="0"/>
            </w:pPr>
            <w:r>
              <w:t xml:space="preserve">Trimmomatic, Xenome, BWA-alt-aware, </w:t>
            </w:r>
            <w:r>
              <w:rPr>
                <w:b/>
              </w:rPr>
              <w:t>MuTect2</w:t>
            </w:r>
            <w:r>
              <w:t>, snpEff, snpSift</w:t>
            </w:r>
          </w:p>
        </w:tc>
      </w:tr>
      <w:tr w:rsidR="007B2DE2" w14:paraId="4B9C9B67" w14:textId="77777777" w:rsidTr="00F93CCF">
        <w:tc>
          <w:tcPr>
            <w:tcW w:w="2460" w:type="dxa"/>
            <w:tcBorders>
              <w:left w:val="single" w:sz="8" w:space="0" w:color="FFFFFF"/>
              <w:right w:val="single" w:sz="8" w:space="0" w:color="FFFFFF"/>
            </w:tcBorders>
            <w:shd w:val="clear" w:color="auto" w:fill="auto"/>
            <w:tcMar>
              <w:top w:w="100" w:type="dxa"/>
              <w:left w:w="100" w:type="dxa"/>
              <w:bottom w:w="100" w:type="dxa"/>
              <w:right w:w="100" w:type="dxa"/>
            </w:tcMar>
          </w:tcPr>
          <w:p w14:paraId="1853185E" w14:textId="77777777" w:rsidR="007B2DE2" w:rsidRDefault="00133674" w:rsidP="00540250">
            <w:pPr>
              <w:widowControl w:val="0"/>
            </w:pPr>
            <w:r>
              <w:t>Workflow 3</w:t>
            </w:r>
          </w:p>
        </w:tc>
        <w:tc>
          <w:tcPr>
            <w:tcW w:w="6900" w:type="dxa"/>
            <w:tcBorders>
              <w:left w:val="single" w:sz="8" w:space="0" w:color="FFFFFF"/>
              <w:right w:val="single" w:sz="8" w:space="0" w:color="FFFFFF"/>
            </w:tcBorders>
            <w:shd w:val="clear" w:color="auto" w:fill="auto"/>
            <w:tcMar>
              <w:top w:w="100" w:type="dxa"/>
              <w:left w:w="100" w:type="dxa"/>
              <w:bottom w:w="100" w:type="dxa"/>
              <w:right w:w="100" w:type="dxa"/>
            </w:tcMar>
          </w:tcPr>
          <w:p w14:paraId="46DA9BED" w14:textId="77777777" w:rsidR="007B2DE2" w:rsidRDefault="00133674" w:rsidP="00540250">
            <w:pPr>
              <w:widowControl w:val="0"/>
            </w:pPr>
            <w:r>
              <w:t xml:space="preserve">combined human-mouse reference; BWA, samtools, </w:t>
            </w:r>
            <w:r>
              <w:rPr>
                <w:b/>
              </w:rPr>
              <w:t>VarScan2</w:t>
            </w:r>
          </w:p>
        </w:tc>
      </w:tr>
      <w:tr w:rsidR="007B2DE2" w14:paraId="7D66CCD6" w14:textId="77777777" w:rsidTr="00F93CCF">
        <w:tc>
          <w:tcPr>
            <w:tcW w:w="2460" w:type="dxa"/>
            <w:tcBorders>
              <w:left w:val="single" w:sz="8" w:space="0" w:color="FFFFFF"/>
              <w:right w:val="single" w:sz="8" w:space="0" w:color="FFFFFF"/>
            </w:tcBorders>
            <w:shd w:val="clear" w:color="auto" w:fill="auto"/>
            <w:tcMar>
              <w:top w:w="100" w:type="dxa"/>
              <w:left w:w="100" w:type="dxa"/>
              <w:bottom w:w="100" w:type="dxa"/>
              <w:right w:w="100" w:type="dxa"/>
            </w:tcMar>
          </w:tcPr>
          <w:p w14:paraId="5202A31F" w14:textId="77777777" w:rsidR="007B2DE2" w:rsidRDefault="00133674" w:rsidP="00540250">
            <w:pPr>
              <w:widowControl w:val="0"/>
            </w:pPr>
            <w:r>
              <w:t>Workflow 4</w:t>
            </w:r>
          </w:p>
        </w:tc>
        <w:tc>
          <w:tcPr>
            <w:tcW w:w="6900" w:type="dxa"/>
            <w:tcBorders>
              <w:left w:val="single" w:sz="8" w:space="0" w:color="FFFFFF"/>
              <w:right w:val="single" w:sz="8" w:space="0" w:color="FFFFFF"/>
            </w:tcBorders>
            <w:shd w:val="clear" w:color="auto" w:fill="auto"/>
            <w:tcMar>
              <w:top w:w="100" w:type="dxa"/>
              <w:left w:w="100" w:type="dxa"/>
              <w:bottom w:w="100" w:type="dxa"/>
              <w:right w:w="100" w:type="dxa"/>
            </w:tcMar>
          </w:tcPr>
          <w:p w14:paraId="4A38BAE5" w14:textId="77777777" w:rsidR="007B2DE2" w:rsidRDefault="00133674" w:rsidP="00540250">
            <w:pPr>
              <w:widowControl w:val="0"/>
            </w:pPr>
            <w:r>
              <w:t xml:space="preserve">BWA, custom mouse reads filtering; samtools, </w:t>
            </w:r>
            <w:r>
              <w:rPr>
                <w:b/>
              </w:rPr>
              <w:t>MuTect2</w:t>
            </w:r>
            <w:r>
              <w:t xml:space="preserve">, </w:t>
            </w:r>
            <w:r>
              <w:rPr>
                <w:b/>
              </w:rPr>
              <w:t>VarScan2</w:t>
            </w:r>
          </w:p>
        </w:tc>
      </w:tr>
      <w:tr w:rsidR="007B2DE2" w14:paraId="725E277C" w14:textId="77777777" w:rsidTr="00F93CCF">
        <w:tc>
          <w:tcPr>
            <w:tcW w:w="2460" w:type="dxa"/>
            <w:tcBorders>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14:paraId="6BCD324A" w14:textId="77777777" w:rsidR="007B2DE2" w:rsidRDefault="00133674" w:rsidP="00540250">
            <w:pPr>
              <w:widowControl w:val="0"/>
            </w:pPr>
            <w:r>
              <w:t>Workflow 5</w:t>
            </w:r>
          </w:p>
        </w:tc>
        <w:tc>
          <w:tcPr>
            <w:tcW w:w="6900" w:type="dxa"/>
            <w:tcBorders>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14:paraId="3A0F2729" w14:textId="77777777" w:rsidR="007B2DE2" w:rsidRDefault="00133674" w:rsidP="00540250">
            <w:pPr>
              <w:widowControl w:val="0"/>
            </w:pPr>
            <w:r>
              <w:t xml:space="preserve">GATK, </w:t>
            </w:r>
            <w:r>
              <w:rPr>
                <w:b/>
              </w:rPr>
              <w:t>VarScan2</w:t>
            </w:r>
            <w:r>
              <w:t xml:space="preserve">, </w:t>
            </w:r>
            <w:r>
              <w:rPr>
                <w:b/>
              </w:rPr>
              <w:t>Pindel</w:t>
            </w:r>
            <w:r>
              <w:t xml:space="preserve">, </w:t>
            </w:r>
            <w:r>
              <w:rPr>
                <w:b/>
              </w:rPr>
              <w:t>Strelka2</w:t>
            </w:r>
            <w:r>
              <w:t>, samtools, VEP, snpSift, Picard</w:t>
            </w:r>
          </w:p>
        </w:tc>
      </w:tr>
    </w:tbl>
    <w:p w14:paraId="5DB66BBC" w14:textId="77777777" w:rsidR="007A105A" w:rsidRDefault="007A105A" w:rsidP="00540250">
      <w:pPr>
        <w:pStyle w:val="tableheader"/>
      </w:pPr>
    </w:p>
    <w:p w14:paraId="28F0608A" w14:textId="77777777" w:rsidR="007A105A" w:rsidRDefault="007A105A" w:rsidP="00540250">
      <w:pPr>
        <w:spacing w:line="276" w:lineRule="auto"/>
        <w:rPr>
          <w:rFonts w:eastAsia="Calibri"/>
          <w:b/>
        </w:rPr>
      </w:pPr>
      <w:r>
        <w:br w:type="page"/>
      </w:r>
    </w:p>
    <w:p w14:paraId="1DA3301D" w14:textId="3A4FF82B" w:rsidR="006C56CC" w:rsidRPr="009C0AD1" w:rsidRDefault="006C56CC" w:rsidP="00540250">
      <w:pPr>
        <w:pStyle w:val="tableheader"/>
        <w:rPr>
          <w:b w:val="0"/>
          <w:bCs/>
        </w:rPr>
      </w:pPr>
      <w:r w:rsidRPr="009C0AD1">
        <w:lastRenderedPageBreak/>
        <w:t xml:space="preserve">Supplementary Table </w:t>
      </w:r>
      <w:r w:rsidR="00411D03" w:rsidRPr="009C0AD1">
        <w:t>3</w:t>
      </w:r>
      <w:r w:rsidR="002B7BE3" w:rsidRPr="009C0AD1">
        <w:t>.</w:t>
      </w:r>
      <w:r w:rsidRPr="009C0AD1">
        <w:t xml:space="preserve"> </w:t>
      </w:r>
      <w:r w:rsidRPr="009C0AD1">
        <w:rPr>
          <w:b w:val="0"/>
          <w:bCs/>
        </w:rPr>
        <w:t xml:space="preserve">Performance of the five PDTC workflows across SNPs at 10% and 50% mouse reads contamination. </w:t>
      </w:r>
    </w:p>
    <w:tbl>
      <w:tblPr>
        <w:tblW w:w="9350" w:type="dxa"/>
        <w:tblLayout w:type="fixed"/>
        <w:tblCellMar>
          <w:left w:w="115" w:type="dxa"/>
          <w:right w:w="115" w:type="dxa"/>
        </w:tblCellMar>
        <w:tblLook w:val="0400" w:firstRow="0" w:lastRow="0" w:firstColumn="0" w:lastColumn="0" w:noHBand="0" w:noVBand="1"/>
      </w:tblPr>
      <w:tblGrid>
        <w:gridCol w:w="1909"/>
        <w:gridCol w:w="277"/>
        <w:gridCol w:w="1432"/>
        <w:gridCol w:w="1433"/>
        <w:gridCol w:w="1433"/>
        <w:gridCol w:w="1433"/>
        <w:gridCol w:w="1433"/>
      </w:tblGrid>
      <w:tr w:rsidR="006C56CC" w14:paraId="21D2B53D" w14:textId="77777777" w:rsidTr="00BD0692">
        <w:trPr>
          <w:trHeight w:val="480"/>
        </w:trPr>
        <w:tc>
          <w:tcPr>
            <w:tcW w:w="1909" w:type="dxa"/>
            <w:tcBorders>
              <w:top w:val="single" w:sz="12" w:space="0" w:color="000000"/>
              <w:left w:val="single" w:sz="4" w:space="0" w:color="FFFFFF"/>
              <w:bottom w:val="single" w:sz="4" w:space="0" w:color="FFFFFF"/>
              <w:right w:val="single" w:sz="4" w:space="0" w:color="FFFFFF"/>
            </w:tcBorders>
            <w:shd w:val="clear" w:color="auto" w:fill="auto"/>
            <w:vAlign w:val="bottom"/>
          </w:tcPr>
          <w:p w14:paraId="07FBEC3D" w14:textId="77777777" w:rsidR="006C56CC" w:rsidRDefault="006C56CC" w:rsidP="00540250">
            <w:pPr>
              <w:rPr>
                <w:rFonts w:ascii="Liberation Sans" w:eastAsia="Liberation Sans" w:hAnsi="Liberation Sans" w:cs="Liberation Sans"/>
              </w:rPr>
            </w:pPr>
            <w:bookmarkStart w:id="73" w:name="_gjdgxs" w:colFirst="0" w:colLast="0"/>
            <w:bookmarkEnd w:id="73"/>
            <w:r>
              <w:rPr>
                <w:rFonts w:ascii="Liberation Sans" w:eastAsia="Liberation Sans" w:hAnsi="Liberation Sans" w:cs="Liberation Sans"/>
              </w:rPr>
              <w:t> </w:t>
            </w:r>
          </w:p>
        </w:tc>
        <w:tc>
          <w:tcPr>
            <w:tcW w:w="277" w:type="dxa"/>
            <w:tcBorders>
              <w:top w:val="single" w:sz="12" w:space="0" w:color="000000"/>
              <w:left w:val="nil"/>
              <w:bottom w:val="single" w:sz="4" w:space="0" w:color="FFFFFF"/>
              <w:right w:val="single" w:sz="4" w:space="0" w:color="FFFFFF"/>
            </w:tcBorders>
            <w:shd w:val="clear" w:color="auto" w:fill="auto"/>
            <w:vAlign w:val="bottom"/>
          </w:tcPr>
          <w:p w14:paraId="66A29C67" w14:textId="77777777" w:rsidR="006C56CC" w:rsidRDefault="006C56CC" w:rsidP="00540250">
            <w:pPr>
              <w:rPr>
                <w:rFonts w:ascii="Liberation Sans" w:eastAsia="Liberation Sans" w:hAnsi="Liberation Sans" w:cs="Liberation Sans"/>
              </w:rPr>
            </w:pPr>
            <w:r>
              <w:rPr>
                <w:rFonts w:ascii="Liberation Sans" w:eastAsia="Liberation Sans" w:hAnsi="Liberation Sans" w:cs="Liberation Sans"/>
              </w:rPr>
              <w:t> </w:t>
            </w:r>
          </w:p>
        </w:tc>
        <w:tc>
          <w:tcPr>
            <w:tcW w:w="1432" w:type="dxa"/>
            <w:tcBorders>
              <w:top w:val="single" w:sz="12" w:space="0" w:color="000000"/>
              <w:left w:val="nil"/>
              <w:bottom w:val="single" w:sz="4" w:space="0" w:color="FFFFFF"/>
              <w:right w:val="single" w:sz="4" w:space="0" w:color="000000"/>
            </w:tcBorders>
            <w:shd w:val="clear" w:color="auto" w:fill="auto"/>
            <w:vAlign w:val="center"/>
          </w:tcPr>
          <w:p w14:paraId="0756F6C2" w14:textId="77777777" w:rsidR="006C56CC" w:rsidRDefault="006C56CC" w:rsidP="00540250">
            <w:pPr>
              <w:rPr>
                <w:rFonts w:ascii="Liberation Sans" w:eastAsia="Liberation Sans" w:hAnsi="Liberation Sans" w:cs="Liberation Sans"/>
                <w:b/>
              </w:rPr>
            </w:pPr>
            <w:r>
              <w:rPr>
                <w:rFonts w:ascii="Liberation Sans" w:eastAsia="Liberation Sans" w:hAnsi="Liberation Sans" w:cs="Liberation Sans"/>
                <w:b/>
              </w:rPr>
              <w:t>Workflow 1</w:t>
            </w:r>
          </w:p>
        </w:tc>
        <w:tc>
          <w:tcPr>
            <w:tcW w:w="1433" w:type="dxa"/>
            <w:tcBorders>
              <w:top w:val="single" w:sz="12" w:space="0" w:color="000000"/>
              <w:left w:val="nil"/>
              <w:bottom w:val="single" w:sz="4" w:space="0" w:color="FFFFFF"/>
              <w:right w:val="single" w:sz="4" w:space="0" w:color="000000"/>
            </w:tcBorders>
            <w:shd w:val="clear" w:color="auto" w:fill="auto"/>
            <w:vAlign w:val="center"/>
          </w:tcPr>
          <w:p w14:paraId="2E453410" w14:textId="77777777" w:rsidR="006C56CC" w:rsidRDefault="006C56CC" w:rsidP="00540250">
            <w:pPr>
              <w:rPr>
                <w:rFonts w:ascii="Liberation Sans" w:eastAsia="Liberation Sans" w:hAnsi="Liberation Sans" w:cs="Liberation Sans"/>
                <w:b/>
              </w:rPr>
            </w:pPr>
            <w:r>
              <w:rPr>
                <w:rFonts w:ascii="Liberation Sans" w:eastAsia="Liberation Sans" w:hAnsi="Liberation Sans" w:cs="Liberation Sans"/>
                <w:b/>
              </w:rPr>
              <w:t>Workflow 2</w:t>
            </w:r>
          </w:p>
        </w:tc>
        <w:tc>
          <w:tcPr>
            <w:tcW w:w="1433" w:type="dxa"/>
            <w:tcBorders>
              <w:top w:val="single" w:sz="12" w:space="0" w:color="000000"/>
              <w:left w:val="nil"/>
              <w:bottom w:val="single" w:sz="4" w:space="0" w:color="FFFFFF"/>
              <w:right w:val="single" w:sz="4" w:space="0" w:color="000000"/>
            </w:tcBorders>
            <w:shd w:val="clear" w:color="auto" w:fill="auto"/>
            <w:vAlign w:val="center"/>
          </w:tcPr>
          <w:p w14:paraId="2FEB1D82" w14:textId="77777777" w:rsidR="006C56CC" w:rsidRDefault="006C56CC" w:rsidP="00540250">
            <w:pPr>
              <w:rPr>
                <w:rFonts w:ascii="Liberation Sans" w:eastAsia="Liberation Sans" w:hAnsi="Liberation Sans" w:cs="Liberation Sans"/>
                <w:b/>
              </w:rPr>
            </w:pPr>
            <w:r>
              <w:rPr>
                <w:rFonts w:ascii="Liberation Sans" w:eastAsia="Liberation Sans" w:hAnsi="Liberation Sans" w:cs="Liberation Sans"/>
                <w:b/>
              </w:rPr>
              <w:t>Workflow 3</w:t>
            </w:r>
          </w:p>
        </w:tc>
        <w:tc>
          <w:tcPr>
            <w:tcW w:w="1433" w:type="dxa"/>
            <w:tcBorders>
              <w:top w:val="single" w:sz="12" w:space="0" w:color="000000"/>
              <w:left w:val="nil"/>
              <w:bottom w:val="single" w:sz="4" w:space="0" w:color="FFFFFF"/>
              <w:right w:val="single" w:sz="4" w:space="0" w:color="000000"/>
            </w:tcBorders>
            <w:shd w:val="clear" w:color="auto" w:fill="auto"/>
            <w:vAlign w:val="center"/>
          </w:tcPr>
          <w:p w14:paraId="69D7D9F1" w14:textId="77777777" w:rsidR="006C56CC" w:rsidRDefault="006C56CC" w:rsidP="00540250">
            <w:pPr>
              <w:rPr>
                <w:rFonts w:ascii="Liberation Sans" w:eastAsia="Liberation Sans" w:hAnsi="Liberation Sans" w:cs="Liberation Sans"/>
                <w:b/>
              </w:rPr>
            </w:pPr>
            <w:r>
              <w:rPr>
                <w:rFonts w:ascii="Liberation Sans" w:eastAsia="Liberation Sans" w:hAnsi="Liberation Sans" w:cs="Liberation Sans"/>
                <w:b/>
              </w:rPr>
              <w:t>Workflow 4</w:t>
            </w:r>
          </w:p>
        </w:tc>
        <w:tc>
          <w:tcPr>
            <w:tcW w:w="1433" w:type="dxa"/>
            <w:tcBorders>
              <w:top w:val="single" w:sz="12" w:space="0" w:color="000000"/>
              <w:left w:val="nil"/>
              <w:bottom w:val="single" w:sz="4" w:space="0" w:color="FFFFFF"/>
              <w:right w:val="single" w:sz="4" w:space="0" w:color="FFFFFF"/>
            </w:tcBorders>
            <w:shd w:val="clear" w:color="auto" w:fill="auto"/>
            <w:vAlign w:val="center"/>
          </w:tcPr>
          <w:p w14:paraId="18D0EAF7" w14:textId="77777777" w:rsidR="006C56CC" w:rsidRDefault="006C56CC" w:rsidP="00540250">
            <w:pPr>
              <w:rPr>
                <w:rFonts w:ascii="Liberation Sans" w:eastAsia="Liberation Sans" w:hAnsi="Liberation Sans" w:cs="Liberation Sans"/>
                <w:b/>
              </w:rPr>
            </w:pPr>
            <w:r>
              <w:rPr>
                <w:rFonts w:ascii="Liberation Sans" w:eastAsia="Liberation Sans" w:hAnsi="Liberation Sans" w:cs="Liberation Sans"/>
                <w:b/>
              </w:rPr>
              <w:t>Workflow 5</w:t>
            </w:r>
          </w:p>
        </w:tc>
      </w:tr>
      <w:tr w:rsidR="006C56CC" w14:paraId="43076379" w14:textId="77777777" w:rsidTr="00BD0692">
        <w:trPr>
          <w:trHeight w:val="240"/>
        </w:trPr>
        <w:tc>
          <w:tcPr>
            <w:tcW w:w="1909" w:type="dxa"/>
            <w:tcBorders>
              <w:top w:val="single" w:sz="4" w:space="0" w:color="FFFFFF"/>
              <w:left w:val="single" w:sz="4" w:space="0" w:color="FFFFFF"/>
              <w:bottom w:val="single" w:sz="12" w:space="0" w:color="000000"/>
              <w:right w:val="single" w:sz="4" w:space="0" w:color="FFFFFF"/>
            </w:tcBorders>
            <w:shd w:val="clear" w:color="auto" w:fill="auto"/>
            <w:vAlign w:val="center"/>
          </w:tcPr>
          <w:p w14:paraId="2B7F9EC8" w14:textId="77777777" w:rsidR="006C56CC" w:rsidRDefault="006C56CC" w:rsidP="00540250">
            <w:pPr>
              <w:rPr>
                <w:rFonts w:ascii="Liberation Sans" w:eastAsia="Liberation Sans" w:hAnsi="Liberation Sans" w:cs="Liberation Sans"/>
              </w:rPr>
            </w:pPr>
            <w:r>
              <w:rPr>
                <w:rFonts w:ascii="Liberation Sans" w:eastAsia="Liberation Sans" w:hAnsi="Liberation Sans" w:cs="Liberation Sans"/>
              </w:rPr>
              <w:t> </w:t>
            </w:r>
          </w:p>
        </w:tc>
        <w:tc>
          <w:tcPr>
            <w:tcW w:w="277" w:type="dxa"/>
            <w:tcBorders>
              <w:top w:val="single" w:sz="4" w:space="0" w:color="FFFFFF"/>
              <w:left w:val="nil"/>
              <w:bottom w:val="single" w:sz="12" w:space="0" w:color="000000"/>
              <w:right w:val="single" w:sz="4" w:space="0" w:color="FFFFFF"/>
            </w:tcBorders>
            <w:shd w:val="clear" w:color="auto" w:fill="auto"/>
            <w:vAlign w:val="center"/>
          </w:tcPr>
          <w:p w14:paraId="59FB2C48" w14:textId="77777777" w:rsidR="006C56CC" w:rsidRDefault="006C56CC" w:rsidP="00540250">
            <w:pPr>
              <w:rPr>
                <w:rFonts w:ascii="Liberation Sans" w:eastAsia="Liberation Sans" w:hAnsi="Liberation Sans" w:cs="Liberation Sans"/>
              </w:rPr>
            </w:pPr>
            <w:r>
              <w:rPr>
                <w:rFonts w:ascii="Liberation Sans" w:eastAsia="Liberation Sans" w:hAnsi="Liberation Sans" w:cs="Liberation Sans"/>
              </w:rPr>
              <w:t> </w:t>
            </w:r>
          </w:p>
        </w:tc>
        <w:tc>
          <w:tcPr>
            <w:tcW w:w="1432" w:type="dxa"/>
            <w:tcBorders>
              <w:top w:val="single" w:sz="4" w:space="0" w:color="FFFFFF"/>
              <w:left w:val="nil"/>
              <w:bottom w:val="single" w:sz="12" w:space="0" w:color="000000"/>
              <w:right w:val="single" w:sz="4" w:space="0" w:color="000000"/>
            </w:tcBorders>
            <w:shd w:val="clear" w:color="auto" w:fill="auto"/>
            <w:vAlign w:val="bottom"/>
          </w:tcPr>
          <w:p w14:paraId="13DEA6E4" w14:textId="77777777" w:rsidR="006C56CC" w:rsidRDefault="006C56CC" w:rsidP="00540250">
            <w:pPr>
              <w:rPr>
                <w:rFonts w:ascii="Liberation Sans" w:eastAsia="Liberation Sans" w:hAnsi="Liberation Sans" w:cs="Liberation Sans"/>
                <w:sz w:val="20"/>
                <w:szCs w:val="20"/>
              </w:rPr>
            </w:pPr>
            <w:r>
              <w:rPr>
                <w:rFonts w:ascii="Liberation Sans" w:eastAsia="Liberation Sans" w:hAnsi="Liberation Sans" w:cs="Liberation Sans"/>
                <w:sz w:val="20"/>
                <w:szCs w:val="20"/>
              </w:rPr>
              <w:t>%</w:t>
            </w:r>
          </w:p>
        </w:tc>
        <w:tc>
          <w:tcPr>
            <w:tcW w:w="1433" w:type="dxa"/>
            <w:tcBorders>
              <w:top w:val="single" w:sz="4" w:space="0" w:color="FFFFFF"/>
              <w:left w:val="nil"/>
              <w:bottom w:val="single" w:sz="12" w:space="0" w:color="000000"/>
              <w:right w:val="single" w:sz="4" w:space="0" w:color="000000"/>
            </w:tcBorders>
            <w:shd w:val="clear" w:color="auto" w:fill="auto"/>
            <w:vAlign w:val="bottom"/>
          </w:tcPr>
          <w:p w14:paraId="5FB53F69" w14:textId="77777777" w:rsidR="006C56CC" w:rsidRDefault="006C56CC" w:rsidP="00540250">
            <w:pPr>
              <w:rPr>
                <w:rFonts w:ascii="Liberation Sans" w:eastAsia="Liberation Sans" w:hAnsi="Liberation Sans" w:cs="Liberation Sans"/>
                <w:sz w:val="20"/>
                <w:szCs w:val="20"/>
              </w:rPr>
            </w:pPr>
            <w:r>
              <w:rPr>
                <w:rFonts w:ascii="Liberation Sans" w:eastAsia="Liberation Sans" w:hAnsi="Liberation Sans" w:cs="Liberation Sans"/>
                <w:sz w:val="20"/>
                <w:szCs w:val="20"/>
              </w:rPr>
              <w:t>%</w:t>
            </w:r>
          </w:p>
        </w:tc>
        <w:tc>
          <w:tcPr>
            <w:tcW w:w="1433" w:type="dxa"/>
            <w:tcBorders>
              <w:top w:val="single" w:sz="4" w:space="0" w:color="FFFFFF"/>
              <w:left w:val="nil"/>
              <w:bottom w:val="single" w:sz="12" w:space="0" w:color="000000"/>
              <w:right w:val="single" w:sz="4" w:space="0" w:color="000000"/>
            </w:tcBorders>
            <w:shd w:val="clear" w:color="auto" w:fill="auto"/>
            <w:vAlign w:val="bottom"/>
          </w:tcPr>
          <w:p w14:paraId="474E7D08" w14:textId="77777777" w:rsidR="006C56CC" w:rsidRDefault="006C56CC" w:rsidP="00540250">
            <w:pPr>
              <w:rPr>
                <w:rFonts w:ascii="Liberation Sans" w:eastAsia="Liberation Sans" w:hAnsi="Liberation Sans" w:cs="Liberation Sans"/>
                <w:sz w:val="20"/>
                <w:szCs w:val="20"/>
              </w:rPr>
            </w:pPr>
            <w:r>
              <w:rPr>
                <w:rFonts w:ascii="Liberation Sans" w:eastAsia="Liberation Sans" w:hAnsi="Liberation Sans" w:cs="Liberation Sans"/>
                <w:sz w:val="20"/>
                <w:szCs w:val="20"/>
              </w:rPr>
              <w:t>%</w:t>
            </w:r>
          </w:p>
        </w:tc>
        <w:tc>
          <w:tcPr>
            <w:tcW w:w="1433" w:type="dxa"/>
            <w:tcBorders>
              <w:top w:val="single" w:sz="4" w:space="0" w:color="FFFFFF"/>
              <w:left w:val="nil"/>
              <w:bottom w:val="single" w:sz="12" w:space="0" w:color="000000"/>
              <w:right w:val="single" w:sz="4" w:space="0" w:color="000000"/>
            </w:tcBorders>
            <w:shd w:val="clear" w:color="auto" w:fill="auto"/>
            <w:vAlign w:val="bottom"/>
          </w:tcPr>
          <w:p w14:paraId="291F663D" w14:textId="77777777" w:rsidR="006C56CC" w:rsidRDefault="006C56CC" w:rsidP="00540250">
            <w:pPr>
              <w:rPr>
                <w:rFonts w:ascii="Liberation Sans" w:eastAsia="Liberation Sans" w:hAnsi="Liberation Sans" w:cs="Liberation Sans"/>
                <w:sz w:val="20"/>
                <w:szCs w:val="20"/>
              </w:rPr>
            </w:pPr>
            <w:r>
              <w:rPr>
                <w:rFonts w:ascii="Liberation Sans" w:eastAsia="Liberation Sans" w:hAnsi="Liberation Sans" w:cs="Liberation Sans"/>
                <w:sz w:val="20"/>
                <w:szCs w:val="20"/>
              </w:rPr>
              <w:t>%</w:t>
            </w:r>
          </w:p>
        </w:tc>
        <w:tc>
          <w:tcPr>
            <w:tcW w:w="1433" w:type="dxa"/>
            <w:tcBorders>
              <w:top w:val="single" w:sz="4" w:space="0" w:color="FFFFFF"/>
              <w:left w:val="nil"/>
              <w:bottom w:val="single" w:sz="12" w:space="0" w:color="000000"/>
              <w:right w:val="single" w:sz="4" w:space="0" w:color="FFFFFF"/>
            </w:tcBorders>
            <w:shd w:val="clear" w:color="auto" w:fill="auto"/>
            <w:vAlign w:val="bottom"/>
          </w:tcPr>
          <w:p w14:paraId="34A1ECD4" w14:textId="77777777" w:rsidR="006C56CC" w:rsidRDefault="006C56CC" w:rsidP="00540250">
            <w:pPr>
              <w:rPr>
                <w:rFonts w:ascii="Liberation Sans" w:eastAsia="Liberation Sans" w:hAnsi="Liberation Sans" w:cs="Liberation Sans"/>
                <w:sz w:val="20"/>
                <w:szCs w:val="20"/>
              </w:rPr>
            </w:pPr>
            <w:r>
              <w:rPr>
                <w:rFonts w:ascii="Liberation Sans" w:eastAsia="Liberation Sans" w:hAnsi="Liberation Sans" w:cs="Liberation Sans"/>
                <w:sz w:val="20"/>
                <w:szCs w:val="20"/>
              </w:rPr>
              <w:t>%</w:t>
            </w:r>
          </w:p>
        </w:tc>
      </w:tr>
      <w:tr w:rsidR="006C56CC" w14:paraId="5DD2C246" w14:textId="77777777" w:rsidTr="00BD0692">
        <w:trPr>
          <w:trHeight w:val="300"/>
        </w:trPr>
        <w:tc>
          <w:tcPr>
            <w:tcW w:w="1909" w:type="dxa"/>
            <w:tcBorders>
              <w:top w:val="single" w:sz="12" w:space="0" w:color="000000"/>
              <w:left w:val="single" w:sz="4" w:space="0" w:color="FFFFFF"/>
              <w:bottom w:val="single" w:sz="4" w:space="0" w:color="FFFFFF"/>
              <w:right w:val="single" w:sz="4" w:space="0" w:color="FFFFFF"/>
            </w:tcBorders>
            <w:shd w:val="clear" w:color="auto" w:fill="auto"/>
            <w:vAlign w:val="bottom"/>
          </w:tcPr>
          <w:p w14:paraId="0D7FE65D" w14:textId="77777777" w:rsidR="006C56CC" w:rsidRPr="00F93CCF" w:rsidRDefault="006C56CC" w:rsidP="00540250">
            <w:pPr>
              <w:rPr>
                <w:rFonts w:ascii="Liberation Sans" w:eastAsia="Liberation Sans" w:hAnsi="Liberation Sans"/>
                <w:b/>
              </w:rPr>
            </w:pPr>
            <w:r w:rsidRPr="00F93CCF">
              <w:rPr>
                <w:rFonts w:ascii="Liberation Sans" w:eastAsia="Liberation Sans" w:hAnsi="Liberation Sans"/>
                <w:b/>
              </w:rPr>
              <w:t>SNP Precision</w:t>
            </w:r>
          </w:p>
        </w:tc>
        <w:tc>
          <w:tcPr>
            <w:tcW w:w="277" w:type="dxa"/>
            <w:tcBorders>
              <w:top w:val="single" w:sz="12" w:space="0" w:color="000000"/>
              <w:left w:val="nil"/>
              <w:bottom w:val="single" w:sz="4" w:space="0" w:color="FFFFFF"/>
              <w:right w:val="single" w:sz="4" w:space="0" w:color="FFFFFF"/>
            </w:tcBorders>
            <w:shd w:val="clear" w:color="auto" w:fill="auto"/>
            <w:vAlign w:val="bottom"/>
          </w:tcPr>
          <w:p w14:paraId="7EB5233F" w14:textId="77777777" w:rsidR="006C56CC" w:rsidRDefault="006C56CC" w:rsidP="00540250">
            <w:pPr>
              <w:rPr>
                <w:rFonts w:ascii="Liberation Sans" w:eastAsia="Liberation Sans" w:hAnsi="Liberation Sans" w:cs="Liberation Sans"/>
              </w:rPr>
            </w:pPr>
            <w:r>
              <w:rPr>
                <w:rFonts w:ascii="Liberation Sans" w:eastAsia="Liberation Sans" w:hAnsi="Liberation Sans" w:cs="Liberation Sans"/>
              </w:rPr>
              <w:t> </w:t>
            </w:r>
          </w:p>
        </w:tc>
        <w:tc>
          <w:tcPr>
            <w:tcW w:w="1432" w:type="dxa"/>
            <w:tcBorders>
              <w:top w:val="single" w:sz="12" w:space="0" w:color="000000"/>
              <w:left w:val="nil"/>
              <w:bottom w:val="single" w:sz="4" w:space="0" w:color="FFFFFF"/>
              <w:right w:val="single" w:sz="4" w:space="0" w:color="000000"/>
            </w:tcBorders>
            <w:shd w:val="clear" w:color="auto" w:fill="auto"/>
            <w:vAlign w:val="bottom"/>
          </w:tcPr>
          <w:p w14:paraId="06162133" w14:textId="77777777" w:rsidR="006C56CC" w:rsidRDefault="006C56CC" w:rsidP="00540250">
            <w:pPr>
              <w:rPr>
                <w:rFonts w:ascii="Liberation Sans" w:eastAsia="Liberation Sans" w:hAnsi="Liberation Sans" w:cs="Liberation Sans"/>
              </w:rPr>
            </w:pPr>
            <w:r>
              <w:rPr>
                <w:rFonts w:ascii="Liberation Sans" w:eastAsia="Liberation Sans" w:hAnsi="Liberation Sans" w:cs="Liberation Sans"/>
              </w:rPr>
              <w:t> </w:t>
            </w:r>
          </w:p>
        </w:tc>
        <w:tc>
          <w:tcPr>
            <w:tcW w:w="1433" w:type="dxa"/>
            <w:tcBorders>
              <w:top w:val="single" w:sz="12" w:space="0" w:color="000000"/>
              <w:left w:val="nil"/>
              <w:bottom w:val="single" w:sz="4" w:space="0" w:color="FFFFFF"/>
              <w:right w:val="single" w:sz="4" w:space="0" w:color="000000"/>
            </w:tcBorders>
            <w:shd w:val="clear" w:color="auto" w:fill="auto"/>
            <w:vAlign w:val="bottom"/>
          </w:tcPr>
          <w:p w14:paraId="1A045801" w14:textId="77777777" w:rsidR="006C56CC" w:rsidRDefault="006C56CC" w:rsidP="00540250">
            <w:pPr>
              <w:rPr>
                <w:rFonts w:ascii="Liberation Sans" w:eastAsia="Liberation Sans" w:hAnsi="Liberation Sans" w:cs="Liberation Sans"/>
              </w:rPr>
            </w:pPr>
            <w:r>
              <w:rPr>
                <w:rFonts w:ascii="Liberation Sans" w:eastAsia="Liberation Sans" w:hAnsi="Liberation Sans" w:cs="Liberation Sans"/>
              </w:rPr>
              <w:t> </w:t>
            </w:r>
          </w:p>
        </w:tc>
        <w:tc>
          <w:tcPr>
            <w:tcW w:w="1433" w:type="dxa"/>
            <w:tcBorders>
              <w:top w:val="single" w:sz="12" w:space="0" w:color="000000"/>
              <w:left w:val="nil"/>
              <w:bottom w:val="single" w:sz="4" w:space="0" w:color="FFFFFF"/>
              <w:right w:val="single" w:sz="4" w:space="0" w:color="000000"/>
            </w:tcBorders>
            <w:shd w:val="clear" w:color="auto" w:fill="auto"/>
            <w:vAlign w:val="bottom"/>
          </w:tcPr>
          <w:p w14:paraId="33B0D3DD" w14:textId="77777777" w:rsidR="006C56CC" w:rsidRDefault="006C56CC" w:rsidP="00540250">
            <w:pPr>
              <w:rPr>
                <w:rFonts w:ascii="Liberation Sans" w:eastAsia="Liberation Sans" w:hAnsi="Liberation Sans" w:cs="Liberation Sans"/>
              </w:rPr>
            </w:pPr>
            <w:r>
              <w:rPr>
                <w:rFonts w:ascii="Liberation Sans" w:eastAsia="Liberation Sans" w:hAnsi="Liberation Sans" w:cs="Liberation Sans"/>
              </w:rPr>
              <w:t> </w:t>
            </w:r>
          </w:p>
        </w:tc>
        <w:tc>
          <w:tcPr>
            <w:tcW w:w="1433" w:type="dxa"/>
            <w:tcBorders>
              <w:top w:val="single" w:sz="12" w:space="0" w:color="000000"/>
              <w:left w:val="nil"/>
              <w:bottom w:val="single" w:sz="4" w:space="0" w:color="FFFFFF"/>
              <w:right w:val="single" w:sz="4" w:space="0" w:color="000000"/>
            </w:tcBorders>
            <w:shd w:val="clear" w:color="auto" w:fill="auto"/>
            <w:vAlign w:val="bottom"/>
          </w:tcPr>
          <w:p w14:paraId="21BC934A" w14:textId="77777777" w:rsidR="006C56CC" w:rsidRDefault="006C56CC" w:rsidP="00540250">
            <w:pPr>
              <w:rPr>
                <w:rFonts w:ascii="Liberation Sans" w:eastAsia="Liberation Sans" w:hAnsi="Liberation Sans" w:cs="Liberation Sans"/>
              </w:rPr>
            </w:pPr>
            <w:r>
              <w:rPr>
                <w:rFonts w:ascii="Liberation Sans" w:eastAsia="Liberation Sans" w:hAnsi="Liberation Sans" w:cs="Liberation Sans"/>
              </w:rPr>
              <w:t> </w:t>
            </w:r>
          </w:p>
        </w:tc>
        <w:tc>
          <w:tcPr>
            <w:tcW w:w="1433" w:type="dxa"/>
            <w:tcBorders>
              <w:top w:val="single" w:sz="12" w:space="0" w:color="000000"/>
              <w:left w:val="nil"/>
              <w:bottom w:val="single" w:sz="4" w:space="0" w:color="FFFFFF"/>
              <w:right w:val="single" w:sz="4" w:space="0" w:color="FFFFFF"/>
            </w:tcBorders>
            <w:shd w:val="clear" w:color="auto" w:fill="auto"/>
            <w:vAlign w:val="bottom"/>
          </w:tcPr>
          <w:p w14:paraId="5A6B34BB" w14:textId="77777777" w:rsidR="006C56CC" w:rsidRDefault="006C56CC" w:rsidP="00540250">
            <w:pPr>
              <w:rPr>
                <w:rFonts w:ascii="Liberation Sans" w:eastAsia="Liberation Sans" w:hAnsi="Liberation Sans" w:cs="Liberation Sans"/>
              </w:rPr>
            </w:pPr>
            <w:r>
              <w:rPr>
                <w:rFonts w:ascii="Liberation Sans" w:eastAsia="Liberation Sans" w:hAnsi="Liberation Sans" w:cs="Liberation Sans"/>
              </w:rPr>
              <w:t> </w:t>
            </w:r>
          </w:p>
        </w:tc>
      </w:tr>
      <w:tr w:rsidR="006C56CC" w14:paraId="36621A44" w14:textId="77777777" w:rsidTr="00BD0692">
        <w:trPr>
          <w:trHeight w:val="300"/>
        </w:trPr>
        <w:tc>
          <w:tcPr>
            <w:tcW w:w="1909" w:type="dxa"/>
            <w:tcBorders>
              <w:top w:val="nil"/>
              <w:left w:val="single" w:sz="4" w:space="0" w:color="FFFFFF"/>
              <w:bottom w:val="single" w:sz="4" w:space="0" w:color="FFFFFF"/>
              <w:right w:val="single" w:sz="4" w:space="0" w:color="FFFFFF"/>
            </w:tcBorders>
            <w:shd w:val="clear" w:color="auto" w:fill="auto"/>
            <w:vAlign w:val="bottom"/>
          </w:tcPr>
          <w:p w14:paraId="7973D72F" w14:textId="77777777" w:rsidR="006C56CC" w:rsidRDefault="006C56CC" w:rsidP="00540250">
            <w:pPr>
              <w:rPr>
                <w:rFonts w:ascii="Liberation Sans" w:eastAsia="Liberation Sans" w:hAnsi="Liberation Sans" w:cs="Liberation Sans"/>
                <w:sz w:val="20"/>
                <w:szCs w:val="20"/>
              </w:rPr>
            </w:pPr>
            <w:r>
              <w:rPr>
                <w:rFonts w:ascii="Liberation Sans" w:eastAsia="Liberation Sans" w:hAnsi="Liberation Sans" w:cs="Liberation Sans"/>
                <w:sz w:val="20"/>
                <w:szCs w:val="20"/>
              </w:rPr>
              <w:t xml:space="preserve">10% Mouse </w:t>
            </w:r>
          </w:p>
        </w:tc>
        <w:tc>
          <w:tcPr>
            <w:tcW w:w="277" w:type="dxa"/>
            <w:tcBorders>
              <w:top w:val="nil"/>
              <w:left w:val="nil"/>
              <w:bottom w:val="single" w:sz="4" w:space="0" w:color="FFFFFF"/>
              <w:right w:val="single" w:sz="4" w:space="0" w:color="FFFFFF"/>
            </w:tcBorders>
            <w:shd w:val="clear" w:color="auto" w:fill="auto"/>
            <w:vAlign w:val="bottom"/>
          </w:tcPr>
          <w:p w14:paraId="6C132B85" w14:textId="77777777" w:rsidR="006C56CC" w:rsidRDefault="006C56CC" w:rsidP="00540250">
            <w:pPr>
              <w:rPr>
                <w:rFonts w:ascii="Liberation Sans" w:eastAsia="Liberation Sans" w:hAnsi="Liberation Sans" w:cs="Liberation Sans"/>
              </w:rPr>
            </w:pPr>
            <w:r>
              <w:rPr>
                <w:rFonts w:ascii="Liberation Sans" w:eastAsia="Liberation Sans" w:hAnsi="Liberation Sans" w:cs="Liberation Sans"/>
              </w:rPr>
              <w:t> </w:t>
            </w:r>
          </w:p>
        </w:tc>
        <w:tc>
          <w:tcPr>
            <w:tcW w:w="1432" w:type="dxa"/>
            <w:tcBorders>
              <w:top w:val="nil"/>
              <w:left w:val="nil"/>
              <w:bottom w:val="single" w:sz="4" w:space="0" w:color="FFFFFF"/>
              <w:right w:val="single" w:sz="4" w:space="0" w:color="000000"/>
            </w:tcBorders>
            <w:shd w:val="clear" w:color="auto" w:fill="auto"/>
            <w:vAlign w:val="bottom"/>
          </w:tcPr>
          <w:p w14:paraId="36797A7D" w14:textId="77777777" w:rsidR="006C56CC" w:rsidRDefault="006C56CC" w:rsidP="00540250">
            <w:pPr>
              <w:rPr>
                <w:sz w:val="20"/>
                <w:szCs w:val="20"/>
              </w:rPr>
            </w:pPr>
            <w:r>
              <w:rPr>
                <w:sz w:val="20"/>
                <w:szCs w:val="20"/>
              </w:rPr>
              <w:t>96.4</w:t>
            </w:r>
          </w:p>
        </w:tc>
        <w:tc>
          <w:tcPr>
            <w:tcW w:w="1433" w:type="dxa"/>
            <w:tcBorders>
              <w:top w:val="nil"/>
              <w:left w:val="nil"/>
              <w:bottom w:val="single" w:sz="4" w:space="0" w:color="FFFFFF"/>
              <w:right w:val="single" w:sz="4" w:space="0" w:color="000000"/>
            </w:tcBorders>
            <w:shd w:val="clear" w:color="auto" w:fill="auto"/>
            <w:vAlign w:val="bottom"/>
          </w:tcPr>
          <w:p w14:paraId="6D5CD9E9" w14:textId="77777777" w:rsidR="006C56CC" w:rsidRDefault="006C56CC" w:rsidP="00540250">
            <w:pPr>
              <w:rPr>
                <w:sz w:val="20"/>
                <w:szCs w:val="20"/>
              </w:rPr>
            </w:pPr>
            <w:r>
              <w:rPr>
                <w:sz w:val="20"/>
                <w:szCs w:val="20"/>
              </w:rPr>
              <w:t>94.0</w:t>
            </w:r>
          </w:p>
        </w:tc>
        <w:tc>
          <w:tcPr>
            <w:tcW w:w="1433" w:type="dxa"/>
            <w:tcBorders>
              <w:top w:val="nil"/>
              <w:left w:val="nil"/>
              <w:bottom w:val="single" w:sz="4" w:space="0" w:color="FFFFFF"/>
              <w:right w:val="single" w:sz="4" w:space="0" w:color="000000"/>
            </w:tcBorders>
            <w:shd w:val="clear" w:color="auto" w:fill="auto"/>
            <w:vAlign w:val="bottom"/>
          </w:tcPr>
          <w:p w14:paraId="1E20AAF2" w14:textId="77777777" w:rsidR="006C56CC" w:rsidRDefault="006C56CC" w:rsidP="00540250">
            <w:pPr>
              <w:rPr>
                <w:sz w:val="20"/>
                <w:szCs w:val="20"/>
              </w:rPr>
            </w:pPr>
            <w:r>
              <w:rPr>
                <w:sz w:val="20"/>
                <w:szCs w:val="20"/>
              </w:rPr>
              <w:t>N/A</w:t>
            </w:r>
          </w:p>
        </w:tc>
        <w:tc>
          <w:tcPr>
            <w:tcW w:w="1433" w:type="dxa"/>
            <w:tcBorders>
              <w:top w:val="nil"/>
              <w:left w:val="nil"/>
              <w:bottom w:val="single" w:sz="4" w:space="0" w:color="FFFFFF"/>
              <w:right w:val="single" w:sz="4" w:space="0" w:color="000000"/>
            </w:tcBorders>
            <w:shd w:val="clear" w:color="auto" w:fill="auto"/>
            <w:vAlign w:val="bottom"/>
          </w:tcPr>
          <w:p w14:paraId="664ABD95" w14:textId="77777777" w:rsidR="006C56CC" w:rsidRDefault="006C56CC" w:rsidP="00540250">
            <w:pPr>
              <w:rPr>
                <w:sz w:val="20"/>
                <w:szCs w:val="20"/>
              </w:rPr>
            </w:pPr>
            <w:r>
              <w:rPr>
                <w:sz w:val="20"/>
                <w:szCs w:val="20"/>
              </w:rPr>
              <w:t>2.2</w:t>
            </w:r>
          </w:p>
        </w:tc>
        <w:tc>
          <w:tcPr>
            <w:tcW w:w="1433" w:type="dxa"/>
            <w:tcBorders>
              <w:top w:val="nil"/>
              <w:left w:val="nil"/>
              <w:bottom w:val="single" w:sz="4" w:space="0" w:color="FFFFFF"/>
              <w:right w:val="single" w:sz="4" w:space="0" w:color="FFFFFF"/>
            </w:tcBorders>
            <w:shd w:val="clear" w:color="auto" w:fill="auto"/>
            <w:vAlign w:val="bottom"/>
          </w:tcPr>
          <w:p w14:paraId="5C57FBC2" w14:textId="77777777" w:rsidR="006C56CC" w:rsidRDefault="006C56CC" w:rsidP="00540250">
            <w:pPr>
              <w:rPr>
                <w:sz w:val="20"/>
                <w:szCs w:val="20"/>
              </w:rPr>
            </w:pPr>
            <w:r>
              <w:rPr>
                <w:sz w:val="20"/>
                <w:szCs w:val="20"/>
              </w:rPr>
              <w:t>56.5</w:t>
            </w:r>
          </w:p>
        </w:tc>
      </w:tr>
      <w:tr w:rsidR="006C56CC" w14:paraId="2A44FC1B" w14:textId="77777777" w:rsidTr="00BD0692">
        <w:trPr>
          <w:trHeight w:val="300"/>
        </w:trPr>
        <w:tc>
          <w:tcPr>
            <w:tcW w:w="1909" w:type="dxa"/>
            <w:tcBorders>
              <w:top w:val="nil"/>
              <w:left w:val="single" w:sz="4" w:space="0" w:color="FFFFFF"/>
              <w:bottom w:val="single" w:sz="4" w:space="0" w:color="FFFFFF"/>
              <w:right w:val="single" w:sz="4" w:space="0" w:color="FFFFFF"/>
            </w:tcBorders>
            <w:shd w:val="clear" w:color="auto" w:fill="auto"/>
            <w:vAlign w:val="bottom"/>
          </w:tcPr>
          <w:p w14:paraId="6C9685E8" w14:textId="77777777" w:rsidR="006C56CC" w:rsidRDefault="006C56CC" w:rsidP="00540250">
            <w:pPr>
              <w:rPr>
                <w:rFonts w:ascii="Liberation Sans" w:eastAsia="Liberation Sans" w:hAnsi="Liberation Sans" w:cs="Liberation Sans"/>
                <w:sz w:val="20"/>
                <w:szCs w:val="20"/>
              </w:rPr>
            </w:pPr>
            <w:r>
              <w:rPr>
                <w:rFonts w:ascii="Liberation Sans" w:eastAsia="Liberation Sans" w:hAnsi="Liberation Sans" w:cs="Liberation Sans"/>
                <w:sz w:val="20"/>
                <w:szCs w:val="20"/>
              </w:rPr>
              <w:t>Contamination</w:t>
            </w:r>
          </w:p>
        </w:tc>
        <w:tc>
          <w:tcPr>
            <w:tcW w:w="277" w:type="dxa"/>
            <w:tcBorders>
              <w:top w:val="nil"/>
              <w:left w:val="nil"/>
              <w:bottom w:val="single" w:sz="4" w:space="0" w:color="FFFFFF"/>
              <w:right w:val="single" w:sz="4" w:space="0" w:color="FFFFFF"/>
            </w:tcBorders>
            <w:shd w:val="clear" w:color="auto" w:fill="auto"/>
            <w:vAlign w:val="bottom"/>
          </w:tcPr>
          <w:p w14:paraId="659C0200" w14:textId="77777777" w:rsidR="006C56CC" w:rsidRDefault="006C56CC" w:rsidP="00540250">
            <w:pPr>
              <w:rPr>
                <w:rFonts w:ascii="Liberation Sans" w:eastAsia="Liberation Sans" w:hAnsi="Liberation Sans" w:cs="Liberation Sans"/>
              </w:rPr>
            </w:pPr>
            <w:r>
              <w:rPr>
                <w:rFonts w:ascii="Liberation Sans" w:eastAsia="Liberation Sans" w:hAnsi="Liberation Sans" w:cs="Liberation Sans"/>
              </w:rPr>
              <w:t> </w:t>
            </w:r>
          </w:p>
        </w:tc>
        <w:tc>
          <w:tcPr>
            <w:tcW w:w="1432" w:type="dxa"/>
            <w:tcBorders>
              <w:top w:val="nil"/>
              <w:left w:val="nil"/>
              <w:bottom w:val="single" w:sz="4" w:space="0" w:color="FFFFFF"/>
              <w:right w:val="single" w:sz="4" w:space="0" w:color="000000"/>
            </w:tcBorders>
            <w:shd w:val="clear" w:color="auto" w:fill="auto"/>
            <w:vAlign w:val="bottom"/>
          </w:tcPr>
          <w:p w14:paraId="2D05A96B" w14:textId="77777777" w:rsidR="006C56CC" w:rsidRDefault="006C56CC" w:rsidP="00540250">
            <w:pPr>
              <w:rPr>
                <w:sz w:val="20"/>
                <w:szCs w:val="20"/>
              </w:rPr>
            </w:pPr>
            <w:r>
              <w:rPr>
                <w:sz w:val="20"/>
                <w:szCs w:val="20"/>
              </w:rPr>
              <w:t>98.8</w:t>
            </w:r>
          </w:p>
        </w:tc>
        <w:tc>
          <w:tcPr>
            <w:tcW w:w="1433" w:type="dxa"/>
            <w:tcBorders>
              <w:top w:val="nil"/>
              <w:left w:val="nil"/>
              <w:bottom w:val="single" w:sz="4" w:space="0" w:color="FFFFFF"/>
              <w:right w:val="single" w:sz="4" w:space="0" w:color="000000"/>
            </w:tcBorders>
            <w:shd w:val="clear" w:color="auto" w:fill="auto"/>
            <w:vAlign w:val="bottom"/>
          </w:tcPr>
          <w:p w14:paraId="4D414B88" w14:textId="77777777" w:rsidR="006C56CC" w:rsidRDefault="006C56CC" w:rsidP="00540250">
            <w:pPr>
              <w:rPr>
                <w:sz w:val="20"/>
                <w:szCs w:val="20"/>
              </w:rPr>
            </w:pPr>
            <w:r>
              <w:rPr>
                <w:sz w:val="20"/>
                <w:szCs w:val="20"/>
              </w:rPr>
              <w:t>97.7</w:t>
            </w:r>
          </w:p>
        </w:tc>
        <w:tc>
          <w:tcPr>
            <w:tcW w:w="1433" w:type="dxa"/>
            <w:tcBorders>
              <w:top w:val="nil"/>
              <w:left w:val="nil"/>
              <w:bottom w:val="single" w:sz="4" w:space="0" w:color="FFFFFF"/>
              <w:right w:val="single" w:sz="4" w:space="0" w:color="000000"/>
            </w:tcBorders>
            <w:shd w:val="clear" w:color="auto" w:fill="auto"/>
            <w:vAlign w:val="bottom"/>
          </w:tcPr>
          <w:p w14:paraId="5CFB7C31" w14:textId="77777777" w:rsidR="006C56CC" w:rsidRDefault="006C56CC" w:rsidP="00540250">
            <w:pPr>
              <w:rPr>
                <w:sz w:val="20"/>
                <w:szCs w:val="20"/>
              </w:rPr>
            </w:pPr>
            <w:r>
              <w:rPr>
                <w:sz w:val="20"/>
                <w:szCs w:val="20"/>
              </w:rPr>
              <w:t>1.7</w:t>
            </w:r>
          </w:p>
        </w:tc>
        <w:tc>
          <w:tcPr>
            <w:tcW w:w="1433" w:type="dxa"/>
            <w:tcBorders>
              <w:top w:val="nil"/>
              <w:left w:val="nil"/>
              <w:bottom w:val="single" w:sz="4" w:space="0" w:color="FFFFFF"/>
              <w:right w:val="single" w:sz="4" w:space="0" w:color="000000"/>
            </w:tcBorders>
            <w:shd w:val="clear" w:color="auto" w:fill="auto"/>
            <w:vAlign w:val="bottom"/>
          </w:tcPr>
          <w:p w14:paraId="36D85132" w14:textId="77777777" w:rsidR="006C56CC" w:rsidRDefault="006C56CC" w:rsidP="00540250">
            <w:pPr>
              <w:rPr>
                <w:sz w:val="20"/>
                <w:szCs w:val="20"/>
              </w:rPr>
            </w:pPr>
            <w:r>
              <w:rPr>
                <w:sz w:val="20"/>
                <w:szCs w:val="20"/>
              </w:rPr>
              <w:t>12.4</w:t>
            </w:r>
          </w:p>
        </w:tc>
        <w:tc>
          <w:tcPr>
            <w:tcW w:w="1433" w:type="dxa"/>
            <w:tcBorders>
              <w:top w:val="nil"/>
              <w:left w:val="nil"/>
              <w:bottom w:val="single" w:sz="4" w:space="0" w:color="FFFFFF"/>
              <w:right w:val="single" w:sz="4" w:space="0" w:color="FFFFFF"/>
            </w:tcBorders>
            <w:shd w:val="clear" w:color="auto" w:fill="auto"/>
            <w:vAlign w:val="bottom"/>
          </w:tcPr>
          <w:p w14:paraId="23AFCC7F" w14:textId="77777777" w:rsidR="006C56CC" w:rsidRDefault="006C56CC" w:rsidP="00540250">
            <w:pPr>
              <w:rPr>
                <w:sz w:val="20"/>
                <w:szCs w:val="20"/>
              </w:rPr>
            </w:pPr>
            <w:r>
              <w:rPr>
                <w:sz w:val="20"/>
                <w:szCs w:val="20"/>
              </w:rPr>
              <w:t>71.5</w:t>
            </w:r>
          </w:p>
        </w:tc>
      </w:tr>
      <w:tr w:rsidR="006C56CC" w14:paraId="58D76799" w14:textId="77777777" w:rsidTr="00BD0692">
        <w:trPr>
          <w:trHeight w:val="300"/>
        </w:trPr>
        <w:tc>
          <w:tcPr>
            <w:tcW w:w="1909" w:type="dxa"/>
            <w:tcBorders>
              <w:top w:val="nil"/>
              <w:left w:val="single" w:sz="4" w:space="0" w:color="FFFFFF"/>
              <w:bottom w:val="single" w:sz="4" w:space="0" w:color="FFFFFF"/>
              <w:right w:val="single" w:sz="4" w:space="0" w:color="FFFFFF"/>
            </w:tcBorders>
            <w:shd w:val="clear" w:color="auto" w:fill="auto"/>
            <w:vAlign w:val="bottom"/>
          </w:tcPr>
          <w:p w14:paraId="338854BA" w14:textId="77777777" w:rsidR="006C56CC" w:rsidRDefault="006C56CC" w:rsidP="00540250">
            <w:pPr>
              <w:rPr>
                <w:rFonts w:ascii="Liberation Sans" w:eastAsia="Liberation Sans" w:hAnsi="Liberation Sans" w:cs="Liberation Sans"/>
                <w:sz w:val="20"/>
                <w:szCs w:val="20"/>
              </w:rPr>
            </w:pPr>
            <w:r>
              <w:rPr>
                <w:rFonts w:ascii="Liberation Sans" w:eastAsia="Liberation Sans" w:hAnsi="Liberation Sans" w:cs="Liberation Sans"/>
                <w:sz w:val="20"/>
                <w:szCs w:val="20"/>
              </w:rPr>
              <w:t> </w:t>
            </w:r>
          </w:p>
        </w:tc>
        <w:tc>
          <w:tcPr>
            <w:tcW w:w="277" w:type="dxa"/>
            <w:tcBorders>
              <w:top w:val="nil"/>
              <w:left w:val="nil"/>
              <w:bottom w:val="single" w:sz="4" w:space="0" w:color="FFFFFF"/>
              <w:right w:val="single" w:sz="4" w:space="0" w:color="FFFFFF"/>
            </w:tcBorders>
            <w:shd w:val="clear" w:color="auto" w:fill="auto"/>
            <w:vAlign w:val="bottom"/>
          </w:tcPr>
          <w:p w14:paraId="102730E6" w14:textId="77777777" w:rsidR="006C56CC" w:rsidRDefault="006C56CC" w:rsidP="00540250">
            <w:pPr>
              <w:rPr>
                <w:rFonts w:ascii="Liberation Sans" w:eastAsia="Liberation Sans" w:hAnsi="Liberation Sans" w:cs="Liberation Sans"/>
              </w:rPr>
            </w:pPr>
            <w:r>
              <w:rPr>
                <w:rFonts w:ascii="Liberation Sans" w:eastAsia="Liberation Sans" w:hAnsi="Liberation Sans" w:cs="Liberation Sans"/>
              </w:rPr>
              <w:t> </w:t>
            </w:r>
          </w:p>
        </w:tc>
        <w:tc>
          <w:tcPr>
            <w:tcW w:w="1432" w:type="dxa"/>
            <w:tcBorders>
              <w:top w:val="nil"/>
              <w:left w:val="nil"/>
              <w:bottom w:val="single" w:sz="4" w:space="0" w:color="FFFFFF"/>
              <w:right w:val="single" w:sz="4" w:space="0" w:color="000000"/>
            </w:tcBorders>
            <w:shd w:val="clear" w:color="auto" w:fill="auto"/>
            <w:vAlign w:val="bottom"/>
          </w:tcPr>
          <w:p w14:paraId="4A8BAC6A" w14:textId="77777777" w:rsidR="006C56CC" w:rsidRDefault="006C56CC" w:rsidP="00540250">
            <w:pPr>
              <w:rPr>
                <w:sz w:val="20"/>
                <w:szCs w:val="20"/>
              </w:rPr>
            </w:pPr>
            <w:r>
              <w:rPr>
                <w:sz w:val="20"/>
                <w:szCs w:val="20"/>
              </w:rPr>
              <w:t>99.0</w:t>
            </w:r>
          </w:p>
        </w:tc>
        <w:tc>
          <w:tcPr>
            <w:tcW w:w="1433" w:type="dxa"/>
            <w:tcBorders>
              <w:top w:val="nil"/>
              <w:left w:val="nil"/>
              <w:bottom w:val="single" w:sz="4" w:space="0" w:color="FFFFFF"/>
              <w:right w:val="single" w:sz="4" w:space="0" w:color="000000"/>
            </w:tcBorders>
            <w:shd w:val="clear" w:color="auto" w:fill="auto"/>
            <w:vAlign w:val="bottom"/>
          </w:tcPr>
          <w:p w14:paraId="6B623592" w14:textId="77777777" w:rsidR="006C56CC" w:rsidRDefault="006C56CC" w:rsidP="00540250">
            <w:pPr>
              <w:rPr>
                <w:sz w:val="20"/>
                <w:szCs w:val="20"/>
              </w:rPr>
            </w:pPr>
            <w:r>
              <w:rPr>
                <w:sz w:val="20"/>
                <w:szCs w:val="20"/>
              </w:rPr>
              <w:t>98.5</w:t>
            </w:r>
          </w:p>
        </w:tc>
        <w:tc>
          <w:tcPr>
            <w:tcW w:w="1433" w:type="dxa"/>
            <w:tcBorders>
              <w:top w:val="nil"/>
              <w:left w:val="nil"/>
              <w:bottom w:val="single" w:sz="4" w:space="0" w:color="FFFFFF"/>
              <w:right w:val="single" w:sz="4" w:space="0" w:color="000000"/>
            </w:tcBorders>
            <w:shd w:val="clear" w:color="auto" w:fill="auto"/>
            <w:vAlign w:val="bottom"/>
          </w:tcPr>
          <w:p w14:paraId="31AE24CA" w14:textId="77777777" w:rsidR="006C56CC" w:rsidRDefault="006C56CC" w:rsidP="00540250">
            <w:pPr>
              <w:rPr>
                <w:sz w:val="20"/>
                <w:szCs w:val="20"/>
              </w:rPr>
            </w:pPr>
            <w:r>
              <w:rPr>
                <w:sz w:val="20"/>
                <w:szCs w:val="20"/>
              </w:rPr>
              <w:t>39.1</w:t>
            </w:r>
          </w:p>
        </w:tc>
        <w:tc>
          <w:tcPr>
            <w:tcW w:w="1433" w:type="dxa"/>
            <w:tcBorders>
              <w:top w:val="nil"/>
              <w:left w:val="nil"/>
              <w:bottom w:val="single" w:sz="4" w:space="0" w:color="FFFFFF"/>
              <w:right w:val="single" w:sz="4" w:space="0" w:color="000000"/>
            </w:tcBorders>
            <w:shd w:val="clear" w:color="auto" w:fill="auto"/>
            <w:vAlign w:val="bottom"/>
          </w:tcPr>
          <w:p w14:paraId="00C631E1" w14:textId="77777777" w:rsidR="006C56CC" w:rsidRDefault="006C56CC" w:rsidP="00540250">
            <w:pPr>
              <w:rPr>
                <w:sz w:val="20"/>
                <w:szCs w:val="20"/>
              </w:rPr>
            </w:pPr>
            <w:r>
              <w:rPr>
                <w:sz w:val="20"/>
                <w:szCs w:val="20"/>
              </w:rPr>
              <w:t>13.3</w:t>
            </w:r>
          </w:p>
        </w:tc>
        <w:tc>
          <w:tcPr>
            <w:tcW w:w="1433" w:type="dxa"/>
            <w:tcBorders>
              <w:top w:val="nil"/>
              <w:left w:val="nil"/>
              <w:bottom w:val="single" w:sz="4" w:space="0" w:color="FFFFFF"/>
              <w:right w:val="single" w:sz="4" w:space="0" w:color="FFFFFF"/>
            </w:tcBorders>
            <w:shd w:val="clear" w:color="auto" w:fill="auto"/>
            <w:vAlign w:val="bottom"/>
          </w:tcPr>
          <w:p w14:paraId="4E7425B5" w14:textId="77777777" w:rsidR="006C56CC" w:rsidRDefault="006C56CC" w:rsidP="00540250">
            <w:pPr>
              <w:rPr>
                <w:sz w:val="20"/>
                <w:szCs w:val="20"/>
              </w:rPr>
            </w:pPr>
            <w:r>
              <w:rPr>
                <w:sz w:val="20"/>
                <w:szCs w:val="20"/>
              </w:rPr>
              <w:t>75.5</w:t>
            </w:r>
          </w:p>
        </w:tc>
      </w:tr>
      <w:tr w:rsidR="006C56CC" w14:paraId="14278ACF" w14:textId="77777777" w:rsidTr="00BD0692">
        <w:trPr>
          <w:trHeight w:val="300"/>
        </w:trPr>
        <w:tc>
          <w:tcPr>
            <w:tcW w:w="1909" w:type="dxa"/>
            <w:tcBorders>
              <w:top w:val="nil"/>
              <w:left w:val="single" w:sz="4" w:space="0" w:color="FFFFFF"/>
              <w:bottom w:val="single" w:sz="4" w:space="0" w:color="FFFFFF"/>
              <w:right w:val="single" w:sz="4" w:space="0" w:color="FFFFFF"/>
            </w:tcBorders>
            <w:shd w:val="clear" w:color="auto" w:fill="auto"/>
            <w:vAlign w:val="bottom"/>
          </w:tcPr>
          <w:p w14:paraId="5AAE2B87" w14:textId="77777777" w:rsidR="006C56CC" w:rsidRDefault="006C56CC" w:rsidP="00540250">
            <w:pPr>
              <w:rPr>
                <w:rFonts w:ascii="Liberation Sans" w:eastAsia="Liberation Sans" w:hAnsi="Liberation Sans" w:cs="Liberation Sans"/>
                <w:sz w:val="20"/>
                <w:szCs w:val="20"/>
              </w:rPr>
            </w:pPr>
            <w:r>
              <w:rPr>
                <w:rFonts w:ascii="Liberation Sans" w:eastAsia="Liberation Sans" w:hAnsi="Liberation Sans" w:cs="Liberation Sans"/>
                <w:sz w:val="20"/>
                <w:szCs w:val="20"/>
              </w:rPr>
              <w:t> </w:t>
            </w:r>
          </w:p>
        </w:tc>
        <w:tc>
          <w:tcPr>
            <w:tcW w:w="277" w:type="dxa"/>
            <w:tcBorders>
              <w:top w:val="nil"/>
              <w:left w:val="nil"/>
              <w:bottom w:val="single" w:sz="4" w:space="0" w:color="FFFFFF"/>
              <w:right w:val="single" w:sz="4" w:space="0" w:color="FFFFFF"/>
            </w:tcBorders>
            <w:shd w:val="clear" w:color="auto" w:fill="auto"/>
            <w:vAlign w:val="bottom"/>
          </w:tcPr>
          <w:p w14:paraId="66C8B6CD" w14:textId="77777777" w:rsidR="006C56CC" w:rsidRDefault="006C56CC" w:rsidP="00540250">
            <w:pPr>
              <w:rPr>
                <w:rFonts w:ascii="Liberation Sans" w:eastAsia="Liberation Sans" w:hAnsi="Liberation Sans" w:cs="Liberation Sans"/>
              </w:rPr>
            </w:pPr>
            <w:r>
              <w:rPr>
                <w:rFonts w:ascii="Liberation Sans" w:eastAsia="Liberation Sans" w:hAnsi="Liberation Sans" w:cs="Liberation Sans"/>
              </w:rPr>
              <w:t> </w:t>
            </w:r>
          </w:p>
        </w:tc>
        <w:tc>
          <w:tcPr>
            <w:tcW w:w="1432" w:type="dxa"/>
            <w:tcBorders>
              <w:top w:val="nil"/>
              <w:left w:val="nil"/>
              <w:bottom w:val="single" w:sz="4" w:space="0" w:color="FFFFFF"/>
              <w:right w:val="single" w:sz="4" w:space="0" w:color="000000"/>
            </w:tcBorders>
            <w:shd w:val="clear" w:color="auto" w:fill="auto"/>
            <w:vAlign w:val="bottom"/>
          </w:tcPr>
          <w:p w14:paraId="3D19D1BB" w14:textId="77777777" w:rsidR="006C56CC" w:rsidRDefault="006C56CC" w:rsidP="00540250">
            <w:pPr>
              <w:rPr>
                <w:sz w:val="20"/>
                <w:szCs w:val="20"/>
              </w:rPr>
            </w:pPr>
            <w:r>
              <w:rPr>
                <w:sz w:val="20"/>
                <w:szCs w:val="20"/>
              </w:rPr>
              <w:t>99.1</w:t>
            </w:r>
          </w:p>
        </w:tc>
        <w:tc>
          <w:tcPr>
            <w:tcW w:w="1433" w:type="dxa"/>
            <w:tcBorders>
              <w:top w:val="nil"/>
              <w:left w:val="nil"/>
              <w:bottom w:val="single" w:sz="4" w:space="0" w:color="FFFFFF"/>
              <w:right w:val="single" w:sz="4" w:space="0" w:color="000000"/>
            </w:tcBorders>
            <w:shd w:val="clear" w:color="auto" w:fill="auto"/>
            <w:vAlign w:val="bottom"/>
          </w:tcPr>
          <w:p w14:paraId="228FC50F" w14:textId="77777777" w:rsidR="006C56CC" w:rsidRDefault="006C56CC" w:rsidP="00540250">
            <w:pPr>
              <w:rPr>
                <w:sz w:val="20"/>
                <w:szCs w:val="20"/>
              </w:rPr>
            </w:pPr>
            <w:r>
              <w:rPr>
                <w:sz w:val="20"/>
                <w:szCs w:val="20"/>
              </w:rPr>
              <w:t>98.7</w:t>
            </w:r>
          </w:p>
        </w:tc>
        <w:tc>
          <w:tcPr>
            <w:tcW w:w="1433" w:type="dxa"/>
            <w:tcBorders>
              <w:top w:val="nil"/>
              <w:left w:val="nil"/>
              <w:bottom w:val="single" w:sz="4" w:space="0" w:color="FFFFFF"/>
              <w:right w:val="single" w:sz="4" w:space="0" w:color="000000"/>
            </w:tcBorders>
            <w:shd w:val="clear" w:color="auto" w:fill="auto"/>
            <w:vAlign w:val="bottom"/>
          </w:tcPr>
          <w:p w14:paraId="008786ED" w14:textId="77777777" w:rsidR="006C56CC" w:rsidRDefault="006C56CC" w:rsidP="00540250">
            <w:pPr>
              <w:rPr>
                <w:sz w:val="20"/>
                <w:szCs w:val="20"/>
              </w:rPr>
            </w:pPr>
            <w:r>
              <w:rPr>
                <w:sz w:val="20"/>
                <w:szCs w:val="20"/>
              </w:rPr>
              <w:t>98.4</w:t>
            </w:r>
          </w:p>
        </w:tc>
        <w:tc>
          <w:tcPr>
            <w:tcW w:w="1433" w:type="dxa"/>
            <w:tcBorders>
              <w:top w:val="nil"/>
              <w:left w:val="nil"/>
              <w:bottom w:val="single" w:sz="4" w:space="0" w:color="FFFFFF"/>
              <w:right w:val="single" w:sz="4" w:space="0" w:color="000000"/>
            </w:tcBorders>
            <w:shd w:val="clear" w:color="auto" w:fill="auto"/>
            <w:vAlign w:val="bottom"/>
          </w:tcPr>
          <w:p w14:paraId="6A4FE798" w14:textId="77777777" w:rsidR="006C56CC" w:rsidRDefault="006C56CC" w:rsidP="00540250">
            <w:pPr>
              <w:rPr>
                <w:sz w:val="20"/>
                <w:szCs w:val="20"/>
              </w:rPr>
            </w:pPr>
            <w:r>
              <w:rPr>
                <w:sz w:val="20"/>
                <w:szCs w:val="20"/>
              </w:rPr>
              <w:t>33.0</w:t>
            </w:r>
          </w:p>
        </w:tc>
        <w:tc>
          <w:tcPr>
            <w:tcW w:w="1433" w:type="dxa"/>
            <w:tcBorders>
              <w:top w:val="nil"/>
              <w:left w:val="nil"/>
              <w:bottom w:val="single" w:sz="4" w:space="0" w:color="FFFFFF"/>
              <w:right w:val="single" w:sz="4" w:space="0" w:color="FFFFFF"/>
            </w:tcBorders>
            <w:shd w:val="clear" w:color="auto" w:fill="auto"/>
            <w:vAlign w:val="bottom"/>
          </w:tcPr>
          <w:p w14:paraId="1674A696" w14:textId="77777777" w:rsidR="006C56CC" w:rsidRDefault="006C56CC" w:rsidP="00540250">
            <w:pPr>
              <w:rPr>
                <w:sz w:val="20"/>
                <w:szCs w:val="20"/>
              </w:rPr>
            </w:pPr>
            <w:r>
              <w:rPr>
                <w:sz w:val="20"/>
                <w:szCs w:val="20"/>
              </w:rPr>
              <w:t>76.0</w:t>
            </w:r>
          </w:p>
        </w:tc>
      </w:tr>
      <w:tr w:rsidR="006C56CC" w14:paraId="7518B64D" w14:textId="77777777" w:rsidTr="00BD0692">
        <w:trPr>
          <w:trHeight w:val="300"/>
        </w:trPr>
        <w:tc>
          <w:tcPr>
            <w:tcW w:w="1909" w:type="dxa"/>
            <w:tcBorders>
              <w:top w:val="nil"/>
              <w:left w:val="single" w:sz="4" w:space="0" w:color="FFFFFF"/>
              <w:bottom w:val="nil"/>
              <w:right w:val="single" w:sz="4" w:space="0" w:color="FFFFFF"/>
            </w:tcBorders>
            <w:shd w:val="clear" w:color="auto" w:fill="auto"/>
            <w:vAlign w:val="bottom"/>
          </w:tcPr>
          <w:p w14:paraId="4C04D129" w14:textId="77777777" w:rsidR="006C56CC" w:rsidRDefault="006C56CC" w:rsidP="00540250">
            <w:pPr>
              <w:rPr>
                <w:rFonts w:ascii="Liberation Sans" w:eastAsia="Liberation Sans" w:hAnsi="Liberation Sans" w:cs="Liberation Sans"/>
                <w:sz w:val="20"/>
                <w:szCs w:val="20"/>
              </w:rPr>
            </w:pPr>
            <w:r>
              <w:rPr>
                <w:rFonts w:ascii="Liberation Sans" w:eastAsia="Liberation Sans" w:hAnsi="Liberation Sans" w:cs="Liberation Sans"/>
                <w:sz w:val="20"/>
                <w:szCs w:val="20"/>
              </w:rPr>
              <w:t> </w:t>
            </w:r>
          </w:p>
        </w:tc>
        <w:tc>
          <w:tcPr>
            <w:tcW w:w="277" w:type="dxa"/>
            <w:tcBorders>
              <w:top w:val="nil"/>
              <w:left w:val="nil"/>
              <w:bottom w:val="nil"/>
              <w:right w:val="single" w:sz="4" w:space="0" w:color="FFFFFF"/>
            </w:tcBorders>
            <w:shd w:val="clear" w:color="auto" w:fill="auto"/>
            <w:vAlign w:val="bottom"/>
          </w:tcPr>
          <w:p w14:paraId="6FD8E0F1" w14:textId="77777777" w:rsidR="006C56CC" w:rsidRDefault="006C56CC" w:rsidP="00540250">
            <w:pPr>
              <w:rPr>
                <w:rFonts w:ascii="Liberation Sans" w:eastAsia="Liberation Sans" w:hAnsi="Liberation Sans" w:cs="Liberation Sans"/>
              </w:rPr>
            </w:pPr>
            <w:r>
              <w:rPr>
                <w:rFonts w:ascii="Liberation Sans" w:eastAsia="Liberation Sans" w:hAnsi="Liberation Sans" w:cs="Liberation Sans"/>
              </w:rPr>
              <w:t> </w:t>
            </w:r>
          </w:p>
        </w:tc>
        <w:tc>
          <w:tcPr>
            <w:tcW w:w="1432" w:type="dxa"/>
            <w:tcBorders>
              <w:top w:val="nil"/>
              <w:left w:val="nil"/>
              <w:bottom w:val="nil"/>
              <w:right w:val="single" w:sz="4" w:space="0" w:color="000000"/>
            </w:tcBorders>
            <w:shd w:val="clear" w:color="auto" w:fill="auto"/>
            <w:vAlign w:val="bottom"/>
          </w:tcPr>
          <w:p w14:paraId="6E3A6F97" w14:textId="77777777" w:rsidR="006C56CC" w:rsidRDefault="006C56CC" w:rsidP="00540250">
            <w:pPr>
              <w:rPr>
                <w:sz w:val="20"/>
                <w:szCs w:val="20"/>
              </w:rPr>
            </w:pPr>
            <w:r>
              <w:rPr>
                <w:sz w:val="20"/>
                <w:szCs w:val="20"/>
              </w:rPr>
              <w:t>99.1</w:t>
            </w:r>
          </w:p>
        </w:tc>
        <w:tc>
          <w:tcPr>
            <w:tcW w:w="1433" w:type="dxa"/>
            <w:tcBorders>
              <w:top w:val="nil"/>
              <w:left w:val="nil"/>
              <w:bottom w:val="nil"/>
              <w:right w:val="single" w:sz="4" w:space="0" w:color="000000"/>
            </w:tcBorders>
            <w:shd w:val="clear" w:color="auto" w:fill="auto"/>
            <w:vAlign w:val="bottom"/>
          </w:tcPr>
          <w:p w14:paraId="52D7DF60" w14:textId="77777777" w:rsidR="006C56CC" w:rsidRDefault="006C56CC" w:rsidP="00540250">
            <w:pPr>
              <w:rPr>
                <w:sz w:val="20"/>
                <w:szCs w:val="20"/>
              </w:rPr>
            </w:pPr>
            <w:r>
              <w:rPr>
                <w:sz w:val="20"/>
                <w:szCs w:val="20"/>
              </w:rPr>
              <w:t>98.7</w:t>
            </w:r>
          </w:p>
        </w:tc>
        <w:tc>
          <w:tcPr>
            <w:tcW w:w="1433" w:type="dxa"/>
            <w:tcBorders>
              <w:top w:val="nil"/>
              <w:left w:val="nil"/>
              <w:bottom w:val="nil"/>
              <w:right w:val="single" w:sz="4" w:space="0" w:color="000000"/>
            </w:tcBorders>
            <w:shd w:val="clear" w:color="auto" w:fill="auto"/>
            <w:vAlign w:val="bottom"/>
          </w:tcPr>
          <w:p w14:paraId="3EA158E4" w14:textId="77777777" w:rsidR="006C56CC" w:rsidRDefault="006C56CC" w:rsidP="00540250">
            <w:pPr>
              <w:rPr>
                <w:sz w:val="20"/>
                <w:szCs w:val="20"/>
              </w:rPr>
            </w:pPr>
            <w:r>
              <w:rPr>
                <w:sz w:val="20"/>
                <w:szCs w:val="20"/>
              </w:rPr>
              <w:t>99.1</w:t>
            </w:r>
          </w:p>
        </w:tc>
        <w:tc>
          <w:tcPr>
            <w:tcW w:w="1433" w:type="dxa"/>
            <w:tcBorders>
              <w:top w:val="nil"/>
              <w:left w:val="nil"/>
              <w:bottom w:val="nil"/>
              <w:right w:val="single" w:sz="4" w:space="0" w:color="000000"/>
            </w:tcBorders>
            <w:shd w:val="clear" w:color="auto" w:fill="auto"/>
            <w:vAlign w:val="bottom"/>
          </w:tcPr>
          <w:p w14:paraId="4EDBF5B3" w14:textId="77777777" w:rsidR="006C56CC" w:rsidRDefault="006C56CC" w:rsidP="00540250">
            <w:pPr>
              <w:rPr>
                <w:sz w:val="20"/>
                <w:szCs w:val="20"/>
              </w:rPr>
            </w:pPr>
            <w:r>
              <w:rPr>
                <w:sz w:val="20"/>
                <w:szCs w:val="20"/>
              </w:rPr>
              <w:t>45.0</w:t>
            </w:r>
          </w:p>
        </w:tc>
        <w:tc>
          <w:tcPr>
            <w:tcW w:w="1433" w:type="dxa"/>
            <w:tcBorders>
              <w:top w:val="nil"/>
              <w:left w:val="nil"/>
              <w:bottom w:val="nil"/>
              <w:right w:val="single" w:sz="4" w:space="0" w:color="FFFFFF"/>
            </w:tcBorders>
            <w:shd w:val="clear" w:color="auto" w:fill="auto"/>
            <w:vAlign w:val="bottom"/>
          </w:tcPr>
          <w:p w14:paraId="676DA9D1" w14:textId="77777777" w:rsidR="006C56CC" w:rsidRDefault="006C56CC" w:rsidP="00540250">
            <w:pPr>
              <w:rPr>
                <w:sz w:val="20"/>
                <w:szCs w:val="20"/>
              </w:rPr>
            </w:pPr>
            <w:r>
              <w:rPr>
                <w:sz w:val="20"/>
                <w:szCs w:val="20"/>
              </w:rPr>
              <w:t>76.0</w:t>
            </w:r>
          </w:p>
        </w:tc>
      </w:tr>
      <w:tr w:rsidR="006C56CC" w14:paraId="05A9A88F" w14:textId="77777777" w:rsidTr="00BD0692">
        <w:trPr>
          <w:trHeight w:val="300"/>
        </w:trPr>
        <w:tc>
          <w:tcPr>
            <w:tcW w:w="1909" w:type="dxa"/>
            <w:tcBorders>
              <w:top w:val="single" w:sz="4" w:space="0" w:color="000000"/>
              <w:left w:val="single" w:sz="4" w:space="0" w:color="FFFFFF"/>
              <w:bottom w:val="single" w:sz="4" w:space="0" w:color="FFFFFF"/>
              <w:right w:val="single" w:sz="4" w:space="0" w:color="FFFFFF"/>
            </w:tcBorders>
            <w:shd w:val="clear" w:color="auto" w:fill="auto"/>
            <w:vAlign w:val="bottom"/>
          </w:tcPr>
          <w:p w14:paraId="5016A015" w14:textId="77777777" w:rsidR="006C56CC" w:rsidRDefault="006C56CC" w:rsidP="00540250">
            <w:pPr>
              <w:rPr>
                <w:rFonts w:ascii="Liberation Sans" w:eastAsia="Liberation Sans" w:hAnsi="Liberation Sans" w:cs="Liberation Sans"/>
                <w:sz w:val="20"/>
                <w:szCs w:val="20"/>
              </w:rPr>
            </w:pPr>
            <w:r>
              <w:rPr>
                <w:rFonts w:ascii="Liberation Sans" w:eastAsia="Liberation Sans" w:hAnsi="Liberation Sans" w:cs="Liberation Sans"/>
                <w:sz w:val="20"/>
                <w:szCs w:val="20"/>
              </w:rPr>
              <w:t xml:space="preserve">50% Mouse </w:t>
            </w:r>
          </w:p>
        </w:tc>
        <w:tc>
          <w:tcPr>
            <w:tcW w:w="277" w:type="dxa"/>
            <w:tcBorders>
              <w:top w:val="single" w:sz="4" w:space="0" w:color="000000"/>
              <w:left w:val="nil"/>
              <w:bottom w:val="single" w:sz="4" w:space="0" w:color="FFFFFF"/>
              <w:right w:val="single" w:sz="4" w:space="0" w:color="FFFFFF"/>
            </w:tcBorders>
            <w:shd w:val="clear" w:color="auto" w:fill="auto"/>
            <w:vAlign w:val="bottom"/>
          </w:tcPr>
          <w:p w14:paraId="0F082611" w14:textId="77777777" w:rsidR="006C56CC" w:rsidRDefault="006C56CC" w:rsidP="00540250">
            <w:pPr>
              <w:rPr>
                <w:rFonts w:ascii="Liberation Sans" w:eastAsia="Liberation Sans" w:hAnsi="Liberation Sans" w:cs="Liberation Sans"/>
              </w:rPr>
            </w:pPr>
            <w:r>
              <w:rPr>
                <w:rFonts w:ascii="Liberation Sans" w:eastAsia="Liberation Sans" w:hAnsi="Liberation Sans" w:cs="Liberation Sans"/>
              </w:rPr>
              <w:t> </w:t>
            </w:r>
          </w:p>
        </w:tc>
        <w:tc>
          <w:tcPr>
            <w:tcW w:w="1432" w:type="dxa"/>
            <w:tcBorders>
              <w:top w:val="single" w:sz="4" w:space="0" w:color="000000"/>
              <w:left w:val="nil"/>
              <w:bottom w:val="single" w:sz="4" w:space="0" w:color="FFFFFF"/>
              <w:right w:val="single" w:sz="4" w:space="0" w:color="000000"/>
            </w:tcBorders>
            <w:shd w:val="clear" w:color="auto" w:fill="auto"/>
            <w:vAlign w:val="bottom"/>
          </w:tcPr>
          <w:p w14:paraId="46A904E3" w14:textId="77777777" w:rsidR="006C56CC" w:rsidRDefault="006C56CC" w:rsidP="00540250">
            <w:pPr>
              <w:rPr>
                <w:sz w:val="20"/>
                <w:szCs w:val="20"/>
              </w:rPr>
            </w:pPr>
            <w:r>
              <w:rPr>
                <w:sz w:val="20"/>
                <w:szCs w:val="20"/>
              </w:rPr>
              <w:t>96.3</w:t>
            </w:r>
          </w:p>
        </w:tc>
        <w:tc>
          <w:tcPr>
            <w:tcW w:w="1433" w:type="dxa"/>
            <w:tcBorders>
              <w:top w:val="single" w:sz="4" w:space="0" w:color="000000"/>
              <w:left w:val="nil"/>
              <w:bottom w:val="single" w:sz="4" w:space="0" w:color="FFFFFF"/>
              <w:right w:val="single" w:sz="4" w:space="0" w:color="000000"/>
            </w:tcBorders>
            <w:shd w:val="clear" w:color="auto" w:fill="auto"/>
            <w:vAlign w:val="bottom"/>
          </w:tcPr>
          <w:p w14:paraId="5D2D4078" w14:textId="77777777" w:rsidR="006C56CC" w:rsidRDefault="006C56CC" w:rsidP="00540250">
            <w:pPr>
              <w:rPr>
                <w:sz w:val="20"/>
                <w:szCs w:val="20"/>
              </w:rPr>
            </w:pPr>
            <w:r>
              <w:rPr>
                <w:sz w:val="20"/>
                <w:szCs w:val="20"/>
              </w:rPr>
              <w:t>94.0</w:t>
            </w:r>
          </w:p>
        </w:tc>
        <w:tc>
          <w:tcPr>
            <w:tcW w:w="1433" w:type="dxa"/>
            <w:tcBorders>
              <w:top w:val="single" w:sz="4" w:space="0" w:color="000000"/>
              <w:left w:val="nil"/>
              <w:bottom w:val="single" w:sz="4" w:space="0" w:color="FFFFFF"/>
              <w:right w:val="single" w:sz="4" w:space="0" w:color="000000"/>
            </w:tcBorders>
            <w:shd w:val="clear" w:color="auto" w:fill="auto"/>
            <w:vAlign w:val="bottom"/>
          </w:tcPr>
          <w:p w14:paraId="2C0F2ACA" w14:textId="77777777" w:rsidR="006C56CC" w:rsidRDefault="006C56CC" w:rsidP="00540250">
            <w:pPr>
              <w:rPr>
                <w:sz w:val="20"/>
                <w:szCs w:val="20"/>
              </w:rPr>
            </w:pPr>
            <w:r>
              <w:rPr>
                <w:sz w:val="20"/>
                <w:szCs w:val="20"/>
              </w:rPr>
              <w:t>N/A</w:t>
            </w:r>
          </w:p>
        </w:tc>
        <w:tc>
          <w:tcPr>
            <w:tcW w:w="1433" w:type="dxa"/>
            <w:tcBorders>
              <w:top w:val="single" w:sz="4" w:space="0" w:color="000000"/>
              <w:left w:val="nil"/>
              <w:bottom w:val="single" w:sz="4" w:space="0" w:color="FFFFFF"/>
              <w:right w:val="single" w:sz="4" w:space="0" w:color="000000"/>
            </w:tcBorders>
            <w:shd w:val="clear" w:color="auto" w:fill="auto"/>
            <w:vAlign w:val="bottom"/>
          </w:tcPr>
          <w:p w14:paraId="5CE95023" w14:textId="77777777" w:rsidR="006C56CC" w:rsidRDefault="006C56CC" w:rsidP="00540250">
            <w:pPr>
              <w:rPr>
                <w:sz w:val="20"/>
                <w:szCs w:val="20"/>
              </w:rPr>
            </w:pPr>
            <w:r>
              <w:rPr>
                <w:sz w:val="20"/>
                <w:szCs w:val="20"/>
              </w:rPr>
              <w:t>2.2</w:t>
            </w:r>
          </w:p>
        </w:tc>
        <w:tc>
          <w:tcPr>
            <w:tcW w:w="1433" w:type="dxa"/>
            <w:tcBorders>
              <w:top w:val="single" w:sz="4" w:space="0" w:color="000000"/>
              <w:left w:val="nil"/>
              <w:bottom w:val="single" w:sz="4" w:space="0" w:color="FFFFFF"/>
              <w:right w:val="single" w:sz="4" w:space="0" w:color="FFFFFF"/>
            </w:tcBorders>
            <w:shd w:val="clear" w:color="auto" w:fill="auto"/>
            <w:vAlign w:val="bottom"/>
          </w:tcPr>
          <w:p w14:paraId="7DB436DD" w14:textId="77777777" w:rsidR="006C56CC" w:rsidRDefault="006C56CC" w:rsidP="00540250">
            <w:pPr>
              <w:rPr>
                <w:sz w:val="20"/>
                <w:szCs w:val="20"/>
              </w:rPr>
            </w:pPr>
            <w:r>
              <w:rPr>
                <w:sz w:val="20"/>
                <w:szCs w:val="20"/>
              </w:rPr>
              <w:t>56.3</w:t>
            </w:r>
          </w:p>
        </w:tc>
      </w:tr>
      <w:tr w:rsidR="006C56CC" w14:paraId="59D1ADBD" w14:textId="77777777" w:rsidTr="00BD0692">
        <w:trPr>
          <w:trHeight w:val="300"/>
        </w:trPr>
        <w:tc>
          <w:tcPr>
            <w:tcW w:w="1909" w:type="dxa"/>
            <w:tcBorders>
              <w:top w:val="nil"/>
              <w:left w:val="single" w:sz="4" w:space="0" w:color="FFFFFF"/>
              <w:bottom w:val="single" w:sz="4" w:space="0" w:color="FFFFFF"/>
              <w:right w:val="single" w:sz="4" w:space="0" w:color="FFFFFF"/>
            </w:tcBorders>
            <w:shd w:val="clear" w:color="auto" w:fill="auto"/>
            <w:vAlign w:val="bottom"/>
          </w:tcPr>
          <w:p w14:paraId="58B43B8E" w14:textId="77777777" w:rsidR="006C56CC" w:rsidRDefault="006C56CC" w:rsidP="00540250">
            <w:pPr>
              <w:rPr>
                <w:rFonts w:ascii="Liberation Sans" w:eastAsia="Liberation Sans" w:hAnsi="Liberation Sans" w:cs="Liberation Sans"/>
                <w:sz w:val="20"/>
                <w:szCs w:val="20"/>
              </w:rPr>
            </w:pPr>
            <w:r>
              <w:rPr>
                <w:rFonts w:ascii="Liberation Sans" w:eastAsia="Liberation Sans" w:hAnsi="Liberation Sans" w:cs="Liberation Sans"/>
                <w:sz w:val="20"/>
                <w:szCs w:val="20"/>
              </w:rPr>
              <w:t>Contamination</w:t>
            </w:r>
          </w:p>
        </w:tc>
        <w:tc>
          <w:tcPr>
            <w:tcW w:w="277" w:type="dxa"/>
            <w:tcBorders>
              <w:top w:val="nil"/>
              <w:left w:val="nil"/>
              <w:bottom w:val="single" w:sz="4" w:space="0" w:color="FFFFFF"/>
              <w:right w:val="single" w:sz="4" w:space="0" w:color="FFFFFF"/>
            </w:tcBorders>
            <w:shd w:val="clear" w:color="auto" w:fill="auto"/>
            <w:vAlign w:val="bottom"/>
          </w:tcPr>
          <w:p w14:paraId="155DACFA" w14:textId="77777777" w:rsidR="006C56CC" w:rsidRDefault="006C56CC" w:rsidP="00540250">
            <w:pPr>
              <w:rPr>
                <w:rFonts w:ascii="Liberation Sans" w:eastAsia="Liberation Sans" w:hAnsi="Liberation Sans" w:cs="Liberation Sans"/>
              </w:rPr>
            </w:pPr>
            <w:r>
              <w:rPr>
                <w:rFonts w:ascii="Liberation Sans" w:eastAsia="Liberation Sans" w:hAnsi="Liberation Sans" w:cs="Liberation Sans"/>
              </w:rPr>
              <w:t> </w:t>
            </w:r>
          </w:p>
        </w:tc>
        <w:tc>
          <w:tcPr>
            <w:tcW w:w="1432" w:type="dxa"/>
            <w:tcBorders>
              <w:top w:val="nil"/>
              <w:left w:val="nil"/>
              <w:bottom w:val="single" w:sz="4" w:space="0" w:color="FFFFFF"/>
              <w:right w:val="single" w:sz="4" w:space="0" w:color="000000"/>
            </w:tcBorders>
            <w:shd w:val="clear" w:color="auto" w:fill="auto"/>
            <w:vAlign w:val="bottom"/>
          </w:tcPr>
          <w:p w14:paraId="45C1A5FF" w14:textId="77777777" w:rsidR="006C56CC" w:rsidRDefault="006C56CC" w:rsidP="00540250">
            <w:pPr>
              <w:rPr>
                <w:sz w:val="20"/>
                <w:szCs w:val="20"/>
              </w:rPr>
            </w:pPr>
            <w:r>
              <w:rPr>
                <w:sz w:val="20"/>
                <w:szCs w:val="20"/>
              </w:rPr>
              <w:t>98.7</w:t>
            </w:r>
          </w:p>
        </w:tc>
        <w:tc>
          <w:tcPr>
            <w:tcW w:w="1433" w:type="dxa"/>
            <w:tcBorders>
              <w:top w:val="nil"/>
              <w:left w:val="nil"/>
              <w:bottom w:val="single" w:sz="4" w:space="0" w:color="FFFFFF"/>
              <w:right w:val="single" w:sz="4" w:space="0" w:color="000000"/>
            </w:tcBorders>
            <w:shd w:val="clear" w:color="auto" w:fill="auto"/>
            <w:vAlign w:val="bottom"/>
          </w:tcPr>
          <w:p w14:paraId="310A03CD" w14:textId="77777777" w:rsidR="006C56CC" w:rsidRDefault="006C56CC" w:rsidP="00540250">
            <w:pPr>
              <w:rPr>
                <w:sz w:val="20"/>
                <w:szCs w:val="20"/>
              </w:rPr>
            </w:pPr>
            <w:r>
              <w:rPr>
                <w:sz w:val="20"/>
                <w:szCs w:val="20"/>
              </w:rPr>
              <w:t>97.7</w:t>
            </w:r>
          </w:p>
        </w:tc>
        <w:tc>
          <w:tcPr>
            <w:tcW w:w="1433" w:type="dxa"/>
            <w:tcBorders>
              <w:top w:val="nil"/>
              <w:left w:val="nil"/>
              <w:bottom w:val="single" w:sz="4" w:space="0" w:color="FFFFFF"/>
              <w:right w:val="single" w:sz="4" w:space="0" w:color="000000"/>
            </w:tcBorders>
            <w:shd w:val="clear" w:color="auto" w:fill="auto"/>
            <w:vAlign w:val="bottom"/>
          </w:tcPr>
          <w:p w14:paraId="684092FB" w14:textId="77777777" w:rsidR="006C56CC" w:rsidRDefault="006C56CC" w:rsidP="00540250">
            <w:pPr>
              <w:rPr>
                <w:sz w:val="20"/>
                <w:szCs w:val="20"/>
              </w:rPr>
            </w:pPr>
            <w:r>
              <w:rPr>
                <w:sz w:val="20"/>
                <w:szCs w:val="20"/>
              </w:rPr>
              <w:t>1.6</w:t>
            </w:r>
          </w:p>
        </w:tc>
        <w:tc>
          <w:tcPr>
            <w:tcW w:w="1433" w:type="dxa"/>
            <w:tcBorders>
              <w:top w:val="nil"/>
              <w:left w:val="nil"/>
              <w:bottom w:val="single" w:sz="4" w:space="0" w:color="FFFFFF"/>
              <w:right w:val="single" w:sz="4" w:space="0" w:color="000000"/>
            </w:tcBorders>
            <w:shd w:val="clear" w:color="auto" w:fill="auto"/>
            <w:vAlign w:val="bottom"/>
          </w:tcPr>
          <w:p w14:paraId="10539A47" w14:textId="77777777" w:rsidR="006C56CC" w:rsidRDefault="006C56CC" w:rsidP="00540250">
            <w:pPr>
              <w:rPr>
                <w:sz w:val="20"/>
                <w:szCs w:val="20"/>
              </w:rPr>
            </w:pPr>
            <w:r>
              <w:rPr>
                <w:sz w:val="20"/>
                <w:szCs w:val="20"/>
              </w:rPr>
              <w:t>12.4</w:t>
            </w:r>
          </w:p>
        </w:tc>
        <w:tc>
          <w:tcPr>
            <w:tcW w:w="1433" w:type="dxa"/>
            <w:tcBorders>
              <w:top w:val="nil"/>
              <w:left w:val="nil"/>
              <w:bottom w:val="single" w:sz="4" w:space="0" w:color="FFFFFF"/>
              <w:right w:val="single" w:sz="4" w:space="0" w:color="FFFFFF"/>
            </w:tcBorders>
            <w:shd w:val="clear" w:color="auto" w:fill="auto"/>
            <w:vAlign w:val="bottom"/>
          </w:tcPr>
          <w:p w14:paraId="72524944" w14:textId="77777777" w:rsidR="006C56CC" w:rsidRDefault="006C56CC" w:rsidP="00540250">
            <w:pPr>
              <w:rPr>
                <w:sz w:val="20"/>
                <w:szCs w:val="20"/>
              </w:rPr>
            </w:pPr>
            <w:r>
              <w:rPr>
                <w:sz w:val="20"/>
                <w:szCs w:val="20"/>
              </w:rPr>
              <w:t>71.3</w:t>
            </w:r>
          </w:p>
        </w:tc>
      </w:tr>
      <w:tr w:rsidR="006C56CC" w14:paraId="6F444494" w14:textId="77777777" w:rsidTr="00BD0692">
        <w:trPr>
          <w:trHeight w:val="300"/>
        </w:trPr>
        <w:tc>
          <w:tcPr>
            <w:tcW w:w="1909" w:type="dxa"/>
            <w:tcBorders>
              <w:top w:val="nil"/>
              <w:left w:val="single" w:sz="4" w:space="0" w:color="FFFFFF"/>
              <w:bottom w:val="single" w:sz="4" w:space="0" w:color="FFFFFF"/>
              <w:right w:val="single" w:sz="4" w:space="0" w:color="FFFFFF"/>
            </w:tcBorders>
            <w:shd w:val="clear" w:color="auto" w:fill="auto"/>
            <w:vAlign w:val="bottom"/>
          </w:tcPr>
          <w:p w14:paraId="5C030533" w14:textId="77777777" w:rsidR="006C56CC" w:rsidRDefault="006C56CC" w:rsidP="00540250">
            <w:pPr>
              <w:rPr>
                <w:rFonts w:ascii="Liberation Sans" w:eastAsia="Liberation Sans" w:hAnsi="Liberation Sans" w:cs="Liberation Sans"/>
                <w:sz w:val="20"/>
                <w:szCs w:val="20"/>
              </w:rPr>
            </w:pPr>
            <w:r>
              <w:rPr>
                <w:rFonts w:ascii="Liberation Sans" w:eastAsia="Liberation Sans" w:hAnsi="Liberation Sans" w:cs="Liberation Sans"/>
                <w:sz w:val="20"/>
                <w:szCs w:val="20"/>
              </w:rPr>
              <w:t> </w:t>
            </w:r>
          </w:p>
        </w:tc>
        <w:tc>
          <w:tcPr>
            <w:tcW w:w="277" w:type="dxa"/>
            <w:tcBorders>
              <w:top w:val="nil"/>
              <w:left w:val="nil"/>
              <w:bottom w:val="single" w:sz="4" w:space="0" w:color="FFFFFF"/>
              <w:right w:val="single" w:sz="4" w:space="0" w:color="FFFFFF"/>
            </w:tcBorders>
            <w:shd w:val="clear" w:color="auto" w:fill="auto"/>
            <w:vAlign w:val="bottom"/>
          </w:tcPr>
          <w:p w14:paraId="7AEB51B0" w14:textId="77777777" w:rsidR="006C56CC" w:rsidRDefault="006C56CC" w:rsidP="00540250">
            <w:pPr>
              <w:rPr>
                <w:rFonts w:ascii="Liberation Sans" w:eastAsia="Liberation Sans" w:hAnsi="Liberation Sans" w:cs="Liberation Sans"/>
              </w:rPr>
            </w:pPr>
            <w:r>
              <w:rPr>
                <w:rFonts w:ascii="Liberation Sans" w:eastAsia="Liberation Sans" w:hAnsi="Liberation Sans" w:cs="Liberation Sans"/>
              </w:rPr>
              <w:t> </w:t>
            </w:r>
          </w:p>
        </w:tc>
        <w:tc>
          <w:tcPr>
            <w:tcW w:w="1432" w:type="dxa"/>
            <w:tcBorders>
              <w:top w:val="nil"/>
              <w:left w:val="nil"/>
              <w:bottom w:val="single" w:sz="4" w:space="0" w:color="FFFFFF"/>
              <w:right w:val="single" w:sz="4" w:space="0" w:color="000000"/>
            </w:tcBorders>
            <w:shd w:val="clear" w:color="auto" w:fill="auto"/>
            <w:vAlign w:val="bottom"/>
          </w:tcPr>
          <w:p w14:paraId="30A9B6D0" w14:textId="77777777" w:rsidR="006C56CC" w:rsidRDefault="006C56CC" w:rsidP="00540250">
            <w:pPr>
              <w:rPr>
                <w:sz w:val="20"/>
                <w:szCs w:val="20"/>
              </w:rPr>
            </w:pPr>
            <w:r>
              <w:rPr>
                <w:sz w:val="20"/>
                <w:szCs w:val="20"/>
              </w:rPr>
              <w:t>99.0</w:t>
            </w:r>
          </w:p>
        </w:tc>
        <w:tc>
          <w:tcPr>
            <w:tcW w:w="1433" w:type="dxa"/>
            <w:tcBorders>
              <w:top w:val="nil"/>
              <w:left w:val="nil"/>
              <w:bottom w:val="single" w:sz="4" w:space="0" w:color="FFFFFF"/>
              <w:right w:val="single" w:sz="4" w:space="0" w:color="000000"/>
            </w:tcBorders>
            <w:shd w:val="clear" w:color="auto" w:fill="auto"/>
            <w:vAlign w:val="bottom"/>
          </w:tcPr>
          <w:p w14:paraId="79D7165C" w14:textId="77777777" w:rsidR="006C56CC" w:rsidRDefault="006C56CC" w:rsidP="00540250">
            <w:pPr>
              <w:rPr>
                <w:sz w:val="20"/>
                <w:szCs w:val="20"/>
              </w:rPr>
            </w:pPr>
            <w:r>
              <w:rPr>
                <w:sz w:val="20"/>
                <w:szCs w:val="20"/>
              </w:rPr>
              <w:t>98.5</w:t>
            </w:r>
          </w:p>
        </w:tc>
        <w:tc>
          <w:tcPr>
            <w:tcW w:w="1433" w:type="dxa"/>
            <w:tcBorders>
              <w:top w:val="nil"/>
              <w:left w:val="nil"/>
              <w:bottom w:val="single" w:sz="4" w:space="0" w:color="FFFFFF"/>
              <w:right w:val="single" w:sz="4" w:space="0" w:color="000000"/>
            </w:tcBorders>
            <w:shd w:val="clear" w:color="auto" w:fill="auto"/>
            <w:vAlign w:val="bottom"/>
          </w:tcPr>
          <w:p w14:paraId="4B81CE98" w14:textId="77777777" w:rsidR="006C56CC" w:rsidRDefault="006C56CC" w:rsidP="00540250">
            <w:pPr>
              <w:rPr>
                <w:sz w:val="20"/>
                <w:szCs w:val="20"/>
              </w:rPr>
            </w:pPr>
            <w:r>
              <w:rPr>
                <w:sz w:val="20"/>
                <w:szCs w:val="20"/>
              </w:rPr>
              <w:t>38.3</w:t>
            </w:r>
          </w:p>
        </w:tc>
        <w:tc>
          <w:tcPr>
            <w:tcW w:w="1433" w:type="dxa"/>
            <w:tcBorders>
              <w:top w:val="nil"/>
              <w:left w:val="nil"/>
              <w:bottom w:val="single" w:sz="4" w:space="0" w:color="FFFFFF"/>
              <w:right w:val="single" w:sz="4" w:space="0" w:color="000000"/>
            </w:tcBorders>
            <w:shd w:val="clear" w:color="auto" w:fill="auto"/>
            <w:vAlign w:val="bottom"/>
          </w:tcPr>
          <w:p w14:paraId="4DDF6AC5" w14:textId="77777777" w:rsidR="006C56CC" w:rsidRDefault="006C56CC" w:rsidP="00540250">
            <w:pPr>
              <w:rPr>
                <w:sz w:val="20"/>
                <w:szCs w:val="20"/>
              </w:rPr>
            </w:pPr>
            <w:r>
              <w:rPr>
                <w:sz w:val="20"/>
                <w:szCs w:val="20"/>
              </w:rPr>
              <w:t>13.3</w:t>
            </w:r>
          </w:p>
        </w:tc>
        <w:tc>
          <w:tcPr>
            <w:tcW w:w="1433" w:type="dxa"/>
            <w:tcBorders>
              <w:top w:val="nil"/>
              <w:left w:val="nil"/>
              <w:bottom w:val="single" w:sz="4" w:space="0" w:color="FFFFFF"/>
              <w:right w:val="single" w:sz="4" w:space="0" w:color="FFFFFF"/>
            </w:tcBorders>
            <w:shd w:val="clear" w:color="auto" w:fill="auto"/>
            <w:vAlign w:val="bottom"/>
          </w:tcPr>
          <w:p w14:paraId="0F0FE155" w14:textId="77777777" w:rsidR="006C56CC" w:rsidRDefault="006C56CC" w:rsidP="00540250">
            <w:pPr>
              <w:rPr>
                <w:sz w:val="20"/>
                <w:szCs w:val="20"/>
              </w:rPr>
            </w:pPr>
            <w:r>
              <w:rPr>
                <w:sz w:val="20"/>
                <w:szCs w:val="20"/>
              </w:rPr>
              <w:t>75.3</w:t>
            </w:r>
          </w:p>
        </w:tc>
      </w:tr>
      <w:tr w:rsidR="006C56CC" w14:paraId="385157FC" w14:textId="77777777" w:rsidTr="00BD0692">
        <w:trPr>
          <w:trHeight w:val="300"/>
        </w:trPr>
        <w:tc>
          <w:tcPr>
            <w:tcW w:w="1909" w:type="dxa"/>
            <w:tcBorders>
              <w:top w:val="nil"/>
              <w:left w:val="single" w:sz="4" w:space="0" w:color="FFFFFF"/>
              <w:bottom w:val="single" w:sz="4" w:space="0" w:color="FFFFFF"/>
              <w:right w:val="single" w:sz="4" w:space="0" w:color="FFFFFF"/>
            </w:tcBorders>
            <w:shd w:val="clear" w:color="auto" w:fill="auto"/>
            <w:vAlign w:val="bottom"/>
          </w:tcPr>
          <w:p w14:paraId="2907E5A4" w14:textId="77777777" w:rsidR="006C56CC" w:rsidRDefault="006C56CC" w:rsidP="00540250">
            <w:pPr>
              <w:rPr>
                <w:rFonts w:ascii="Liberation Sans" w:eastAsia="Liberation Sans" w:hAnsi="Liberation Sans" w:cs="Liberation Sans"/>
                <w:sz w:val="20"/>
                <w:szCs w:val="20"/>
              </w:rPr>
            </w:pPr>
            <w:r>
              <w:rPr>
                <w:rFonts w:ascii="Liberation Sans" w:eastAsia="Liberation Sans" w:hAnsi="Liberation Sans" w:cs="Liberation Sans"/>
                <w:sz w:val="20"/>
                <w:szCs w:val="20"/>
              </w:rPr>
              <w:t> </w:t>
            </w:r>
          </w:p>
        </w:tc>
        <w:tc>
          <w:tcPr>
            <w:tcW w:w="277" w:type="dxa"/>
            <w:tcBorders>
              <w:top w:val="nil"/>
              <w:left w:val="nil"/>
              <w:bottom w:val="single" w:sz="4" w:space="0" w:color="FFFFFF"/>
              <w:right w:val="single" w:sz="4" w:space="0" w:color="FFFFFF"/>
            </w:tcBorders>
            <w:shd w:val="clear" w:color="auto" w:fill="auto"/>
            <w:vAlign w:val="bottom"/>
          </w:tcPr>
          <w:p w14:paraId="2F01926E" w14:textId="77777777" w:rsidR="006C56CC" w:rsidRDefault="006C56CC" w:rsidP="00540250">
            <w:pPr>
              <w:rPr>
                <w:rFonts w:ascii="Liberation Sans" w:eastAsia="Liberation Sans" w:hAnsi="Liberation Sans" w:cs="Liberation Sans"/>
              </w:rPr>
            </w:pPr>
            <w:r>
              <w:rPr>
                <w:rFonts w:ascii="Liberation Sans" w:eastAsia="Liberation Sans" w:hAnsi="Liberation Sans" w:cs="Liberation Sans"/>
              </w:rPr>
              <w:t> </w:t>
            </w:r>
          </w:p>
        </w:tc>
        <w:tc>
          <w:tcPr>
            <w:tcW w:w="1432" w:type="dxa"/>
            <w:tcBorders>
              <w:top w:val="nil"/>
              <w:left w:val="nil"/>
              <w:bottom w:val="single" w:sz="4" w:space="0" w:color="FFFFFF"/>
              <w:right w:val="single" w:sz="4" w:space="0" w:color="000000"/>
            </w:tcBorders>
            <w:shd w:val="clear" w:color="auto" w:fill="auto"/>
            <w:vAlign w:val="bottom"/>
          </w:tcPr>
          <w:p w14:paraId="6A5B553C" w14:textId="77777777" w:rsidR="006C56CC" w:rsidRDefault="006C56CC" w:rsidP="00540250">
            <w:pPr>
              <w:rPr>
                <w:sz w:val="20"/>
                <w:szCs w:val="20"/>
              </w:rPr>
            </w:pPr>
            <w:r>
              <w:rPr>
                <w:sz w:val="20"/>
                <w:szCs w:val="20"/>
              </w:rPr>
              <w:t>99.1</w:t>
            </w:r>
          </w:p>
        </w:tc>
        <w:tc>
          <w:tcPr>
            <w:tcW w:w="1433" w:type="dxa"/>
            <w:tcBorders>
              <w:top w:val="nil"/>
              <w:left w:val="nil"/>
              <w:bottom w:val="single" w:sz="4" w:space="0" w:color="FFFFFF"/>
              <w:right w:val="single" w:sz="4" w:space="0" w:color="000000"/>
            </w:tcBorders>
            <w:shd w:val="clear" w:color="auto" w:fill="auto"/>
            <w:vAlign w:val="bottom"/>
          </w:tcPr>
          <w:p w14:paraId="4CE1BF61" w14:textId="77777777" w:rsidR="006C56CC" w:rsidRDefault="006C56CC" w:rsidP="00540250">
            <w:pPr>
              <w:rPr>
                <w:sz w:val="20"/>
                <w:szCs w:val="20"/>
              </w:rPr>
            </w:pPr>
            <w:r>
              <w:rPr>
                <w:sz w:val="20"/>
                <w:szCs w:val="20"/>
              </w:rPr>
              <w:t>98.7</w:t>
            </w:r>
          </w:p>
        </w:tc>
        <w:tc>
          <w:tcPr>
            <w:tcW w:w="1433" w:type="dxa"/>
            <w:tcBorders>
              <w:top w:val="nil"/>
              <w:left w:val="nil"/>
              <w:bottom w:val="single" w:sz="4" w:space="0" w:color="FFFFFF"/>
              <w:right w:val="single" w:sz="4" w:space="0" w:color="000000"/>
            </w:tcBorders>
            <w:shd w:val="clear" w:color="auto" w:fill="auto"/>
            <w:vAlign w:val="bottom"/>
          </w:tcPr>
          <w:p w14:paraId="0B77CB40" w14:textId="77777777" w:rsidR="006C56CC" w:rsidRDefault="006C56CC" w:rsidP="00540250">
            <w:pPr>
              <w:rPr>
                <w:sz w:val="20"/>
                <w:szCs w:val="20"/>
              </w:rPr>
            </w:pPr>
            <w:r>
              <w:rPr>
                <w:sz w:val="20"/>
                <w:szCs w:val="20"/>
              </w:rPr>
              <w:t>98.4</w:t>
            </w:r>
          </w:p>
        </w:tc>
        <w:tc>
          <w:tcPr>
            <w:tcW w:w="1433" w:type="dxa"/>
            <w:tcBorders>
              <w:top w:val="nil"/>
              <w:left w:val="nil"/>
              <w:bottom w:val="single" w:sz="4" w:space="0" w:color="FFFFFF"/>
              <w:right w:val="single" w:sz="4" w:space="0" w:color="000000"/>
            </w:tcBorders>
            <w:shd w:val="clear" w:color="auto" w:fill="auto"/>
            <w:vAlign w:val="bottom"/>
          </w:tcPr>
          <w:p w14:paraId="0DBD1604" w14:textId="77777777" w:rsidR="006C56CC" w:rsidRDefault="006C56CC" w:rsidP="00540250">
            <w:pPr>
              <w:rPr>
                <w:sz w:val="20"/>
                <w:szCs w:val="20"/>
              </w:rPr>
            </w:pPr>
            <w:r>
              <w:rPr>
                <w:sz w:val="20"/>
                <w:szCs w:val="20"/>
              </w:rPr>
              <w:t>33.0</w:t>
            </w:r>
          </w:p>
        </w:tc>
        <w:tc>
          <w:tcPr>
            <w:tcW w:w="1433" w:type="dxa"/>
            <w:tcBorders>
              <w:top w:val="nil"/>
              <w:left w:val="nil"/>
              <w:bottom w:val="single" w:sz="4" w:space="0" w:color="FFFFFF"/>
              <w:right w:val="single" w:sz="4" w:space="0" w:color="FFFFFF"/>
            </w:tcBorders>
            <w:shd w:val="clear" w:color="auto" w:fill="auto"/>
            <w:vAlign w:val="bottom"/>
          </w:tcPr>
          <w:p w14:paraId="2A026109" w14:textId="77777777" w:rsidR="006C56CC" w:rsidRDefault="006C56CC" w:rsidP="00540250">
            <w:pPr>
              <w:rPr>
                <w:sz w:val="20"/>
                <w:szCs w:val="20"/>
              </w:rPr>
            </w:pPr>
            <w:r>
              <w:rPr>
                <w:sz w:val="20"/>
                <w:szCs w:val="20"/>
              </w:rPr>
              <w:t>75.9</w:t>
            </w:r>
          </w:p>
        </w:tc>
      </w:tr>
      <w:tr w:rsidR="006C56CC" w14:paraId="48BCDB22" w14:textId="77777777" w:rsidTr="00BD0692">
        <w:trPr>
          <w:trHeight w:val="320"/>
        </w:trPr>
        <w:tc>
          <w:tcPr>
            <w:tcW w:w="1909" w:type="dxa"/>
            <w:tcBorders>
              <w:top w:val="nil"/>
              <w:left w:val="single" w:sz="4" w:space="0" w:color="FFFFFF"/>
              <w:bottom w:val="single" w:sz="8" w:space="0" w:color="000000"/>
              <w:right w:val="single" w:sz="4" w:space="0" w:color="FFFFFF"/>
            </w:tcBorders>
            <w:shd w:val="clear" w:color="auto" w:fill="auto"/>
            <w:vAlign w:val="bottom"/>
          </w:tcPr>
          <w:p w14:paraId="23A91D7D" w14:textId="77777777" w:rsidR="006C56CC" w:rsidRDefault="006C56CC" w:rsidP="00540250">
            <w:pPr>
              <w:rPr>
                <w:rFonts w:ascii="Liberation Sans" w:eastAsia="Liberation Sans" w:hAnsi="Liberation Sans" w:cs="Liberation Sans"/>
                <w:sz w:val="20"/>
                <w:szCs w:val="20"/>
              </w:rPr>
            </w:pPr>
            <w:r>
              <w:rPr>
                <w:rFonts w:ascii="Liberation Sans" w:eastAsia="Liberation Sans" w:hAnsi="Liberation Sans" w:cs="Liberation Sans"/>
                <w:sz w:val="20"/>
                <w:szCs w:val="20"/>
              </w:rPr>
              <w:t> </w:t>
            </w:r>
          </w:p>
        </w:tc>
        <w:tc>
          <w:tcPr>
            <w:tcW w:w="277" w:type="dxa"/>
            <w:tcBorders>
              <w:top w:val="nil"/>
              <w:left w:val="nil"/>
              <w:bottom w:val="single" w:sz="8" w:space="0" w:color="000000"/>
              <w:right w:val="single" w:sz="4" w:space="0" w:color="FFFFFF"/>
            </w:tcBorders>
            <w:shd w:val="clear" w:color="auto" w:fill="auto"/>
            <w:vAlign w:val="bottom"/>
          </w:tcPr>
          <w:p w14:paraId="29DD0E11" w14:textId="77777777" w:rsidR="006C56CC" w:rsidRDefault="006C56CC" w:rsidP="00540250">
            <w:pPr>
              <w:rPr>
                <w:rFonts w:ascii="Liberation Sans" w:eastAsia="Liberation Sans" w:hAnsi="Liberation Sans" w:cs="Liberation Sans"/>
              </w:rPr>
            </w:pPr>
            <w:r>
              <w:rPr>
                <w:rFonts w:ascii="Liberation Sans" w:eastAsia="Liberation Sans" w:hAnsi="Liberation Sans" w:cs="Liberation Sans"/>
              </w:rPr>
              <w:t> </w:t>
            </w:r>
          </w:p>
        </w:tc>
        <w:tc>
          <w:tcPr>
            <w:tcW w:w="1432" w:type="dxa"/>
            <w:tcBorders>
              <w:top w:val="nil"/>
              <w:left w:val="nil"/>
              <w:bottom w:val="single" w:sz="8" w:space="0" w:color="000000"/>
              <w:right w:val="single" w:sz="4" w:space="0" w:color="000000"/>
            </w:tcBorders>
            <w:shd w:val="clear" w:color="auto" w:fill="auto"/>
            <w:vAlign w:val="bottom"/>
          </w:tcPr>
          <w:p w14:paraId="20716ADC" w14:textId="77777777" w:rsidR="006C56CC" w:rsidRDefault="006C56CC" w:rsidP="00540250">
            <w:pPr>
              <w:rPr>
                <w:sz w:val="20"/>
                <w:szCs w:val="20"/>
              </w:rPr>
            </w:pPr>
            <w:r>
              <w:rPr>
                <w:sz w:val="20"/>
                <w:szCs w:val="20"/>
              </w:rPr>
              <w:t>99.1</w:t>
            </w:r>
          </w:p>
        </w:tc>
        <w:tc>
          <w:tcPr>
            <w:tcW w:w="1433" w:type="dxa"/>
            <w:tcBorders>
              <w:top w:val="nil"/>
              <w:left w:val="nil"/>
              <w:bottom w:val="single" w:sz="8" w:space="0" w:color="000000"/>
              <w:right w:val="single" w:sz="4" w:space="0" w:color="000000"/>
            </w:tcBorders>
            <w:shd w:val="clear" w:color="auto" w:fill="auto"/>
            <w:vAlign w:val="bottom"/>
          </w:tcPr>
          <w:p w14:paraId="3A1D34BE" w14:textId="77777777" w:rsidR="006C56CC" w:rsidRDefault="006C56CC" w:rsidP="00540250">
            <w:pPr>
              <w:rPr>
                <w:sz w:val="20"/>
                <w:szCs w:val="20"/>
              </w:rPr>
            </w:pPr>
            <w:r>
              <w:rPr>
                <w:sz w:val="20"/>
                <w:szCs w:val="20"/>
              </w:rPr>
              <w:t>98.7</w:t>
            </w:r>
          </w:p>
        </w:tc>
        <w:tc>
          <w:tcPr>
            <w:tcW w:w="1433" w:type="dxa"/>
            <w:tcBorders>
              <w:top w:val="nil"/>
              <w:left w:val="nil"/>
              <w:bottom w:val="single" w:sz="8" w:space="0" w:color="000000"/>
              <w:right w:val="single" w:sz="4" w:space="0" w:color="000000"/>
            </w:tcBorders>
            <w:shd w:val="clear" w:color="auto" w:fill="auto"/>
            <w:vAlign w:val="bottom"/>
          </w:tcPr>
          <w:p w14:paraId="0D7D270E" w14:textId="77777777" w:rsidR="006C56CC" w:rsidRDefault="006C56CC" w:rsidP="00540250">
            <w:pPr>
              <w:rPr>
                <w:sz w:val="20"/>
                <w:szCs w:val="20"/>
              </w:rPr>
            </w:pPr>
            <w:r>
              <w:rPr>
                <w:sz w:val="20"/>
                <w:szCs w:val="20"/>
              </w:rPr>
              <w:t>99.1</w:t>
            </w:r>
          </w:p>
        </w:tc>
        <w:tc>
          <w:tcPr>
            <w:tcW w:w="1433" w:type="dxa"/>
            <w:tcBorders>
              <w:top w:val="nil"/>
              <w:left w:val="nil"/>
              <w:bottom w:val="single" w:sz="8" w:space="0" w:color="000000"/>
              <w:right w:val="single" w:sz="4" w:space="0" w:color="000000"/>
            </w:tcBorders>
            <w:shd w:val="clear" w:color="auto" w:fill="auto"/>
            <w:vAlign w:val="bottom"/>
          </w:tcPr>
          <w:p w14:paraId="1550093F" w14:textId="77777777" w:rsidR="006C56CC" w:rsidRDefault="006C56CC" w:rsidP="00540250">
            <w:pPr>
              <w:rPr>
                <w:sz w:val="20"/>
                <w:szCs w:val="20"/>
              </w:rPr>
            </w:pPr>
            <w:r>
              <w:rPr>
                <w:sz w:val="20"/>
                <w:szCs w:val="20"/>
              </w:rPr>
              <w:t>45.0</w:t>
            </w:r>
          </w:p>
        </w:tc>
        <w:tc>
          <w:tcPr>
            <w:tcW w:w="1433" w:type="dxa"/>
            <w:tcBorders>
              <w:top w:val="nil"/>
              <w:left w:val="nil"/>
              <w:bottom w:val="single" w:sz="8" w:space="0" w:color="000000"/>
              <w:right w:val="single" w:sz="4" w:space="0" w:color="FFFFFF"/>
            </w:tcBorders>
            <w:shd w:val="clear" w:color="auto" w:fill="auto"/>
            <w:vAlign w:val="bottom"/>
          </w:tcPr>
          <w:p w14:paraId="3A7F8277" w14:textId="77777777" w:rsidR="006C56CC" w:rsidRDefault="006C56CC" w:rsidP="00540250">
            <w:pPr>
              <w:rPr>
                <w:sz w:val="20"/>
                <w:szCs w:val="20"/>
              </w:rPr>
            </w:pPr>
            <w:r>
              <w:rPr>
                <w:sz w:val="20"/>
                <w:szCs w:val="20"/>
              </w:rPr>
              <w:t>75.8</w:t>
            </w:r>
          </w:p>
        </w:tc>
      </w:tr>
      <w:tr w:rsidR="006C56CC" w14:paraId="1343925A" w14:textId="77777777" w:rsidTr="00BD0692">
        <w:trPr>
          <w:trHeight w:val="300"/>
        </w:trPr>
        <w:tc>
          <w:tcPr>
            <w:tcW w:w="1909" w:type="dxa"/>
            <w:tcBorders>
              <w:top w:val="nil"/>
              <w:left w:val="single" w:sz="4" w:space="0" w:color="FFFFFF"/>
              <w:bottom w:val="single" w:sz="4" w:space="0" w:color="FFFFFF"/>
              <w:right w:val="single" w:sz="4" w:space="0" w:color="FFFFFF"/>
            </w:tcBorders>
            <w:shd w:val="clear" w:color="auto" w:fill="auto"/>
            <w:vAlign w:val="bottom"/>
          </w:tcPr>
          <w:p w14:paraId="102F8145" w14:textId="77777777" w:rsidR="006C56CC" w:rsidRPr="00F93CCF" w:rsidRDefault="006C56CC" w:rsidP="00540250">
            <w:pPr>
              <w:rPr>
                <w:rFonts w:ascii="Liberation Sans" w:eastAsia="Liberation Sans" w:hAnsi="Liberation Sans"/>
                <w:b/>
              </w:rPr>
            </w:pPr>
            <w:r w:rsidRPr="00F93CCF">
              <w:rPr>
                <w:rFonts w:ascii="Liberation Sans" w:eastAsia="Liberation Sans" w:hAnsi="Liberation Sans"/>
                <w:b/>
              </w:rPr>
              <w:t>SNP Recall</w:t>
            </w:r>
          </w:p>
        </w:tc>
        <w:tc>
          <w:tcPr>
            <w:tcW w:w="277" w:type="dxa"/>
            <w:tcBorders>
              <w:top w:val="nil"/>
              <w:left w:val="nil"/>
              <w:bottom w:val="single" w:sz="4" w:space="0" w:color="FFFFFF"/>
              <w:right w:val="single" w:sz="4" w:space="0" w:color="FFFFFF"/>
            </w:tcBorders>
            <w:shd w:val="clear" w:color="auto" w:fill="auto"/>
            <w:vAlign w:val="bottom"/>
          </w:tcPr>
          <w:p w14:paraId="097EE659" w14:textId="77777777" w:rsidR="006C56CC" w:rsidRDefault="006C56CC" w:rsidP="00540250">
            <w:pPr>
              <w:rPr>
                <w:rFonts w:ascii="Liberation Sans" w:eastAsia="Liberation Sans" w:hAnsi="Liberation Sans" w:cs="Liberation Sans"/>
                <w:b/>
              </w:rPr>
            </w:pPr>
            <w:r>
              <w:rPr>
                <w:rFonts w:ascii="Liberation Sans" w:eastAsia="Liberation Sans" w:hAnsi="Liberation Sans" w:cs="Liberation Sans"/>
                <w:b/>
              </w:rPr>
              <w:t> </w:t>
            </w:r>
          </w:p>
        </w:tc>
        <w:tc>
          <w:tcPr>
            <w:tcW w:w="1432" w:type="dxa"/>
            <w:tcBorders>
              <w:top w:val="nil"/>
              <w:left w:val="nil"/>
              <w:bottom w:val="single" w:sz="4" w:space="0" w:color="FFFFFF"/>
              <w:right w:val="single" w:sz="4" w:space="0" w:color="000000"/>
            </w:tcBorders>
            <w:shd w:val="clear" w:color="auto" w:fill="auto"/>
            <w:vAlign w:val="bottom"/>
          </w:tcPr>
          <w:p w14:paraId="6457933C" w14:textId="77777777" w:rsidR="006C56CC" w:rsidRDefault="006C56CC" w:rsidP="00540250">
            <w:pPr>
              <w:rPr>
                <w:rFonts w:ascii="Liberation Sans" w:eastAsia="Liberation Sans" w:hAnsi="Liberation Sans" w:cs="Liberation Sans"/>
              </w:rPr>
            </w:pPr>
            <w:r>
              <w:rPr>
                <w:rFonts w:ascii="Liberation Sans" w:eastAsia="Liberation Sans" w:hAnsi="Liberation Sans" w:cs="Liberation Sans"/>
              </w:rPr>
              <w:t> </w:t>
            </w:r>
          </w:p>
        </w:tc>
        <w:tc>
          <w:tcPr>
            <w:tcW w:w="1433" w:type="dxa"/>
            <w:tcBorders>
              <w:top w:val="nil"/>
              <w:left w:val="nil"/>
              <w:bottom w:val="single" w:sz="4" w:space="0" w:color="FFFFFF"/>
              <w:right w:val="single" w:sz="4" w:space="0" w:color="000000"/>
            </w:tcBorders>
            <w:shd w:val="clear" w:color="auto" w:fill="auto"/>
            <w:vAlign w:val="bottom"/>
          </w:tcPr>
          <w:p w14:paraId="0EB859C3" w14:textId="77777777" w:rsidR="006C56CC" w:rsidRDefault="006C56CC" w:rsidP="00540250">
            <w:pPr>
              <w:rPr>
                <w:rFonts w:ascii="Liberation Sans" w:eastAsia="Liberation Sans" w:hAnsi="Liberation Sans" w:cs="Liberation Sans"/>
              </w:rPr>
            </w:pPr>
            <w:r>
              <w:rPr>
                <w:rFonts w:ascii="Liberation Sans" w:eastAsia="Liberation Sans" w:hAnsi="Liberation Sans" w:cs="Liberation Sans"/>
              </w:rPr>
              <w:t> </w:t>
            </w:r>
          </w:p>
        </w:tc>
        <w:tc>
          <w:tcPr>
            <w:tcW w:w="1433" w:type="dxa"/>
            <w:tcBorders>
              <w:top w:val="nil"/>
              <w:left w:val="nil"/>
              <w:bottom w:val="single" w:sz="4" w:space="0" w:color="FFFFFF"/>
              <w:right w:val="single" w:sz="4" w:space="0" w:color="000000"/>
            </w:tcBorders>
            <w:shd w:val="clear" w:color="auto" w:fill="auto"/>
            <w:vAlign w:val="bottom"/>
          </w:tcPr>
          <w:p w14:paraId="51585612" w14:textId="77777777" w:rsidR="006C56CC" w:rsidRDefault="006C56CC" w:rsidP="00540250">
            <w:pPr>
              <w:rPr>
                <w:rFonts w:ascii="Liberation Sans" w:eastAsia="Liberation Sans" w:hAnsi="Liberation Sans" w:cs="Liberation Sans"/>
              </w:rPr>
            </w:pPr>
            <w:r>
              <w:rPr>
                <w:rFonts w:ascii="Liberation Sans" w:eastAsia="Liberation Sans" w:hAnsi="Liberation Sans" w:cs="Liberation Sans"/>
              </w:rPr>
              <w:t> </w:t>
            </w:r>
          </w:p>
        </w:tc>
        <w:tc>
          <w:tcPr>
            <w:tcW w:w="1433" w:type="dxa"/>
            <w:tcBorders>
              <w:top w:val="nil"/>
              <w:left w:val="nil"/>
              <w:bottom w:val="single" w:sz="4" w:space="0" w:color="FFFFFF"/>
              <w:right w:val="single" w:sz="4" w:space="0" w:color="000000"/>
            </w:tcBorders>
            <w:shd w:val="clear" w:color="auto" w:fill="auto"/>
            <w:vAlign w:val="bottom"/>
          </w:tcPr>
          <w:p w14:paraId="44EACE46" w14:textId="77777777" w:rsidR="006C56CC" w:rsidRDefault="006C56CC" w:rsidP="00540250">
            <w:pPr>
              <w:rPr>
                <w:rFonts w:ascii="Liberation Sans" w:eastAsia="Liberation Sans" w:hAnsi="Liberation Sans" w:cs="Liberation Sans"/>
              </w:rPr>
            </w:pPr>
            <w:r>
              <w:rPr>
                <w:rFonts w:ascii="Liberation Sans" w:eastAsia="Liberation Sans" w:hAnsi="Liberation Sans" w:cs="Liberation Sans"/>
              </w:rPr>
              <w:t> </w:t>
            </w:r>
          </w:p>
        </w:tc>
        <w:tc>
          <w:tcPr>
            <w:tcW w:w="1433" w:type="dxa"/>
            <w:tcBorders>
              <w:top w:val="nil"/>
              <w:left w:val="nil"/>
              <w:bottom w:val="single" w:sz="4" w:space="0" w:color="FFFFFF"/>
              <w:right w:val="single" w:sz="4" w:space="0" w:color="FFFFFF"/>
            </w:tcBorders>
            <w:shd w:val="clear" w:color="auto" w:fill="auto"/>
            <w:vAlign w:val="bottom"/>
          </w:tcPr>
          <w:p w14:paraId="7EF8362F" w14:textId="77777777" w:rsidR="006C56CC" w:rsidRDefault="006C56CC" w:rsidP="00540250">
            <w:pPr>
              <w:rPr>
                <w:rFonts w:ascii="Liberation Sans" w:eastAsia="Liberation Sans" w:hAnsi="Liberation Sans" w:cs="Liberation Sans"/>
              </w:rPr>
            </w:pPr>
            <w:r>
              <w:rPr>
                <w:rFonts w:ascii="Liberation Sans" w:eastAsia="Liberation Sans" w:hAnsi="Liberation Sans" w:cs="Liberation Sans"/>
              </w:rPr>
              <w:t> </w:t>
            </w:r>
          </w:p>
        </w:tc>
      </w:tr>
      <w:tr w:rsidR="006C56CC" w14:paraId="412020DD" w14:textId="77777777" w:rsidTr="00BD0692">
        <w:trPr>
          <w:trHeight w:val="300"/>
        </w:trPr>
        <w:tc>
          <w:tcPr>
            <w:tcW w:w="1909" w:type="dxa"/>
            <w:tcBorders>
              <w:top w:val="nil"/>
              <w:left w:val="single" w:sz="4" w:space="0" w:color="FFFFFF"/>
              <w:bottom w:val="single" w:sz="4" w:space="0" w:color="FFFFFF"/>
              <w:right w:val="single" w:sz="4" w:space="0" w:color="FFFFFF"/>
            </w:tcBorders>
            <w:shd w:val="clear" w:color="auto" w:fill="auto"/>
            <w:vAlign w:val="bottom"/>
          </w:tcPr>
          <w:p w14:paraId="2252421E" w14:textId="29209B72" w:rsidR="006C56CC" w:rsidRDefault="00A81BAB" w:rsidP="00540250">
            <w:pPr>
              <w:rPr>
                <w:rFonts w:ascii="Liberation Sans" w:eastAsia="Liberation Sans" w:hAnsi="Liberation Sans" w:cs="Liberation Sans"/>
                <w:sz w:val="20"/>
                <w:szCs w:val="20"/>
              </w:rPr>
            </w:pPr>
            <w:r>
              <w:rPr>
                <w:rFonts w:ascii="Liberation Sans" w:eastAsia="Liberation Sans" w:hAnsi="Liberation Sans" w:cs="Liberation Sans"/>
                <w:sz w:val="20"/>
                <w:szCs w:val="20"/>
              </w:rPr>
              <w:t>1</w:t>
            </w:r>
            <w:r w:rsidR="006C56CC">
              <w:rPr>
                <w:rFonts w:ascii="Liberation Sans" w:eastAsia="Liberation Sans" w:hAnsi="Liberation Sans" w:cs="Liberation Sans"/>
                <w:sz w:val="20"/>
                <w:szCs w:val="20"/>
              </w:rPr>
              <w:t xml:space="preserve">0% Mouse </w:t>
            </w:r>
          </w:p>
        </w:tc>
        <w:tc>
          <w:tcPr>
            <w:tcW w:w="277" w:type="dxa"/>
            <w:tcBorders>
              <w:top w:val="nil"/>
              <w:left w:val="nil"/>
              <w:bottom w:val="single" w:sz="4" w:space="0" w:color="FFFFFF"/>
              <w:right w:val="single" w:sz="4" w:space="0" w:color="FFFFFF"/>
            </w:tcBorders>
            <w:shd w:val="clear" w:color="auto" w:fill="auto"/>
            <w:vAlign w:val="bottom"/>
          </w:tcPr>
          <w:p w14:paraId="48BF2DF3" w14:textId="77777777" w:rsidR="006C56CC" w:rsidRDefault="006C56CC" w:rsidP="00540250">
            <w:pPr>
              <w:rPr>
                <w:rFonts w:ascii="Liberation Sans" w:eastAsia="Liberation Sans" w:hAnsi="Liberation Sans" w:cs="Liberation Sans"/>
              </w:rPr>
            </w:pPr>
            <w:r>
              <w:rPr>
                <w:rFonts w:ascii="Liberation Sans" w:eastAsia="Liberation Sans" w:hAnsi="Liberation Sans" w:cs="Liberation Sans"/>
              </w:rPr>
              <w:t> </w:t>
            </w:r>
          </w:p>
        </w:tc>
        <w:tc>
          <w:tcPr>
            <w:tcW w:w="1432" w:type="dxa"/>
            <w:tcBorders>
              <w:top w:val="nil"/>
              <w:left w:val="nil"/>
              <w:bottom w:val="single" w:sz="4" w:space="0" w:color="FFFFFF"/>
              <w:right w:val="single" w:sz="4" w:space="0" w:color="000000"/>
            </w:tcBorders>
            <w:shd w:val="clear" w:color="auto" w:fill="auto"/>
            <w:vAlign w:val="bottom"/>
          </w:tcPr>
          <w:p w14:paraId="69528DD4" w14:textId="77777777" w:rsidR="006C56CC" w:rsidRDefault="006C56CC" w:rsidP="00540250">
            <w:pPr>
              <w:rPr>
                <w:sz w:val="20"/>
                <w:szCs w:val="20"/>
              </w:rPr>
            </w:pPr>
            <w:r>
              <w:rPr>
                <w:sz w:val="20"/>
                <w:szCs w:val="20"/>
              </w:rPr>
              <w:t>23.9</w:t>
            </w:r>
          </w:p>
        </w:tc>
        <w:tc>
          <w:tcPr>
            <w:tcW w:w="1433" w:type="dxa"/>
            <w:tcBorders>
              <w:top w:val="nil"/>
              <w:left w:val="nil"/>
              <w:bottom w:val="single" w:sz="4" w:space="0" w:color="FFFFFF"/>
              <w:right w:val="single" w:sz="4" w:space="0" w:color="000000"/>
            </w:tcBorders>
            <w:shd w:val="clear" w:color="auto" w:fill="auto"/>
            <w:vAlign w:val="bottom"/>
          </w:tcPr>
          <w:p w14:paraId="1F17F3F5" w14:textId="77777777" w:rsidR="006C56CC" w:rsidRDefault="006C56CC" w:rsidP="00540250">
            <w:pPr>
              <w:rPr>
                <w:sz w:val="20"/>
                <w:szCs w:val="20"/>
              </w:rPr>
            </w:pPr>
            <w:r>
              <w:rPr>
                <w:sz w:val="20"/>
                <w:szCs w:val="20"/>
              </w:rPr>
              <w:t>20.7</w:t>
            </w:r>
          </w:p>
        </w:tc>
        <w:tc>
          <w:tcPr>
            <w:tcW w:w="1433" w:type="dxa"/>
            <w:tcBorders>
              <w:top w:val="nil"/>
              <w:left w:val="nil"/>
              <w:bottom w:val="single" w:sz="4" w:space="0" w:color="FFFFFF"/>
              <w:right w:val="single" w:sz="4" w:space="0" w:color="000000"/>
            </w:tcBorders>
            <w:shd w:val="clear" w:color="auto" w:fill="auto"/>
            <w:vAlign w:val="bottom"/>
          </w:tcPr>
          <w:p w14:paraId="74F6ADBB" w14:textId="77777777" w:rsidR="006C56CC" w:rsidRDefault="006C56CC" w:rsidP="00540250">
            <w:pPr>
              <w:rPr>
                <w:sz w:val="20"/>
                <w:szCs w:val="20"/>
              </w:rPr>
            </w:pPr>
            <w:r>
              <w:rPr>
                <w:sz w:val="20"/>
                <w:szCs w:val="20"/>
              </w:rPr>
              <w:t>N/A</w:t>
            </w:r>
          </w:p>
        </w:tc>
        <w:tc>
          <w:tcPr>
            <w:tcW w:w="1433" w:type="dxa"/>
            <w:tcBorders>
              <w:top w:val="nil"/>
              <w:left w:val="nil"/>
              <w:bottom w:val="single" w:sz="4" w:space="0" w:color="FFFFFF"/>
              <w:right w:val="single" w:sz="4" w:space="0" w:color="000000"/>
            </w:tcBorders>
            <w:shd w:val="clear" w:color="auto" w:fill="auto"/>
            <w:vAlign w:val="bottom"/>
          </w:tcPr>
          <w:p w14:paraId="3673D3D3" w14:textId="77777777" w:rsidR="006C56CC" w:rsidRDefault="006C56CC" w:rsidP="00540250">
            <w:pPr>
              <w:rPr>
                <w:sz w:val="20"/>
                <w:szCs w:val="20"/>
              </w:rPr>
            </w:pPr>
            <w:r>
              <w:rPr>
                <w:sz w:val="20"/>
                <w:szCs w:val="20"/>
              </w:rPr>
              <w:t>2.6</w:t>
            </w:r>
          </w:p>
        </w:tc>
        <w:tc>
          <w:tcPr>
            <w:tcW w:w="1433" w:type="dxa"/>
            <w:tcBorders>
              <w:top w:val="nil"/>
              <w:left w:val="nil"/>
              <w:bottom w:val="single" w:sz="4" w:space="0" w:color="FFFFFF"/>
              <w:right w:val="single" w:sz="4" w:space="0" w:color="FFFFFF"/>
            </w:tcBorders>
            <w:shd w:val="clear" w:color="auto" w:fill="auto"/>
            <w:vAlign w:val="bottom"/>
          </w:tcPr>
          <w:p w14:paraId="149206EB" w14:textId="77777777" w:rsidR="006C56CC" w:rsidRDefault="006C56CC" w:rsidP="00540250">
            <w:pPr>
              <w:rPr>
                <w:sz w:val="20"/>
                <w:szCs w:val="20"/>
              </w:rPr>
            </w:pPr>
            <w:r>
              <w:rPr>
                <w:sz w:val="20"/>
                <w:szCs w:val="20"/>
              </w:rPr>
              <w:t>31.7</w:t>
            </w:r>
          </w:p>
        </w:tc>
      </w:tr>
      <w:tr w:rsidR="006C56CC" w14:paraId="11768945" w14:textId="77777777" w:rsidTr="00BD0692">
        <w:trPr>
          <w:trHeight w:val="300"/>
        </w:trPr>
        <w:tc>
          <w:tcPr>
            <w:tcW w:w="1909" w:type="dxa"/>
            <w:tcBorders>
              <w:top w:val="nil"/>
              <w:left w:val="single" w:sz="4" w:space="0" w:color="FFFFFF"/>
              <w:bottom w:val="single" w:sz="4" w:space="0" w:color="FFFFFF"/>
              <w:right w:val="single" w:sz="4" w:space="0" w:color="FFFFFF"/>
            </w:tcBorders>
            <w:shd w:val="clear" w:color="auto" w:fill="auto"/>
            <w:vAlign w:val="bottom"/>
          </w:tcPr>
          <w:p w14:paraId="0899A0AB" w14:textId="77777777" w:rsidR="006C56CC" w:rsidRDefault="006C56CC" w:rsidP="00540250">
            <w:pPr>
              <w:rPr>
                <w:rFonts w:ascii="Liberation Sans" w:eastAsia="Liberation Sans" w:hAnsi="Liberation Sans" w:cs="Liberation Sans"/>
                <w:sz w:val="20"/>
                <w:szCs w:val="20"/>
              </w:rPr>
            </w:pPr>
            <w:r>
              <w:rPr>
                <w:rFonts w:ascii="Liberation Sans" w:eastAsia="Liberation Sans" w:hAnsi="Liberation Sans" w:cs="Liberation Sans"/>
                <w:sz w:val="20"/>
                <w:szCs w:val="20"/>
              </w:rPr>
              <w:t>Contamination</w:t>
            </w:r>
          </w:p>
        </w:tc>
        <w:tc>
          <w:tcPr>
            <w:tcW w:w="277" w:type="dxa"/>
            <w:tcBorders>
              <w:top w:val="nil"/>
              <w:left w:val="nil"/>
              <w:bottom w:val="single" w:sz="4" w:space="0" w:color="FFFFFF"/>
              <w:right w:val="single" w:sz="4" w:space="0" w:color="FFFFFF"/>
            </w:tcBorders>
            <w:shd w:val="clear" w:color="auto" w:fill="auto"/>
            <w:vAlign w:val="bottom"/>
          </w:tcPr>
          <w:p w14:paraId="08B5868F" w14:textId="77777777" w:rsidR="006C56CC" w:rsidRDefault="006C56CC" w:rsidP="00540250">
            <w:pPr>
              <w:rPr>
                <w:rFonts w:ascii="Liberation Sans" w:eastAsia="Liberation Sans" w:hAnsi="Liberation Sans" w:cs="Liberation Sans"/>
              </w:rPr>
            </w:pPr>
            <w:r>
              <w:rPr>
                <w:rFonts w:ascii="Liberation Sans" w:eastAsia="Liberation Sans" w:hAnsi="Liberation Sans" w:cs="Liberation Sans"/>
              </w:rPr>
              <w:t> </w:t>
            </w:r>
          </w:p>
        </w:tc>
        <w:tc>
          <w:tcPr>
            <w:tcW w:w="1432" w:type="dxa"/>
            <w:tcBorders>
              <w:top w:val="nil"/>
              <w:left w:val="nil"/>
              <w:bottom w:val="single" w:sz="4" w:space="0" w:color="FFFFFF"/>
              <w:right w:val="single" w:sz="4" w:space="0" w:color="000000"/>
            </w:tcBorders>
            <w:shd w:val="clear" w:color="auto" w:fill="auto"/>
            <w:vAlign w:val="bottom"/>
          </w:tcPr>
          <w:p w14:paraId="36F7C589" w14:textId="77777777" w:rsidR="006C56CC" w:rsidRDefault="006C56CC" w:rsidP="00540250">
            <w:pPr>
              <w:rPr>
                <w:sz w:val="20"/>
                <w:szCs w:val="20"/>
              </w:rPr>
            </w:pPr>
            <w:r>
              <w:rPr>
                <w:sz w:val="20"/>
                <w:szCs w:val="20"/>
              </w:rPr>
              <w:t>70.9</w:t>
            </w:r>
          </w:p>
        </w:tc>
        <w:tc>
          <w:tcPr>
            <w:tcW w:w="1433" w:type="dxa"/>
            <w:tcBorders>
              <w:top w:val="nil"/>
              <w:left w:val="nil"/>
              <w:bottom w:val="single" w:sz="4" w:space="0" w:color="FFFFFF"/>
              <w:right w:val="single" w:sz="4" w:space="0" w:color="000000"/>
            </w:tcBorders>
            <w:shd w:val="clear" w:color="auto" w:fill="auto"/>
            <w:vAlign w:val="bottom"/>
          </w:tcPr>
          <w:p w14:paraId="5A61EB57" w14:textId="77777777" w:rsidR="006C56CC" w:rsidRDefault="006C56CC" w:rsidP="00540250">
            <w:pPr>
              <w:rPr>
                <w:sz w:val="20"/>
                <w:szCs w:val="20"/>
              </w:rPr>
            </w:pPr>
            <w:r>
              <w:rPr>
                <w:sz w:val="20"/>
                <w:szCs w:val="20"/>
              </w:rPr>
              <w:t>57.2</w:t>
            </w:r>
          </w:p>
        </w:tc>
        <w:tc>
          <w:tcPr>
            <w:tcW w:w="1433" w:type="dxa"/>
            <w:tcBorders>
              <w:top w:val="nil"/>
              <w:left w:val="nil"/>
              <w:bottom w:val="single" w:sz="4" w:space="0" w:color="FFFFFF"/>
              <w:right w:val="single" w:sz="4" w:space="0" w:color="000000"/>
            </w:tcBorders>
            <w:shd w:val="clear" w:color="auto" w:fill="auto"/>
            <w:vAlign w:val="bottom"/>
          </w:tcPr>
          <w:p w14:paraId="798E48E3" w14:textId="77777777" w:rsidR="006C56CC" w:rsidRDefault="006C56CC" w:rsidP="00540250">
            <w:pPr>
              <w:rPr>
                <w:sz w:val="20"/>
                <w:szCs w:val="20"/>
              </w:rPr>
            </w:pPr>
            <w:r>
              <w:rPr>
                <w:sz w:val="20"/>
                <w:szCs w:val="20"/>
              </w:rPr>
              <w:t>0.0</w:t>
            </w:r>
          </w:p>
        </w:tc>
        <w:tc>
          <w:tcPr>
            <w:tcW w:w="1433" w:type="dxa"/>
            <w:tcBorders>
              <w:top w:val="nil"/>
              <w:left w:val="nil"/>
              <w:bottom w:val="single" w:sz="4" w:space="0" w:color="FFFFFF"/>
              <w:right w:val="single" w:sz="4" w:space="0" w:color="000000"/>
            </w:tcBorders>
            <w:shd w:val="clear" w:color="auto" w:fill="auto"/>
            <w:vAlign w:val="bottom"/>
          </w:tcPr>
          <w:p w14:paraId="628F15F6" w14:textId="77777777" w:rsidR="006C56CC" w:rsidRDefault="006C56CC" w:rsidP="00540250">
            <w:pPr>
              <w:rPr>
                <w:sz w:val="20"/>
                <w:szCs w:val="20"/>
              </w:rPr>
            </w:pPr>
            <w:r>
              <w:rPr>
                <w:sz w:val="20"/>
                <w:szCs w:val="20"/>
              </w:rPr>
              <w:t>16.9</w:t>
            </w:r>
          </w:p>
        </w:tc>
        <w:tc>
          <w:tcPr>
            <w:tcW w:w="1433" w:type="dxa"/>
            <w:tcBorders>
              <w:top w:val="nil"/>
              <w:left w:val="nil"/>
              <w:bottom w:val="single" w:sz="4" w:space="0" w:color="FFFFFF"/>
              <w:right w:val="single" w:sz="4" w:space="0" w:color="FFFFFF"/>
            </w:tcBorders>
            <w:shd w:val="clear" w:color="auto" w:fill="auto"/>
            <w:vAlign w:val="bottom"/>
          </w:tcPr>
          <w:p w14:paraId="264A74FB" w14:textId="77777777" w:rsidR="006C56CC" w:rsidRDefault="006C56CC" w:rsidP="00540250">
            <w:pPr>
              <w:rPr>
                <w:sz w:val="20"/>
                <w:szCs w:val="20"/>
              </w:rPr>
            </w:pPr>
            <w:r>
              <w:rPr>
                <w:sz w:val="20"/>
                <w:szCs w:val="20"/>
              </w:rPr>
              <w:t>61.3</w:t>
            </w:r>
          </w:p>
        </w:tc>
      </w:tr>
      <w:tr w:rsidR="006C56CC" w14:paraId="7BCDDEDF" w14:textId="77777777" w:rsidTr="00BD0692">
        <w:trPr>
          <w:trHeight w:val="300"/>
        </w:trPr>
        <w:tc>
          <w:tcPr>
            <w:tcW w:w="1909" w:type="dxa"/>
            <w:tcBorders>
              <w:top w:val="nil"/>
              <w:left w:val="single" w:sz="4" w:space="0" w:color="FFFFFF"/>
              <w:bottom w:val="single" w:sz="4" w:space="0" w:color="FFFFFF"/>
              <w:right w:val="single" w:sz="4" w:space="0" w:color="FFFFFF"/>
            </w:tcBorders>
            <w:shd w:val="clear" w:color="auto" w:fill="auto"/>
            <w:vAlign w:val="bottom"/>
          </w:tcPr>
          <w:p w14:paraId="0B7CC581" w14:textId="77777777" w:rsidR="006C56CC" w:rsidRDefault="006C56CC" w:rsidP="00540250">
            <w:pPr>
              <w:rPr>
                <w:rFonts w:ascii="Liberation Sans" w:eastAsia="Liberation Sans" w:hAnsi="Liberation Sans" w:cs="Liberation Sans"/>
                <w:sz w:val="20"/>
                <w:szCs w:val="20"/>
              </w:rPr>
            </w:pPr>
            <w:r>
              <w:rPr>
                <w:rFonts w:ascii="Liberation Sans" w:eastAsia="Liberation Sans" w:hAnsi="Liberation Sans" w:cs="Liberation Sans"/>
                <w:sz w:val="20"/>
                <w:szCs w:val="20"/>
              </w:rPr>
              <w:t> </w:t>
            </w:r>
          </w:p>
        </w:tc>
        <w:tc>
          <w:tcPr>
            <w:tcW w:w="277" w:type="dxa"/>
            <w:tcBorders>
              <w:top w:val="nil"/>
              <w:left w:val="nil"/>
              <w:bottom w:val="single" w:sz="4" w:space="0" w:color="FFFFFF"/>
              <w:right w:val="single" w:sz="4" w:space="0" w:color="FFFFFF"/>
            </w:tcBorders>
            <w:shd w:val="clear" w:color="auto" w:fill="auto"/>
            <w:vAlign w:val="bottom"/>
          </w:tcPr>
          <w:p w14:paraId="4CB1AA7F" w14:textId="77777777" w:rsidR="006C56CC" w:rsidRDefault="006C56CC" w:rsidP="00540250">
            <w:pPr>
              <w:rPr>
                <w:rFonts w:ascii="Liberation Sans" w:eastAsia="Liberation Sans" w:hAnsi="Liberation Sans" w:cs="Liberation Sans"/>
              </w:rPr>
            </w:pPr>
            <w:r>
              <w:rPr>
                <w:rFonts w:ascii="Liberation Sans" w:eastAsia="Liberation Sans" w:hAnsi="Liberation Sans" w:cs="Liberation Sans"/>
              </w:rPr>
              <w:t> </w:t>
            </w:r>
          </w:p>
        </w:tc>
        <w:tc>
          <w:tcPr>
            <w:tcW w:w="1432" w:type="dxa"/>
            <w:tcBorders>
              <w:top w:val="nil"/>
              <w:left w:val="nil"/>
              <w:bottom w:val="single" w:sz="4" w:space="0" w:color="FFFFFF"/>
              <w:right w:val="single" w:sz="4" w:space="0" w:color="000000"/>
            </w:tcBorders>
            <w:shd w:val="clear" w:color="auto" w:fill="auto"/>
            <w:vAlign w:val="bottom"/>
          </w:tcPr>
          <w:p w14:paraId="56E6B2A9" w14:textId="77777777" w:rsidR="006C56CC" w:rsidRDefault="006C56CC" w:rsidP="00540250">
            <w:pPr>
              <w:rPr>
                <w:sz w:val="20"/>
                <w:szCs w:val="20"/>
              </w:rPr>
            </w:pPr>
            <w:r>
              <w:rPr>
                <w:sz w:val="20"/>
                <w:szCs w:val="20"/>
              </w:rPr>
              <w:t>91.3</w:t>
            </w:r>
          </w:p>
        </w:tc>
        <w:tc>
          <w:tcPr>
            <w:tcW w:w="1433" w:type="dxa"/>
            <w:tcBorders>
              <w:top w:val="nil"/>
              <w:left w:val="nil"/>
              <w:bottom w:val="single" w:sz="4" w:space="0" w:color="FFFFFF"/>
              <w:right w:val="single" w:sz="4" w:space="0" w:color="000000"/>
            </w:tcBorders>
            <w:shd w:val="clear" w:color="auto" w:fill="auto"/>
            <w:vAlign w:val="bottom"/>
          </w:tcPr>
          <w:p w14:paraId="6B60E624" w14:textId="77777777" w:rsidR="006C56CC" w:rsidRDefault="006C56CC" w:rsidP="00540250">
            <w:pPr>
              <w:rPr>
                <w:sz w:val="20"/>
                <w:szCs w:val="20"/>
              </w:rPr>
            </w:pPr>
            <w:r>
              <w:rPr>
                <w:sz w:val="20"/>
                <w:szCs w:val="20"/>
              </w:rPr>
              <w:t>87.4</w:t>
            </w:r>
          </w:p>
        </w:tc>
        <w:tc>
          <w:tcPr>
            <w:tcW w:w="1433" w:type="dxa"/>
            <w:tcBorders>
              <w:top w:val="nil"/>
              <w:left w:val="nil"/>
              <w:bottom w:val="single" w:sz="4" w:space="0" w:color="FFFFFF"/>
              <w:right w:val="single" w:sz="4" w:space="0" w:color="000000"/>
            </w:tcBorders>
            <w:shd w:val="clear" w:color="auto" w:fill="auto"/>
            <w:vAlign w:val="bottom"/>
          </w:tcPr>
          <w:p w14:paraId="7F69F0BB" w14:textId="77777777" w:rsidR="006C56CC" w:rsidRDefault="006C56CC" w:rsidP="00540250">
            <w:pPr>
              <w:rPr>
                <w:sz w:val="20"/>
                <w:szCs w:val="20"/>
              </w:rPr>
            </w:pPr>
            <w:r>
              <w:rPr>
                <w:sz w:val="20"/>
                <w:szCs w:val="20"/>
              </w:rPr>
              <w:t>0.5</w:t>
            </w:r>
          </w:p>
        </w:tc>
        <w:tc>
          <w:tcPr>
            <w:tcW w:w="1433" w:type="dxa"/>
            <w:tcBorders>
              <w:top w:val="nil"/>
              <w:left w:val="nil"/>
              <w:bottom w:val="single" w:sz="4" w:space="0" w:color="FFFFFF"/>
              <w:right w:val="single" w:sz="4" w:space="0" w:color="000000"/>
            </w:tcBorders>
            <w:shd w:val="clear" w:color="auto" w:fill="auto"/>
            <w:vAlign w:val="bottom"/>
          </w:tcPr>
          <w:p w14:paraId="1E45274D" w14:textId="77777777" w:rsidR="006C56CC" w:rsidRDefault="006C56CC" w:rsidP="00540250">
            <w:pPr>
              <w:rPr>
                <w:sz w:val="20"/>
                <w:szCs w:val="20"/>
              </w:rPr>
            </w:pPr>
            <w:r>
              <w:rPr>
                <w:sz w:val="20"/>
                <w:szCs w:val="20"/>
              </w:rPr>
              <w:t>18.4</w:t>
            </w:r>
          </w:p>
        </w:tc>
        <w:tc>
          <w:tcPr>
            <w:tcW w:w="1433" w:type="dxa"/>
            <w:tcBorders>
              <w:top w:val="nil"/>
              <w:left w:val="nil"/>
              <w:bottom w:val="single" w:sz="4" w:space="0" w:color="FFFFFF"/>
              <w:right w:val="single" w:sz="4" w:space="0" w:color="FFFFFF"/>
            </w:tcBorders>
            <w:shd w:val="clear" w:color="auto" w:fill="auto"/>
            <w:vAlign w:val="bottom"/>
          </w:tcPr>
          <w:p w14:paraId="5E018811" w14:textId="77777777" w:rsidR="006C56CC" w:rsidRDefault="006C56CC" w:rsidP="00540250">
            <w:pPr>
              <w:rPr>
                <w:sz w:val="20"/>
                <w:szCs w:val="20"/>
              </w:rPr>
            </w:pPr>
            <w:r>
              <w:rPr>
                <w:sz w:val="20"/>
                <w:szCs w:val="20"/>
              </w:rPr>
              <w:t>75.2</w:t>
            </w:r>
          </w:p>
        </w:tc>
      </w:tr>
      <w:tr w:rsidR="006C56CC" w14:paraId="73B7BDCE" w14:textId="77777777" w:rsidTr="00BD0692">
        <w:trPr>
          <w:trHeight w:val="300"/>
        </w:trPr>
        <w:tc>
          <w:tcPr>
            <w:tcW w:w="1909" w:type="dxa"/>
            <w:tcBorders>
              <w:top w:val="nil"/>
              <w:left w:val="single" w:sz="4" w:space="0" w:color="FFFFFF"/>
              <w:bottom w:val="single" w:sz="4" w:space="0" w:color="FFFFFF"/>
              <w:right w:val="single" w:sz="4" w:space="0" w:color="FFFFFF"/>
            </w:tcBorders>
            <w:shd w:val="clear" w:color="auto" w:fill="auto"/>
            <w:vAlign w:val="bottom"/>
          </w:tcPr>
          <w:p w14:paraId="23EC0407" w14:textId="77777777" w:rsidR="006C56CC" w:rsidRDefault="006C56CC" w:rsidP="00540250">
            <w:pPr>
              <w:rPr>
                <w:rFonts w:ascii="Liberation Sans" w:eastAsia="Liberation Sans" w:hAnsi="Liberation Sans" w:cs="Liberation Sans"/>
                <w:sz w:val="20"/>
                <w:szCs w:val="20"/>
              </w:rPr>
            </w:pPr>
            <w:r>
              <w:rPr>
                <w:rFonts w:ascii="Liberation Sans" w:eastAsia="Liberation Sans" w:hAnsi="Liberation Sans" w:cs="Liberation Sans"/>
                <w:sz w:val="20"/>
                <w:szCs w:val="20"/>
              </w:rPr>
              <w:t> </w:t>
            </w:r>
          </w:p>
        </w:tc>
        <w:tc>
          <w:tcPr>
            <w:tcW w:w="277" w:type="dxa"/>
            <w:tcBorders>
              <w:top w:val="nil"/>
              <w:left w:val="nil"/>
              <w:bottom w:val="single" w:sz="4" w:space="0" w:color="FFFFFF"/>
              <w:right w:val="single" w:sz="4" w:space="0" w:color="FFFFFF"/>
            </w:tcBorders>
            <w:shd w:val="clear" w:color="auto" w:fill="auto"/>
            <w:vAlign w:val="bottom"/>
          </w:tcPr>
          <w:p w14:paraId="3063537D" w14:textId="77777777" w:rsidR="006C56CC" w:rsidRDefault="006C56CC" w:rsidP="00540250">
            <w:pPr>
              <w:rPr>
                <w:rFonts w:ascii="Liberation Sans" w:eastAsia="Liberation Sans" w:hAnsi="Liberation Sans" w:cs="Liberation Sans"/>
              </w:rPr>
            </w:pPr>
            <w:r>
              <w:rPr>
                <w:rFonts w:ascii="Liberation Sans" w:eastAsia="Liberation Sans" w:hAnsi="Liberation Sans" w:cs="Liberation Sans"/>
              </w:rPr>
              <w:t> </w:t>
            </w:r>
          </w:p>
        </w:tc>
        <w:tc>
          <w:tcPr>
            <w:tcW w:w="1432" w:type="dxa"/>
            <w:tcBorders>
              <w:top w:val="nil"/>
              <w:left w:val="nil"/>
              <w:bottom w:val="single" w:sz="4" w:space="0" w:color="FFFFFF"/>
              <w:right w:val="single" w:sz="4" w:space="0" w:color="000000"/>
            </w:tcBorders>
            <w:shd w:val="clear" w:color="auto" w:fill="auto"/>
            <w:vAlign w:val="bottom"/>
          </w:tcPr>
          <w:p w14:paraId="6D86BF2B" w14:textId="77777777" w:rsidR="006C56CC" w:rsidRDefault="006C56CC" w:rsidP="00540250">
            <w:pPr>
              <w:rPr>
                <w:sz w:val="20"/>
                <w:szCs w:val="20"/>
              </w:rPr>
            </w:pPr>
            <w:r>
              <w:rPr>
                <w:sz w:val="20"/>
                <w:szCs w:val="20"/>
              </w:rPr>
              <w:t>96.6</w:t>
            </w:r>
          </w:p>
        </w:tc>
        <w:tc>
          <w:tcPr>
            <w:tcW w:w="1433" w:type="dxa"/>
            <w:tcBorders>
              <w:top w:val="nil"/>
              <w:left w:val="nil"/>
              <w:bottom w:val="single" w:sz="4" w:space="0" w:color="FFFFFF"/>
              <w:right w:val="single" w:sz="4" w:space="0" w:color="000000"/>
            </w:tcBorders>
            <w:shd w:val="clear" w:color="auto" w:fill="auto"/>
            <w:vAlign w:val="bottom"/>
          </w:tcPr>
          <w:p w14:paraId="6560CFE0" w14:textId="77777777" w:rsidR="006C56CC" w:rsidRDefault="006C56CC" w:rsidP="00540250">
            <w:pPr>
              <w:rPr>
                <w:sz w:val="20"/>
                <w:szCs w:val="20"/>
              </w:rPr>
            </w:pPr>
            <w:r>
              <w:rPr>
                <w:sz w:val="20"/>
                <w:szCs w:val="20"/>
              </w:rPr>
              <w:t>97.2</w:t>
            </w:r>
          </w:p>
        </w:tc>
        <w:tc>
          <w:tcPr>
            <w:tcW w:w="1433" w:type="dxa"/>
            <w:tcBorders>
              <w:top w:val="nil"/>
              <w:left w:val="nil"/>
              <w:bottom w:val="single" w:sz="4" w:space="0" w:color="FFFFFF"/>
              <w:right w:val="single" w:sz="4" w:space="0" w:color="000000"/>
            </w:tcBorders>
            <w:shd w:val="clear" w:color="auto" w:fill="auto"/>
            <w:vAlign w:val="bottom"/>
          </w:tcPr>
          <w:p w14:paraId="4E13BCEF" w14:textId="77777777" w:rsidR="006C56CC" w:rsidRDefault="006C56CC" w:rsidP="00540250">
            <w:pPr>
              <w:rPr>
                <w:sz w:val="20"/>
                <w:szCs w:val="20"/>
              </w:rPr>
            </w:pPr>
            <w:r>
              <w:rPr>
                <w:sz w:val="20"/>
                <w:szCs w:val="20"/>
              </w:rPr>
              <w:t>52.2</w:t>
            </w:r>
          </w:p>
        </w:tc>
        <w:tc>
          <w:tcPr>
            <w:tcW w:w="1433" w:type="dxa"/>
            <w:tcBorders>
              <w:top w:val="nil"/>
              <w:left w:val="nil"/>
              <w:bottom w:val="single" w:sz="4" w:space="0" w:color="FFFFFF"/>
              <w:right w:val="single" w:sz="4" w:space="0" w:color="000000"/>
            </w:tcBorders>
            <w:shd w:val="clear" w:color="auto" w:fill="auto"/>
            <w:vAlign w:val="bottom"/>
          </w:tcPr>
          <w:p w14:paraId="664400A0" w14:textId="77777777" w:rsidR="006C56CC" w:rsidRDefault="006C56CC" w:rsidP="00540250">
            <w:pPr>
              <w:rPr>
                <w:sz w:val="20"/>
                <w:szCs w:val="20"/>
              </w:rPr>
            </w:pPr>
            <w:r>
              <w:rPr>
                <w:sz w:val="20"/>
                <w:szCs w:val="20"/>
              </w:rPr>
              <w:t>59.0</w:t>
            </w:r>
          </w:p>
        </w:tc>
        <w:tc>
          <w:tcPr>
            <w:tcW w:w="1433" w:type="dxa"/>
            <w:tcBorders>
              <w:top w:val="nil"/>
              <w:left w:val="nil"/>
              <w:bottom w:val="single" w:sz="4" w:space="0" w:color="FFFFFF"/>
              <w:right w:val="single" w:sz="4" w:space="0" w:color="FFFFFF"/>
            </w:tcBorders>
            <w:shd w:val="clear" w:color="auto" w:fill="auto"/>
            <w:vAlign w:val="bottom"/>
          </w:tcPr>
          <w:p w14:paraId="59D8F83A" w14:textId="77777777" w:rsidR="006C56CC" w:rsidRDefault="006C56CC" w:rsidP="00540250">
            <w:pPr>
              <w:rPr>
                <w:sz w:val="20"/>
                <w:szCs w:val="20"/>
              </w:rPr>
            </w:pPr>
            <w:r>
              <w:rPr>
                <w:sz w:val="20"/>
                <w:szCs w:val="20"/>
              </w:rPr>
              <w:t>77.7</w:t>
            </w:r>
          </w:p>
        </w:tc>
      </w:tr>
      <w:tr w:rsidR="006C56CC" w14:paraId="624343B0" w14:textId="77777777" w:rsidTr="00BD0692">
        <w:trPr>
          <w:trHeight w:val="300"/>
        </w:trPr>
        <w:tc>
          <w:tcPr>
            <w:tcW w:w="1909" w:type="dxa"/>
            <w:tcBorders>
              <w:top w:val="nil"/>
              <w:left w:val="single" w:sz="4" w:space="0" w:color="FFFFFF"/>
              <w:bottom w:val="nil"/>
              <w:right w:val="single" w:sz="4" w:space="0" w:color="FFFFFF"/>
            </w:tcBorders>
            <w:shd w:val="clear" w:color="auto" w:fill="auto"/>
            <w:vAlign w:val="bottom"/>
          </w:tcPr>
          <w:p w14:paraId="6AF987E3" w14:textId="77777777" w:rsidR="006C56CC" w:rsidRDefault="006C56CC" w:rsidP="00540250">
            <w:pPr>
              <w:rPr>
                <w:rFonts w:ascii="Liberation Sans" w:eastAsia="Liberation Sans" w:hAnsi="Liberation Sans" w:cs="Liberation Sans"/>
                <w:sz w:val="20"/>
                <w:szCs w:val="20"/>
              </w:rPr>
            </w:pPr>
            <w:r>
              <w:rPr>
                <w:rFonts w:ascii="Liberation Sans" w:eastAsia="Liberation Sans" w:hAnsi="Liberation Sans" w:cs="Liberation Sans"/>
                <w:sz w:val="20"/>
                <w:szCs w:val="20"/>
              </w:rPr>
              <w:t> </w:t>
            </w:r>
          </w:p>
        </w:tc>
        <w:tc>
          <w:tcPr>
            <w:tcW w:w="277" w:type="dxa"/>
            <w:tcBorders>
              <w:top w:val="nil"/>
              <w:left w:val="nil"/>
              <w:bottom w:val="nil"/>
              <w:right w:val="single" w:sz="4" w:space="0" w:color="FFFFFF"/>
            </w:tcBorders>
            <w:shd w:val="clear" w:color="auto" w:fill="auto"/>
            <w:vAlign w:val="bottom"/>
          </w:tcPr>
          <w:p w14:paraId="01DEF9A4" w14:textId="77777777" w:rsidR="006C56CC" w:rsidRDefault="006C56CC" w:rsidP="00540250">
            <w:pPr>
              <w:rPr>
                <w:rFonts w:ascii="Liberation Sans" w:eastAsia="Liberation Sans" w:hAnsi="Liberation Sans" w:cs="Liberation Sans"/>
              </w:rPr>
            </w:pPr>
            <w:r>
              <w:rPr>
                <w:rFonts w:ascii="Liberation Sans" w:eastAsia="Liberation Sans" w:hAnsi="Liberation Sans" w:cs="Liberation Sans"/>
              </w:rPr>
              <w:t> </w:t>
            </w:r>
          </w:p>
        </w:tc>
        <w:tc>
          <w:tcPr>
            <w:tcW w:w="1432" w:type="dxa"/>
            <w:tcBorders>
              <w:top w:val="nil"/>
              <w:left w:val="nil"/>
              <w:bottom w:val="nil"/>
              <w:right w:val="single" w:sz="4" w:space="0" w:color="000000"/>
            </w:tcBorders>
            <w:shd w:val="clear" w:color="auto" w:fill="auto"/>
            <w:vAlign w:val="bottom"/>
          </w:tcPr>
          <w:p w14:paraId="621BCAE3" w14:textId="77777777" w:rsidR="006C56CC" w:rsidRDefault="006C56CC" w:rsidP="00540250">
            <w:pPr>
              <w:rPr>
                <w:sz w:val="20"/>
                <w:szCs w:val="20"/>
              </w:rPr>
            </w:pPr>
            <w:r>
              <w:rPr>
                <w:sz w:val="20"/>
                <w:szCs w:val="20"/>
              </w:rPr>
              <w:t>97.3</w:t>
            </w:r>
          </w:p>
        </w:tc>
        <w:tc>
          <w:tcPr>
            <w:tcW w:w="1433" w:type="dxa"/>
            <w:tcBorders>
              <w:top w:val="nil"/>
              <w:left w:val="nil"/>
              <w:bottom w:val="nil"/>
              <w:right w:val="single" w:sz="4" w:space="0" w:color="000000"/>
            </w:tcBorders>
            <w:shd w:val="clear" w:color="auto" w:fill="auto"/>
            <w:vAlign w:val="bottom"/>
          </w:tcPr>
          <w:p w14:paraId="5F435D27" w14:textId="77777777" w:rsidR="006C56CC" w:rsidRDefault="006C56CC" w:rsidP="00540250">
            <w:pPr>
              <w:rPr>
                <w:sz w:val="20"/>
                <w:szCs w:val="20"/>
              </w:rPr>
            </w:pPr>
            <w:r>
              <w:rPr>
                <w:sz w:val="20"/>
                <w:szCs w:val="20"/>
              </w:rPr>
              <w:t>98.6</w:t>
            </w:r>
          </w:p>
        </w:tc>
        <w:tc>
          <w:tcPr>
            <w:tcW w:w="1433" w:type="dxa"/>
            <w:tcBorders>
              <w:top w:val="nil"/>
              <w:left w:val="nil"/>
              <w:bottom w:val="nil"/>
              <w:right w:val="single" w:sz="4" w:space="0" w:color="000000"/>
            </w:tcBorders>
            <w:shd w:val="clear" w:color="auto" w:fill="auto"/>
            <w:vAlign w:val="bottom"/>
          </w:tcPr>
          <w:p w14:paraId="36598739" w14:textId="77777777" w:rsidR="006C56CC" w:rsidRDefault="006C56CC" w:rsidP="00540250">
            <w:pPr>
              <w:rPr>
                <w:sz w:val="20"/>
                <w:szCs w:val="20"/>
              </w:rPr>
            </w:pPr>
            <w:r>
              <w:rPr>
                <w:sz w:val="20"/>
                <w:szCs w:val="20"/>
              </w:rPr>
              <w:t>97.2</w:t>
            </w:r>
          </w:p>
        </w:tc>
        <w:tc>
          <w:tcPr>
            <w:tcW w:w="1433" w:type="dxa"/>
            <w:tcBorders>
              <w:top w:val="nil"/>
              <w:left w:val="nil"/>
              <w:bottom w:val="nil"/>
              <w:right w:val="single" w:sz="4" w:space="0" w:color="000000"/>
            </w:tcBorders>
            <w:shd w:val="clear" w:color="auto" w:fill="auto"/>
            <w:vAlign w:val="bottom"/>
          </w:tcPr>
          <w:p w14:paraId="23A55852" w14:textId="77777777" w:rsidR="006C56CC" w:rsidRDefault="006C56CC" w:rsidP="00540250">
            <w:pPr>
              <w:rPr>
                <w:sz w:val="20"/>
                <w:szCs w:val="20"/>
              </w:rPr>
            </w:pPr>
            <w:r>
              <w:rPr>
                <w:sz w:val="20"/>
                <w:szCs w:val="20"/>
              </w:rPr>
              <w:t>97.9</w:t>
            </w:r>
          </w:p>
        </w:tc>
        <w:tc>
          <w:tcPr>
            <w:tcW w:w="1433" w:type="dxa"/>
            <w:tcBorders>
              <w:top w:val="nil"/>
              <w:left w:val="nil"/>
              <w:bottom w:val="nil"/>
              <w:right w:val="single" w:sz="4" w:space="0" w:color="FFFFFF"/>
            </w:tcBorders>
            <w:shd w:val="clear" w:color="auto" w:fill="auto"/>
            <w:vAlign w:val="bottom"/>
          </w:tcPr>
          <w:p w14:paraId="193A07A0" w14:textId="77777777" w:rsidR="006C56CC" w:rsidRDefault="006C56CC" w:rsidP="00540250">
            <w:pPr>
              <w:rPr>
                <w:sz w:val="20"/>
                <w:szCs w:val="20"/>
              </w:rPr>
            </w:pPr>
            <w:r>
              <w:rPr>
                <w:sz w:val="20"/>
                <w:szCs w:val="20"/>
              </w:rPr>
              <w:t>78.0</w:t>
            </w:r>
          </w:p>
        </w:tc>
      </w:tr>
      <w:tr w:rsidR="006C56CC" w14:paraId="5B52275A" w14:textId="77777777" w:rsidTr="00BD0692">
        <w:trPr>
          <w:trHeight w:val="300"/>
        </w:trPr>
        <w:tc>
          <w:tcPr>
            <w:tcW w:w="1909" w:type="dxa"/>
            <w:tcBorders>
              <w:top w:val="single" w:sz="4" w:space="0" w:color="000000"/>
              <w:left w:val="single" w:sz="4" w:space="0" w:color="FFFFFF"/>
              <w:bottom w:val="single" w:sz="4" w:space="0" w:color="FFFFFF"/>
              <w:right w:val="single" w:sz="4" w:space="0" w:color="FFFFFF"/>
            </w:tcBorders>
            <w:shd w:val="clear" w:color="auto" w:fill="auto"/>
            <w:vAlign w:val="bottom"/>
          </w:tcPr>
          <w:p w14:paraId="4988AA7A" w14:textId="62F82813" w:rsidR="006C56CC" w:rsidRDefault="00A81BAB" w:rsidP="00540250">
            <w:pPr>
              <w:rPr>
                <w:rFonts w:ascii="Liberation Sans" w:eastAsia="Liberation Sans" w:hAnsi="Liberation Sans" w:cs="Liberation Sans"/>
                <w:sz w:val="20"/>
                <w:szCs w:val="20"/>
              </w:rPr>
            </w:pPr>
            <w:r>
              <w:rPr>
                <w:rFonts w:ascii="Liberation Sans" w:eastAsia="Liberation Sans" w:hAnsi="Liberation Sans" w:cs="Liberation Sans"/>
                <w:sz w:val="20"/>
                <w:szCs w:val="20"/>
              </w:rPr>
              <w:t>5</w:t>
            </w:r>
            <w:r w:rsidR="006C56CC">
              <w:rPr>
                <w:rFonts w:ascii="Liberation Sans" w:eastAsia="Liberation Sans" w:hAnsi="Liberation Sans" w:cs="Liberation Sans"/>
                <w:sz w:val="20"/>
                <w:szCs w:val="20"/>
              </w:rPr>
              <w:t xml:space="preserve">0% Mouse </w:t>
            </w:r>
          </w:p>
        </w:tc>
        <w:tc>
          <w:tcPr>
            <w:tcW w:w="277" w:type="dxa"/>
            <w:tcBorders>
              <w:top w:val="single" w:sz="4" w:space="0" w:color="000000"/>
              <w:left w:val="nil"/>
              <w:bottom w:val="single" w:sz="4" w:space="0" w:color="FFFFFF"/>
              <w:right w:val="single" w:sz="4" w:space="0" w:color="FFFFFF"/>
            </w:tcBorders>
            <w:shd w:val="clear" w:color="auto" w:fill="auto"/>
            <w:vAlign w:val="bottom"/>
          </w:tcPr>
          <w:p w14:paraId="1B00E79C" w14:textId="77777777" w:rsidR="006C56CC" w:rsidRDefault="006C56CC" w:rsidP="00540250">
            <w:pPr>
              <w:rPr>
                <w:rFonts w:ascii="Liberation Sans" w:eastAsia="Liberation Sans" w:hAnsi="Liberation Sans" w:cs="Liberation Sans"/>
              </w:rPr>
            </w:pPr>
            <w:r>
              <w:rPr>
                <w:rFonts w:ascii="Liberation Sans" w:eastAsia="Liberation Sans" w:hAnsi="Liberation Sans" w:cs="Liberation Sans"/>
              </w:rPr>
              <w:t> </w:t>
            </w:r>
          </w:p>
        </w:tc>
        <w:tc>
          <w:tcPr>
            <w:tcW w:w="1432" w:type="dxa"/>
            <w:tcBorders>
              <w:top w:val="single" w:sz="4" w:space="0" w:color="000000"/>
              <w:left w:val="nil"/>
              <w:bottom w:val="single" w:sz="4" w:space="0" w:color="FFFFFF"/>
              <w:right w:val="single" w:sz="4" w:space="0" w:color="000000"/>
            </w:tcBorders>
            <w:shd w:val="clear" w:color="auto" w:fill="auto"/>
            <w:vAlign w:val="bottom"/>
          </w:tcPr>
          <w:p w14:paraId="0CC2049F" w14:textId="77777777" w:rsidR="006C56CC" w:rsidRDefault="006C56CC" w:rsidP="00540250">
            <w:pPr>
              <w:rPr>
                <w:sz w:val="20"/>
                <w:szCs w:val="20"/>
              </w:rPr>
            </w:pPr>
            <w:r>
              <w:rPr>
                <w:sz w:val="20"/>
                <w:szCs w:val="20"/>
              </w:rPr>
              <w:t>23.9</w:t>
            </w:r>
          </w:p>
        </w:tc>
        <w:tc>
          <w:tcPr>
            <w:tcW w:w="1433" w:type="dxa"/>
            <w:tcBorders>
              <w:top w:val="single" w:sz="4" w:space="0" w:color="000000"/>
              <w:left w:val="nil"/>
              <w:bottom w:val="single" w:sz="4" w:space="0" w:color="FFFFFF"/>
              <w:right w:val="single" w:sz="4" w:space="0" w:color="000000"/>
            </w:tcBorders>
            <w:shd w:val="clear" w:color="auto" w:fill="auto"/>
            <w:vAlign w:val="bottom"/>
          </w:tcPr>
          <w:p w14:paraId="0A37FD0A" w14:textId="77777777" w:rsidR="006C56CC" w:rsidRDefault="006C56CC" w:rsidP="00540250">
            <w:pPr>
              <w:rPr>
                <w:sz w:val="20"/>
                <w:szCs w:val="20"/>
              </w:rPr>
            </w:pPr>
            <w:r>
              <w:rPr>
                <w:sz w:val="20"/>
                <w:szCs w:val="20"/>
              </w:rPr>
              <w:t>20.7</w:t>
            </w:r>
          </w:p>
        </w:tc>
        <w:tc>
          <w:tcPr>
            <w:tcW w:w="1433" w:type="dxa"/>
            <w:tcBorders>
              <w:top w:val="single" w:sz="4" w:space="0" w:color="000000"/>
              <w:left w:val="nil"/>
              <w:bottom w:val="single" w:sz="4" w:space="0" w:color="FFFFFF"/>
              <w:right w:val="single" w:sz="4" w:space="0" w:color="000000"/>
            </w:tcBorders>
            <w:shd w:val="clear" w:color="auto" w:fill="auto"/>
            <w:vAlign w:val="bottom"/>
          </w:tcPr>
          <w:p w14:paraId="20F321BB" w14:textId="77777777" w:rsidR="006C56CC" w:rsidRDefault="006C56CC" w:rsidP="00540250">
            <w:pPr>
              <w:rPr>
                <w:sz w:val="20"/>
                <w:szCs w:val="20"/>
              </w:rPr>
            </w:pPr>
            <w:r>
              <w:rPr>
                <w:sz w:val="20"/>
                <w:szCs w:val="20"/>
              </w:rPr>
              <w:t>N/A</w:t>
            </w:r>
          </w:p>
        </w:tc>
        <w:tc>
          <w:tcPr>
            <w:tcW w:w="1433" w:type="dxa"/>
            <w:tcBorders>
              <w:top w:val="single" w:sz="4" w:space="0" w:color="000000"/>
              <w:left w:val="nil"/>
              <w:bottom w:val="single" w:sz="4" w:space="0" w:color="FFFFFF"/>
              <w:right w:val="single" w:sz="4" w:space="0" w:color="000000"/>
            </w:tcBorders>
            <w:shd w:val="clear" w:color="auto" w:fill="auto"/>
            <w:vAlign w:val="bottom"/>
          </w:tcPr>
          <w:p w14:paraId="2A61C625" w14:textId="77777777" w:rsidR="006C56CC" w:rsidRDefault="006C56CC" w:rsidP="00540250">
            <w:pPr>
              <w:rPr>
                <w:sz w:val="20"/>
                <w:szCs w:val="20"/>
              </w:rPr>
            </w:pPr>
            <w:r>
              <w:rPr>
                <w:sz w:val="20"/>
                <w:szCs w:val="20"/>
              </w:rPr>
              <w:t>2.6</w:t>
            </w:r>
          </w:p>
        </w:tc>
        <w:tc>
          <w:tcPr>
            <w:tcW w:w="1433" w:type="dxa"/>
            <w:tcBorders>
              <w:top w:val="single" w:sz="4" w:space="0" w:color="000000"/>
              <w:left w:val="nil"/>
              <w:bottom w:val="single" w:sz="4" w:space="0" w:color="FFFFFF"/>
              <w:right w:val="single" w:sz="4" w:space="0" w:color="FFFFFF"/>
            </w:tcBorders>
            <w:shd w:val="clear" w:color="auto" w:fill="auto"/>
            <w:vAlign w:val="bottom"/>
          </w:tcPr>
          <w:p w14:paraId="03FB50A9" w14:textId="77777777" w:rsidR="006C56CC" w:rsidRDefault="006C56CC" w:rsidP="00540250">
            <w:pPr>
              <w:rPr>
                <w:sz w:val="20"/>
                <w:szCs w:val="20"/>
              </w:rPr>
            </w:pPr>
            <w:r>
              <w:rPr>
                <w:sz w:val="20"/>
                <w:szCs w:val="20"/>
              </w:rPr>
              <w:t>31.7</w:t>
            </w:r>
          </w:p>
        </w:tc>
      </w:tr>
      <w:tr w:rsidR="006C56CC" w14:paraId="4CBA241A" w14:textId="77777777" w:rsidTr="00BD0692">
        <w:trPr>
          <w:trHeight w:val="300"/>
        </w:trPr>
        <w:tc>
          <w:tcPr>
            <w:tcW w:w="1909" w:type="dxa"/>
            <w:tcBorders>
              <w:top w:val="nil"/>
              <w:left w:val="single" w:sz="4" w:space="0" w:color="FFFFFF"/>
              <w:bottom w:val="single" w:sz="4" w:space="0" w:color="FFFFFF"/>
              <w:right w:val="single" w:sz="4" w:space="0" w:color="FFFFFF"/>
            </w:tcBorders>
            <w:shd w:val="clear" w:color="auto" w:fill="auto"/>
            <w:vAlign w:val="bottom"/>
          </w:tcPr>
          <w:p w14:paraId="79BC9E3B" w14:textId="77777777" w:rsidR="006C56CC" w:rsidRDefault="006C56CC" w:rsidP="00540250">
            <w:pPr>
              <w:rPr>
                <w:rFonts w:ascii="Liberation Sans" w:eastAsia="Liberation Sans" w:hAnsi="Liberation Sans" w:cs="Liberation Sans"/>
                <w:sz w:val="20"/>
                <w:szCs w:val="20"/>
              </w:rPr>
            </w:pPr>
            <w:r>
              <w:rPr>
                <w:rFonts w:ascii="Liberation Sans" w:eastAsia="Liberation Sans" w:hAnsi="Liberation Sans" w:cs="Liberation Sans"/>
                <w:sz w:val="20"/>
                <w:szCs w:val="20"/>
              </w:rPr>
              <w:t>Contamination</w:t>
            </w:r>
          </w:p>
        </w:tc>
        <w:tc>
          <w:tcPr>
            <w:tcW w:w="277" w:type="dxa"/>
            <w:tcBorders>
              <w:top w:val="nil"/>
              <w:left w:val="nil"/>
              <w:bottom w:val="single" w:sz="4" w:space="0" w:color="FFFFFF"/>
              <w:right w:val="single" w:sz="4" w:space="0" w:color="FFFFFF"/>
            </w:tcBorders>
            <w:shd w:val="clear" w:color="auto" w:fill="auto"/>
            <w:vAlign w:val="bottom"/>
          </w:tcPr>
          <w:p w14:paraId="540F24E9" w14:textId="77777777" w:rsidR="006C56CC" w:rsidRDefault="006C56CC" w:rsidP="00540250">
            <w:pPr>
              <w:rPr>
                <w:rFonts w:ascii="Liberation Sans" w:eastAsia="Liberation Sans" w:hAnsi="Liberation Sans" w:cs="Liberation Sans"/>
              </w:rPr>
            </w:pPr>
            <w:r>
              <w:rPr>
                <w:rFonts w:ascii="Liberation Sans" w:eastAsia="Liberation Sans" w:hAnsi="Liberation Sans" w:cs="Liberation Sans"/>
              </w:rPr>
              <w:t> </w:t>
            </w:r>
          </w:p>
        </w:tc>
        <w:tc>
          <w:tcPr>
            <w:tcW w:w="1432" w:type="dxa"/>
            <w:tcBorders>
              <w:top w:val="nil"/>
              <w:left w:val="nil"/>
              <w:bottom w:val="single" w:sz="4" w:space="0" w:color="FFFFFF"/>
              <w:right w:val="single" w:sz="4" w:space="0" w:color="000000"/>
            </w:tcBorders>
            <w:shd w:val="clear" w:color="auto" w:fill="auto"/>
            <w:vAlign w:val="bottom"/>
          </w:tcPr>
          <w:p w14:paraId="6407D2A3" w14:textId="77777777" w:rsidR="006C56CC" w:rsidRDefault="006C56CC" w:rsidP="00540250">
            <w:pPr>
              <w:rPr>
                <w:sz w:val="20"/>
                <w:szCs w:val="20"/>
              </w:rPr>
            </w:pPr>
            <w:r>
              <w:rPr>
                <w:sz w:val="20"/>
                <w:szCs w:val="20"/>
              </w:rPr>
              <w:t>70.9</w:t>
            </w:r>
          </w:p>
        </w:tc>
        <w:tc>
          <w:tcPr>
            <w:tcW w:w="1433" w:type="dxa"/>
            <w:tcBorders>
              <w:top w:val="nil"/>
              <w:left w:val="nil"/>
              <w:bottom w:val="single" w:sz="4" w:space="0" w:color="FFFFFF"/>
              <w:right w:val="single" w:sz="4" w:space="0" w:color="000000"/>
            </w:tcBorders>
            <w:shd w:val="clear" w:color="auto" w:fill="auto"/>
            <w:vAlign w:val="bottom"/>
          </w:tcPr>
          <w:p w14:paraId="1B28A8CF" w14:textId="77777777" w:rsidR="006C56CC" w:rsidRDefault="006C56CC" w:rsidP="00540250">
            <w:pPr>
              <w:rPr>
                <w:sz w:val="20"/>
                <w:szCs w:val="20"/>
              </w:rPr>
            </w:pPr>
            <w:r>
              <w:rPr>
                <w:sz w:val="20"/>
                <w:szCs w:val="20"/>
              </w:rPr>
              <w:t>57.2</w:t>
            </w:r>
          </w:p>
        </w:tc>
        <w:tc>
          <w:tcPr>
            <w:tcW w:w="1433" w:type="dxa"/>
            <w:tcBorders>
              <w:top w:val="nil"/>
              <w:left w:val="nil"/>
              <w:bottom w:val="single" w:sz="4" w:space="0" w:color="FFFFFF"/>
              <w:right w:val="single" w:sz="4" w:space="0" w:color="000000"/>
            </w:tcBorders>
            <w:shd w:val="clear" w:color="auto" w:fill="auto"/>
            <w:vAlign w:val="bottom"/>
          </w:tcPr>
          <w:p w14:paraId="01E0CEC4" w14:textId="77777777" w:rsidR="006C56CC" w:rsidRDefault="006C56CC" w:rsidP="00540250">
            <w:pPr>
              <w:rPr>
                <w:sz w:val="20"/>
                <w:szCs w:val="20"/>
              </w:rPr>
            </w:pPr>
            <w:r>
              <w:rPr>
                <w:sz w:val="20"/>
                <w:szCs w:val="20"/>
              </w:rPr>
              <w:t>0.0</w:t>
            </w:r>
          </w:p>
        </w:tc>
        <w:tc>
          <w:tcPr>
            <w:tcW w:w="1433" w:type="dxa"/>
            <w:tcBorders>
              <w:top w:val="nil"/>
              <w:left w:val="nil"/>
              <w:bottom w:val="single" w:sz="4" w:space="0" w:color="FFFFFF"/>
              <w:right w:val="single" w:sz="4" w:space="0" w:color="000000"/>
            </w:tcBorders>
            <w:shd w:val="clear" w:color="auto" w:fill="auto"/>
            <w:vAlign w:val="bottom"/>
          </w:tcPr>
          <w:p w14:paraId="2868E635" w14:textId="77777777" w:rsidR="006C56CC" w:rsidRDefault="006C56CC" w:rsidP="00540250">
            <w:pPr>
              <w:rPr>
                <w:sz w:val="20"/>
                <w:szCs w:val="20"/>
              </w:rPr>
            </w:pPr>
            <w:r>
              <w:rPr>
                <w:sz w:val="20"/>
                <w:szCs w:val="20"/>
              </w:rPr>
              <w:t>16.9</w:t>
            </w:r>
          </w:p>
        </w:tc>
        <w:tc>
          <w:tcPr>
            <w:tcW w:w="1433" w:type="dxa"/>
            <w:tcBorders>
              <w:top w:val="nil"/>
              <w:left w:val="nil"/>
              <w:bottom w:val="single" w:sz="4" w:space="0" w:color="FFFFFF"/>
              <w:right w:val="single" w:sz="4" w:space="0" w:color="FFFFFF"/>
            </w:tcBorders>
            <w:shd w:val="clear" w:color="auto" w:fill="auto"/>
            <w:vAlign w:val="bottom"/>
          </w:tcPr>
          <w:p w14:paraId="5B545127" w14:textId="77777777" w:rsidR="006C56CC" w:rsidRDefault="006C56CC" w:rsidP="00540250">
            <w:pPr>
              <w:rPr>
                <w:sz w:val="20"/>
                <w:szCs w:val="20"/>
              </w:rPr>
            </w:pPr>
            <w:r>
              <w:rPr>
                <w:sz w:val="20"/>
                <w:szCs w:val="20"/>
              </w:rPr>
              <w:t>61.3</w:t>
            </w:r>
          </w:p>
        </w:tc>
      </w:tr>
      <w:tr w:rsidR="006C56CC" w14:paraId="142DD2B8" w14:textId="77777777" w:rsidTr="00BD0692">
        <w:trPr>
          <w:trHeight w:val="300"/>
        </w:trPr>
        <w:tc>
          <w:tcPr>
            <w:tcW w:w="1909" w:type="dxa"/>
            <w:tcBorders>
              <w:top w:val="nil"/>
              <w:left w:val="single" w:sz="4" w:space="0" w:color="FFFFFF"/>
              <w:bottom w:val="single" w:sz="4" w:space="0" w:color="FFFFFF"/>
              <w:right w:val="single" w:sz="4" w:space="0" w:color="FFFFFF"/>
            </w:tcBorders>
            <w:shd w:val="clear" w:color="auto" w:fill="auto"/>
            <w:vAlign w:val="bottom"/>
          </w:tcPr>
          <w:p w14:paraId="1C07D89B" w14:textId="77777777" w:rsidR="006C56CC" w:rsidRDefault="006C56CC" w:rsidP="00540250">
            <w:pPr>
              <w:rPr>
                <w:rFonts w:ascii="Liberation Sans" w:eastAsia="Liberation Sans" w:hAnsi="Liberation Sans" w:cs="Liberation Sans"/>
                <w:sz w:val="20"/>
                <w:szCs w:val="20"/>
              </w:rPr>
            </w:pPr>
            <w:r>
              <w:rPr>
                <w:rFonts w:ascii="Liberation Sans" w:eastAsia="Liberation Sans" w:hAnsi="Liberation Sans" w:cs="Liberation Sans"/>
                <w:sz w:val="20"/>
                <w:szCs w:val="20"/>
              </w:rPr>
              <w:t> </w:t>
            </w:r>
          </w:p>
        </w:tc>
        <w:tc>
          <w:tcPr>
            <w:tcW w:w="277" w:type="dxa"/>
            <w:tcBorders>
              <w:top w:val="nil"/>
              <w:left w:val="nil"/>
              <w:bottom w:val="single" w:sz="4" w:space="0" w:color="FFFFFF"/>
              <w:right w:val="single" w:sz="4" w:space="0" w:color="FFFFFF"/>
            </w:tcBorders>
            <w:shd w:val="clear" w:color="auto" w:fill="auto"/>
            <w:vAlign w:val="bottom"/>
          </w:tcPr>
          <w:p w14:paraId="740D8002" w14:textId="77777777" w:rsidR="006C56CC" w:rsidRDefault="006C56CC" w:rsidP="00540250">
            <w:pPr>
              <w:rPr>
                <w:rFonts w:ascii="Liberation Sans" w:eastAsia="Liberation Sans" w:hAnsi="Liberation Sans" w:cs="Liberation Sans"/>
              </w:rPr>
            </w:pPr>
            <w:r>
              <w:rPr>
                <w:rFonts w:ascii="Liberation Sans" w:eastAsia="Liberation Sans" w:hAnsi="Liberation Sans" w:cs="Liberation Sans"/>
              </w:rPr>
              <w:t> </w:t>
            </w:r>
          </w:p>
        </w:tc>
        <w:tc>
          <w:tcPr>
            <w:tcW w:w="1432" w:type="dxa"/>
            <w:tcBorders>
              <w:top w:val="nil"/>
              <w:left w:val="nil"/>
              <w:bottom w:val="single" w:sz="4" w:space="0" w:color="FFFFFF"/>
              <w:right w:val="single" w:sz="4" w:space="0" w:color="000000"/>
            </w:tcBorders>
            <w:shd w:val="clear" w:color="auto" w:fill="auto"/>
            <w:vAlign w:val="bottom"/>
          </w:tcPr>
          <w:p w14:paraId="44F4B46D" w14:textId="77777777" w:rsidR="006C56CC" w:rsidRDefault="006C56CC" w:rsidP="00540250">
            <w:pPr>
              <w:rPr>
                <w:sz w:val="20"/>
                <w:szCs w:val="20"/>
              </w:rPr>
            </w:pPr>
            <w:r>
              <w:rPr>
                <w:sz w:val="20"/>
                <w:szCs w:val="20"/>
              </w:rPr>
              <w:t>91.3</w:t>
            </w:r>
          </w:p>
        </w:tc>
        <w:tc>
          <w:tcPr>
            <w:tcW w:w="1433" w:type="dxa"/>
            <w:tcBorders>
              <w:top w:val="nil"/>
              <w:left w:val="nil"/>
              <w:bottom w:val="single" w:sz="4" w:space="0" w:color="FFFFFF"/>
              <w:right w:val="single" w:sz="4" w:space="0" w:color="000000"/>
            </w:tcBorders>
            <w:shd w:val="clear" w:color="auto" w:fill="auto"/>
            <w:vAlign w:val="bottom"/>
          </w:tcPr>
          <w:p w14:paraId="7ABAA26B" w14:textId="77777777" w:rsidR="006C56CC" w:rsidRDefault="006C56CC" w:rsidP="00540250">
            <w:pPr>
              <w:rPr>
                <w:sz w:val="20"/>
                <w:szCs w:val="20"/>
              </w:rPr>
            </w:pPr>
            <w:r>
              <w:rPr>
                <w:sz w:val="20"/>
                <w:szCs w:val="20"/>
              </w:rPr>
              <w:t>87.4</w:t>
            </w:r>
          </w:p>
        </w:tc>
        <w:tc>
          <w:tcPr>
            <w:tcW w:w="1433" w:type="dxa"/>
            <w:tcBorders>
              <w:top w:val="nil"/>
              <w:left w:val="nil"/>
              <w:bottom w:val="single" w:sz="4" w:space="0" w:color="FFFFFF"/>
              <w:right w:val="single" w:sz="4" w:space="0" w:color="000000"/>
            </w:tcBorders>
            <w:shd w:val="clear" w:color="auto" w:fill="auto"/>
            <w:vAlign w:val="bottom"/>
          </w:tcPr>
          <w:p w14:paraId="64F5E77E" w14:textId="77777777" w:rsidR="006C56CC" w:rsidRDefault="006C56CC" w:rsidP="00540250">
            <w:pPr>
              <w:rPr>
                <w:sz w:val="20"/>
                <w:szCs w:val="20"/>
              </w:rPr>
            </w:pPr>
            <w:r>
              <w:rPr>
                <w:sz w:val="20"/>
                <w:szCs w:val="20"/>
              </w:rPr>
              <w:t>0.5</w:t>
            </w:r>
          </w:p>
        </w:tc>
        <w:tc>
          <w:tcPr>
            <w:tcW w:w="1433" w:type="dxa"/>
            <w:tcBorders>
              <w:top w:val="nil"/>
              <w:left w:val="nil"/>
              <w:bottom w:val="single" w:sz="4" w:space="0" w:color="FFFFFF"/>
              <w:right w:val="single" w:sz="4" w:space="0" w:color="000000"/>
            </w:tcBorders>
            <w:shd w:val="clear" w:color="auto" w:fill="auto"/>
            <w:vAlign w:val="bottom"/>
          </w:tcPr>
          <w:p w14:paraId="48BEBA18" w14:textId="77777777" w:rsidR="006C56CC" w:rsidRDefault="006C56CC" w:rsidP="00540250">
            <w:pPr>
              <w:rPr>
                <w:sz w:val="20"/>
                <w:szCs w:val="20"/>
              </w:rPr>
            </w:pPr>
            <w:r>
              <w:rPr>
                <w:sz w:val="20"/>
                <w:szCs w:val="20"/>
              </w:rPr>
              <w:t>18.4</w:t>
            </w:r>
          </w:p>
        </w:tc>
        <w:tc>
          <w:tcPr>
            <w:tcW w:w="1433" w:type="dxa"/>
            <w:tcBorders>
              <w:top w:val="nil"/>
              <w:left w:val="nil"/>
              <w:bottom w:val="single" w:sz="4" w:space="0" w:color="FFFFFF"/>
              <w:right w:val="single" w:sz="4" w:space="0" w:color="FFFFFF"/>
            </w:tcBorders>
            <w:shd w:val="clear" w:color="auto" w:fill="auto"/>
            <w:vAlign w:val="bottom"/>
          </w:tcPr>
          <w:p w14:paraId="57F60515" w14:textId="77777777" w:rsidR="006C56CC" w:rsidRDefault="006C56CC" w:rsidP="00540250">
            <w:pPr>
              <w:rPr>
                <w:sz w:val="20"/>
                <w:szCs w:val="20"/>
              </w:rPr>
            </w:pPr>
            <w:r>
              <w:rPr>
                <w:sz w:val="20"/>
                <w:szCs w:val="20"/>
              </w:rPr>
              <w:t>75.2</w:t>
            </w:r>
          </w:p>
        </w:tc>
      </w:tr>
      <w:tr w:rsidR="006C56CC" w14:paraId="235B0DD4" w14:textId="77777777" w:rsidTr="00BD0692">
        <w:trPr>
          <w:trHeight w:val="300"/>
        </w:trPr>
        <w:tc>
          <w:tcPr>
            <w:tcW w:w="1909" w:type="dxa"/>
            <w:tcBorders>
              <w:top w:val="nil"/>
              <w:left w:val="single" w:sz="4" w:space="0" w:color="FFFFFF"/>
              <w:bottom w:val="single" w:sz="4" w:space="0" w:color="FFFFFF"/>
              <w:right w:val="single" w:sz="4" w:space="0" w:color="FFFFFF"/>
            </w:tcBorders>
            <w:shd w:val="clear" w:color="auto" w:fill="auto"/>
            <w:vAlign w:val="bottom"/>
          </w:tcPr>
          <w:p w14:paraId="3CF99963" w14:textId="77777777" w:rsidR="006C56CC" w:rsidRDefault="006C56CC" w:rsidP="00540250">
            <w:pPr>
              <w:rPr>
                <w:rFonts w:ascii="Liberation Sans" w:eastAsia="Liberation Sans" w:hAnsi="Liberation Sans" w:cs="Liberation Sans"/>
                <w:sz w:val="20"/>
                <w:szCs w:val="20"/>
              </w:rPr>
            </w:pPr>
            <w:r>
              <w:rPr>
                <w:rFonts w:ascii="Liberation Sans" w:eastAsia="Liberation Sans" w:hAnsi="Liberation Sans" w:cs="Liberation Sans"/>
                <w:sz w:val="20"/>
                <w:szCs w:val="20"/>
              </w:rPr>
              <w:t> </w:t>
            </w:r>
          </w:p>
        </w:tc>
        <w:tc>
          <w:tcPr>
            <w:tcW w:w="277" w:type="dxa"/>
            <w:tcBorders>
              <w:top w:val="nil"/>
              <w:left w:val="nil"/>
              <w:bottom w:val="single" w:sz="4" w:space="0" w:color="FFFFFF"/>
              <w:right w:val="single" w:sz="4" w:space="0" w:color="FFFFFF"/>
            </w:tcBorders>
            <w:shd w:val="clear" w:color="auto" w:fill="auto"/>
            <w:vAlign w:val="bottom"/>
          </w:tcPr>
          <w:p w14:paraId="4E7E3BD0" w14:textId="77777777" w:rsidR="006C56CC" w:rsidRDefault="006C56CC" w:rsidP="00540250">
            <w:pPr>
              <w:rPr>
                <w:rFonts w:ascii="Liberation Sans" w:eastAsia="Liberation Sans" w:hAnsi="Liberation Sans" w:cs="Liberation Sans"/>
              </w:rPr>
            </w:pPr>
            <w:r>
              <w:rPr>
                <w:rFonts w:ascii="Liberation Sans" w:eastAsia="Liberation Sans" w:hAnsi="Liberation Sans" w:cs="Liberation Sans"/>
              </w:rPr>
              <w:t> </w:t>
            </w:r>
          </w:p>
        </w:tc>
        <w:tc>
          <w:tcPr>
            <w:tcW w:w="1432" w:type="dxa"/>
            <w:tcBorders>
              <w:top w:val="nil"/>
              <w:left w:val="nil"/>
              <w:bottom w:val="single" w:sz="4" w:space="0" w:color="FFFFFF"/>
              <w:right w:val="single" w:sz="4" w:space="0" w:color="000000"/>
            </w:tcBorders>
            <w:shd w:val="clear" w:color="auto" w:fill="auto"/>
            <w:vAlign w:val="bottom"/>
          </w:tcPr>
          <w:p w14:paraId="5BC97407" w14:textId="77777777" w:rsidR="006C56CC" w:rsidRDefault="006C56CC" w:rsidP="00540250">
            <w:pPr>
              <w:rPr>
                <w:sz w:val="20"/>
                <w:szCs w:val="20"/>
              </w:rPr>
            </w:pPr>
            <w:r>
              <w:rPr>
                <w:sz w:val="20"/>
                <w:szCs w:val="20"/>
              </w:rPr>
              <w:t>96.6</w:t>
            </w:r>
          </w:p>
        </w:tc>
        <w:tc>
          <w:tcPr>
            <w:tcW w:w="1433" w:type="dxa"/>
            <w:tcBorders>
              <w:top w:val="nil"/>
              <w:left w:val="nil"/>
              <w:bottom w:val="single" w:sz="4" w:space="0" w:color="FFFFFF"/>
              <w:right w:val="single" w:sz="4" w:space="0" w:color="000000"/>
            </w:tcBorders>
            <w:shd w:val="clear" w:color="auto" w:fill="auto"/>
            <w:vAlign w:val="bottom"/>
          </w:tcPr>
          <w:p w14:paraId="5A7505BC" w14:textId="77777777" w:rsidR="006C56CC" w:rsidRDefault="006C56CC" w:rsidP="00540250">
            <w:pPr>
              <w:rPr>
                <w:sz w:val="20"/>
                <w:szCs w:val="20"/>
              </w:rPr>
            </w:pPr>
            <w:r>
              <w:rPr>
                <w:sz w:val="20"/>
                <w:szCs w:val="20"/>
              </w:rPr>
              <w:t>97.2</w:t>
            </w:r>
          </w:p>
        </w:tc>
        <w:tc>
          <w:tcPr>
            <w:tcW w:w="1433" w:type="dxa"/>
            <w:tcBorders>
              <w:top w:val="nil"/>
              <w:left w:val="nil"/>
              <w:bottom w:val="single" w:sz="4" w:space="0" w:color="FFFFFF"/>
              <w:right w:val="single" w:sz="4" w:space="0" w:color="000000"/>
            </w:tcBorders>
            <w:shd w:val="clear" w:color="auto" w:fill="auto"/>
            <w:vAlign w:val="bottom"/>
          </w:tcPr>
          <w:p w14:paraId="5669EB4A" w14:textId="77777777" w:rsidR="006C56CC" w:rsidRDefault="006C56CC" w:rsidP="00540250">
            <w:pPr>
              <w:rPr>
                <w:sz w:val="20"/>
                <w:szCs w:val="20"/>
              </w:rPr>
            </w:pPr>
            <w:r>
              <w:rPr>
                <w:sz w:val="20"/>
                <w:szCs w:val="20"/>
              </w:rPr>
              <w:t>52.2</w:t>
            </w:r>
          </w:p>
        </w:tc>
        <w:tc>
          <w:tcPr>
            <w:tcW w:w="1433" w:type="dxa"/>
            <w:tcBorders>
              <w:top w:val="nil"/>
              <w:left w:val="nil"/>
              <w:bottom w:val="single" w:sz="4" w:space="0" w:color="FFFFFF"/>
              <w:right w:val="single" w:sz="4" w:space="0" w:color="000000"/>
            </w:tcBorders>
            <w:shd w:val="clear" w:color="auto" w:fill="auto"/>
            <w:vAlign w:val="bottom"/>
          </w:tcPr>
          <w:p w14:paraId="38746899" w14:textId="77777777" w:rsidR="006C56CC" w:rsidRDefault="006C56CC" w:rsidP="00540250">
            <w:pPr>
              <w:rPr>
                <w:sz w:val="20"/>
                <w:szCs w:val="20"/>
              </w:rPr>
            </w:pPr>
            <w:r>
              <w:rPr>
                <w:sz w:val="20"/>
                <w:szCs w:val="20"/>
              </w:rPr>
              <w:t>59.0</w:t>
            </w:r>
          </w:p>
        </w:tc>
        <w:tc>
          <w:tcPr>
            <w:tcW w:w="1433" w:type="dxa"/>
            <w:tcBorders>
              <w:top w:val="nil"/>
              <w:left w:val="nil"/>
              <w:bottom w:val="single" w:sz="4" w:space="0" w:color="FFFFFF"/>
              <w:right w:val="single" w:sz="4" w:space="0" w:color="FFFFFF"/>
            </w:tcBorders>
            <w:shd w:val="clear" w:color="auto" w:fill="auto"/>
            <w:vAlign w:val="bottom"/>
          </w:tcPr>
          <w:p w14:paraId="64DD92F1" w14:textId="77777777" w:rsidR="006C56CC" w:rsidRDefault="006C56CC" w:rsidP="00540250">
            <w:pPr>
              <w:rPr>
                <w:sz w:val="20"/>
                <w:szCs w:val="20"/>
              </w:rPr>
            </w:pPr>
            <w:r>
              <w:rPr>
                <w:sz w:val="20"/>
                <w:szCs w:val="20"/>
              </w:rPr>
              <w:t>77.7</w:t>
            </w:r>
          </w:p>
        </w:tc>
      </w:tr>
      <w:tr w:rsidR="006C56CC" w14:paraId="1FDA49AA" w14:textId="77777777" w:rsidTr="00BD0692">
        <w:trPr>
          <w:trHeight w:val="320"/>
        </w:trPr>
        <w:tc>
          <w:tcPr>
            <w:tcW w:w="1909" w:type="dxa"/>
            <w:tcBorders>
              <w:top w:val="single" w:sz="4" w:space="0" w:color="FFFFFF"/>
              <w:left w:val="single" w:sz="4" w:space="0" w:color="FFFFFF"/>
              <w:bottom w:val="single" w:sz="12" w:space="0" w:color="000000"/>
              <w:right w:val="single" w:sz="4" w:space="0" w:color="FFFFFF"/>
            </w:tcBorders>
            <w:shd w:val="clear" w:color="auto" w:fill="auto"/>
            <w:vAlign w:val="bottom"/>
          </w:tcPr>
          <w:p w14:paraId="772E5587" w14:textId="77777777" w:rsidR="006C56CC" w:rsidRDefault="006C56CC" w:rsidP="00540250">
            <w:pPr>
              <w:rPr>
                <w:rFonts w:ascii="Liberation Sans" w:eastAsia="Liberation Sans" w:hAnsi="Liberation Sans" w:cs="Liberation Sans"/>
              </w:rPr>
            </w:pPr>
            <w:r>
              <w:rPr>
                <w:rFonts w:ascii="Liberation Sans" w:eastAsia="Liberation Sans" w:hAnsi="Liberation Sans" w:cs="Liberation Sans"/>
              </w:rPr>
              <w:t> </w:t>
            </w:r>
          </w:p>
        </w:tc>
        <w:tc>
          <w:tcPr>
            <w:tcW w:w="277" w:type="dxa"/>
            <w:tcBorders>
              <w:top w:val="single" w:sz="4" w:space="0" w:color="FFFFFF"/>
              <w:left w:val="nil"/>
              <w:bottom w:val="single" w:sz="12" w:space="0" w:color="000000"/>
              <w:right w:val="single" w:sz="4" w:space="0" w:color="FFFFFF"/>
            </w:tcBorders>
            <w:shd w:val="clear" w:color="auto" w:fill="auto"/>
            <w:vAlign w:val="bottom"/>
          </w:tcPr>
          <w:p w14:paraId="4794223D" w14:textId="77777777" w:rsidR="006C56CC" w:rsidRDefault="006C56CC" w:rsidP="00540250">
            <w:pPr>
              <w:rPr>
                <w:rFonts w:ascii="Liberation Sans" w:eastAsia="Liberation Sans" w:hAnsi="Liberation Sans" w:cs="Liberation Sans"/>
              </w:rPr>
            </w:pPr>
            <w:r>
              <w:rPr>
                <w:rFonts w:ascii="Liberation Sans" w:eastAsia="Liberation Sans" w:hAnsi="Liberation Sans" w:cs="Liberation Sans"/>
              </w:rPr>
              <w:t> </w:t>
            </w:r>
          </w:p>
        </w:tc>
        <w:tc>
          <w:tcPr>
            <w:tcW w:w="1432" w:type="dxa"/>
            <w:tcBorders>
              <w:top w:val="single" w:sz="4" w:space="0" w:color="FFFFFF"/>
              <w:left w:val="nil"/>
              <w:bottom w:val="single" w:sz="12" w:space="0" w:color="000000"/>
              <w:right w:val="single" w:sz="4" w:space="0" w:color="000000"/>
            </w:tcBorders>
            <w:shd w:val="clear" w:color="auto" w:fill="auto"/>
            <w:vAlign w:val="bottom"/>
          </w:tcPr>
          <w:p w14:paraId="18F2644A" w14:textId="77777777" w:rsidR="006C56CC" w:rsidRDefault="006C56CC" w:rsidP="00540250">
            <w:pPr>
              <w:rPr>
                <w:sz w:val="20"/>
                <w:szCs w:val="20"/>
              </w:rPr>
            </w:pPr>
            <w:r>
              <w:rPr>
                <w:sz w:val="20"/>
                <w:szCs w:val="20"/>
              </w:rPr>
              <w:t>97.3</w:t>
            </w:r>
          </w:p>
        </w:tc>
        <w:tc>
          <w:tcPr>
            <w:tcW w:w="1433" w:type="dxa"/>
            <w:tcBorders>
              <w:top w:val="single" w:sz="4" w:space="0" w:color="FFFFFF"/>
              <w:left w:val="nil"/>
              <w:bottom w:val="single" w:sz="12" w:space="0" w:color="000000"/>
              <w:right w:val="single" w:sz="4" w:space="0" w:color="000000"/>
            </w:tcBorders>
            <w:shd w:val="clear" w:color="auto" w:fill="auto"/>
            <w:vAlign w:val="bottom"/>
          </w:tcPr>
          <w:p w14:paraId="25FE3477" w14:textId="77777777" w:rsidR="006C56CC" w:rsidRDefault="006C56CC" w:rsidP="00540250">
            <w:pPr>
              <w:rPr>
                <w:sz w:val="20"/>
                <w:szCs w:val="20"/>
              </w:rPr>
            </w:pPr>
            <w:r>
              <w:rPr>
                <w:sz w:val="20"/>
                <w:szCs w:val="20"/>
              </w:rPr>
              <w:t>98.6</w:t>
            </w:r>
          </w:p>
        </w:tc>
        <w:tc>
          <w:tcPr>
            <w:tcW w:w="1433" w:type="dxa"/>
            <w:tcBorders>
              <w:top w:val="single" w:sz="4" w:space="0" w:color="FFFFFF"/>
              <w:left w:val="nil"/>
              <w:bottom w:val="single" w:sz="12" w:space="0" w:color="000000"/>
              <w:right w:val="single" w:sz="4" w:space="0" w:color="000000"/>
            </w:tcBorders>
            <w:shd w:val="clear" w:color="auto" w:fill="auto"/>
            <w:vAlign w:val="bottom"/>
          </w:tcPr>
          <w:p w14:paraId="242F7AF2" w14:textId="77777777" w:rsidR="006C56CC" w:rsidRDefault="006C56CC" w:rsidP="00540250">
            <w:pPr>
              <w:rPr>
                <w:sz w:val="20"/>
                <w:szCs w:val="20"/>
              </w:rPr>
            </w:pPr>
            <w:r>
              <w:rPr>
                <w:sz w:val="20"/>
                <w:szCs w:val="20"/>
              </w:rPr>
              <w:t>97.2</w:t>
            </w:r>
          </w:p>
        </w:tc>
        <w:tc>
          <w:tcPr>
            <w:tcW w:w="1433" w:type="dxa"/>
            <w:tcBorders>
              <w:top w:val="single" w:sz="4" w:space="0" w:color="FFFFFF"/>
              <w:left w:val="nil"/>
              <w:bottom w:val="single" w:sz="12" w:space="0" w:color="000000"/>
              <w:right w:val="single" w:sz="4" w:space="0" w:color="000000"/>
            </w:tcBorders>
            <w:shd w:val="clear" w:color="auto" w:fill="auto"/>
            <w:vAlign w:val="bottom"/>
          </w:tcPr>
          <w:p w14:paraId="4C8C54DA" w14:textId="77777777" w:rsidR="006C56CC" w:rsidRDefault="006C56CC" w:rsidP="00540250">
            <w:pPr>
              <w:rPr>
                <w:sz w:val="20"/>
                <w:szCs w:val="20"/>
              </w:rPr>
            </w:pPr>
            <w:r>
              <w:rPr>
                <w:sz w:val="20"/>
                <w:szCs w:val="20"/>
              </w:rPr>
              <w:t>97.9</w:t>
            </w:r>
          </w:p>
        </w:tc>
        <w:tc>
          <w:tcPr>
            <w:tcW w:w="1433" w:type="dxa"/>
            <w:tcBorders>
              <w:top w:val="single" w:sz="4" w:space="0" w:color="FFFFFF"/>
              <w:left w:val="nil"/>
              <w:bottom w:val="single" w:sz="12" w:space="0" w:color="000000"/>
              <w:right w:val="single" w:sz="4" w:space="0" w:color="FFFFFF"/>
            </w:tcBorders>
            <w:shd w:val="clear" w:color="auto" w:fill="auto"/>
            <w:vAlign w:val="bottom"/>
          </w:tcPr>
          <w:p w14:paraId="3EA01F37" w14:textId="77777777" w:rsidR="006C56CC" w:rsidRDefault="006C56CC" w:rsidP="00540250">
            <w:pPr>
              <w:rPr>
                <w:sz w:val="20"/>
                <w:szCs w:val="20"/>
              </w:rPr>
            </w:pPr>
            <w:r>
              <w:rPr>
                <w:sz w:val="20"/>
                <w:szCs w:val="20"/>
              </w:rPr>
              <w:t>78.0</w:t>
            </w:r>
          </w:p>
        </w:tc>
      </w:tr>
    </w:tbl>
    <w:p w14:paraId="4C375345" w14:textId="77777777" w:rsidR="006C56CC" w:rsidRDefault="006C56CC" w:rsidP="00540250">
      <w:r>
        <w:br w:type="page"/>
      </w:r>
    </w:p>
    <w:p w14:paraId="0332BAAE" w14:textId="0D5D7200" w:rsidR="005D5F53" w:rsidRDefault="000B6B89" w:rsidP="00540250">
      <w:pPr>
        <w:rPr>
          <w:rFonts w:eastAsia="Calibri"/>
          <w:b/>
        </w:rPr>
      </w:pPr>
      <w:r>
        <w:rPr>
          <w:rFonts w:eastAsia="Calibri"/>
          <w:b/>
          <w:noProof/>
          <w:lang w:eastAsia="zh-CN"/>
        </w:rPr>
        <w:lastRenderedPageBreak/>
        <w:drawing>
          <wp:inline distT="0" distB="0" distL="0" distR="0" wp14:anchorId="4FD8194E" wp14:editId="5B01315C">
            <wp:extent cx="5613707" cy="65721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fPerfomanceSnp.png"/>
                    <pic:cNvPicPr/>
                  </pic:nvPicPr>
                  <pic:blipFill>
                    <a:blip r:embed="rId25">
                      <a:extLst>
                        <a:ext uri="{28A0092B-C50C-407E-A947-70E740481C1C}">
                          <a14:useLocalDpi xmlns:a14="http://schemas.microsoft.com/office/drawing/2010/main" val="0"/>
                        </a:ext>
                      </a:extLst>
                    </a:blip>
                    <a:stretch>
                      <a:fillRect/>
                    </a:stretch>
                  </pic:blipFill>
                  <pic:spPr>
                    <a:xfrm>
                      <a:off x="0" y="0"/>
                      <a:ext cx="5622210" cy="6582071"/>
                    </a:xfrm>
                    <a:prstGeom prst="rect">
                      <a:avLst/>
                    </a:prstGeom>
                  </pic:spPr>
                </pic:pic>
              </a:graphicData>
            </a:graphic>
          </wp:inline>
        </w:drawing>
      </w:r>
    </w:p>
    <w:p w14:paraId="75A18630" w14:textId="64541F81" w:rsidR="007B2DE2" w:rsidRPr="007A105A" w:rsidRDefault="006C56CC" w:rsidP="00540250">
      <w:pPr>
        <w:pStyle w:val="FigureLegend"/>
        <w:jc w:val="left"/>
        <w:rPr>
          <w:rFonts w:eastAsia="Calibri"/>
          <w:b w:val="0"/>
          <w:bCs w:val="0"/>
        </w:rPr>
      </w:pPr>
      <w:r w:rsidRPr="00DC4816">
        <w:rPr>
          <w:rFonts w:eastAsia="Calibri"/>
        </w:rPr>
        <w:t xml:space="preserve">Supplementary Figure </w:t>
      </w:r>
      <w:r w:rsidR="00411D03">
        <w:rPr>
          <w:rFonts w:eastAsia="Calibri"/>
        </w:rPr>
        <w:t>11</w:t>
      </w:r>
      <w:r w:rsidRPr="00F93CCF">
        <w:rPr>
          <w:rFonts w:eastAsia="Calibri"/>
        </w:rPr>
        <w:t xml:space="preserve">: </w:t>
      </w:r>
      <w:r w:rsidRPr="007A105A">
        <w:rPr>
          <w:rFonts w:eastAsia="Calibri"/>
          <w:b w:val="0"/>
          <w:bCs w:val="0"/>
        </w:rPr>
        <w:t xml:space="preserve">Performance of the five PDTC workflows across SNPs at 250x, 130x and 65x coverage at 0.05 or 0.3 variant allele frequency (VAF). Precision and recall across SNPs of a simulated dataset (BS-DN) at 250, 130, and 65 coverage values and at two variant allele frequencies: </w:t>
      </w:r>
      <w:r w:rsidR="005007C6">
        <w:rPr>
          <w:rFonts w:eastAsia="Calibri"/>
        </w:rPr>
        <w:t>a)</w:t>
      </w:r>
      <w:r w:rsidRPr="007A105A">
        <w:rPr>
          <w:rFonts w:eastAsia="Calibri"/>
          <w:b w:val="0"/>
          <w:bCs w:val="0"/>
        </w:rPr>
        <w:t xml:space="preserve"> 0.05 VAF and </w:t>
      </w:r>
      <w:r w:rsidR="005007C6">
        <w:rPr>
          <w:rFonts w:eastAsia="Calibri"/>
        </w:rPr>
        <w:t>b)</w:t>
      </w:r>
      <w:r w:rsidRPr="007A105A">
        <w:rPr>
          <w:rFonts w:eastAsia="Calibri"/>
          <w:b w:val="0"/>
          <w:bCs w:val="0"/>
        </w:rPr>
        <w:t xml:space="preserve"> 0.3 VAF. As expected, workflow performance improved at higher VAFs and coverage. Workflow 2 that contains Mutect2 as the variant caller performs consistently the best across all samples in SNP calling at both 0.05 and 0.3 VAF.</w:t>
      </w:r>
      <w:r w:rsidR="00133674">
        <w:br w:type="page"/>
      </w:r>
    </w:p>
    <w:p w14:paraId="6B2E36D7" w14:textId="5414EF57" w:rsidR="007B2DE2" w:rsidRPr="00F93CCF" w:rsidRDefault="00EF1610" w:rsidP="00EE466A">
      <w:pPr>
        <w:pStyle w:val="figure"/>
      </w:pPr>
      <w:r>
        <w:rPr>
          <w:lang w:eastAsia="zh-CN"/>
        </w:rPr>
        <w:lastRenderedPageBreak/>
        <w:drawing>
          <wp:inline distT="0" distB="0" distL="0" distR="0" wp14:anchorId="1482E638" wp14:editId="6DB6B743">
            <wp:extent cx="5715000" cy="67125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15000" cy="6712585"/>
                    </a:xfrm>
                    <a:prstGeom prst="rect">
                      <a:avLst/>
                    </a:prstGeom>
                  </pic:spPr>
                </pic:pic>
              </a:graphicData>
            </a:graphic>
          </wp:inline>
        </w:drawing>
      </w:r>
    </w:p>
    <w:p w14:paraId="76B66C73" w14:textId="2FF54E60" w:rsidR="007B2DE2" w:rsidRDefault="00146C7D" w:rsidP="003A15B7">
      <w:pPr>
        <w:pStyle w:val="FigureLegend"/>
        <w:jc w:val="left"/>
      </w:pPr>
      <w:r>
        <w:t xml:space="preserve">Supplementary </w:t>
      </w:r>
      <w:r w:rsidR="00133674" w:rsidRPr="00F93CCF">
        <w:t xml:space="preserve">Figure </w:t>
      </w:r>
      <w:r>
        <w:t>12</w:t>
      </w:r>
      <w:r w:rsidR="00133674" w:rsidRPr="00F93CCF">
        <w:t xml:space="preserve">: </w:t>
      </w:r>
      <w:r w:rsidR="009C0AD1" w:rsidRPr="00F93CCF">
        <w:rPr>
          <w:b w:val="0"/>
        </w:rPr>
        <w:t xml:space="preserve">Wiring </w:t>
      </w:r>
      <w:r w:rsidR="009C0AD1" w:rsidRPr="00632997">
        <w:rPr>
          <w:b w:val="0"/>
          <w:bCs w:val="0"/>
        </w:rPr>
        <w:t>diagrams</w:t>
      </w:r>
      <w:r w:rsidR="009C0AD1" w:rsidRPr="00F93CCF">
        <w:rPr>
          <w:b w:val="0"/>
        </w:rPr>
        <w:t xml:space="preserve"> for submitted </w:t>
      </w:r>
      <w:r w:rsidR="009C0AD1" w:rsidRPr="00632997">
        <w:rPr>
          <w:b w:val="0"/>
          <w:bCs w:val="0"/>
        </w:rPr>
        <w:t>whole exome workflows</w:t>
      </w:r>
      <w:r w:rsidR="009C0AD1" w:rsidRPr="00F93CCF">
        <w:rPr>
          <w:b w:val="0"/>
        </w:rPr>
        <w:t xml:space="preserve"> </w:t>
      </w:r>
      <w:r w:rsidR="009C0AD1">
        <w:rPr>
          <w:b w:val="0"/>
        </w:rPr>
        <w:t xml:space="preserve">submitted by the </w:t>
      </w:r>
      <w:r w:rsidR="00466FE6">
        <w:rPr>
          <w:b w:val="0"/>
        </w:rPr>
        <w:t>PDTCs</w:t>
      </w:r>
      <w:r w:rsidR="009C0AD1">
        <w:rPr>
          <w:b w:val="0"/>
        </w:rPr>
        <w:t xml:space="preserve">. </w:t>
      </w:r>
      <w:r w:rsidR="009C0AD1" w:rsidRPr="00043989">
        <w:rPr>
          <w:b w:val="0"/>
          <w:bCs w:val="0"/>
        </w:rPr>
        <w:t xml:space="preserve">Wiring diagrams include nodes and connections. Nodes depict inputs - </w:t>
      </w:r>
      <w:r w:rsidR="009C0AD1" w:rsidRPr="00043989">
        <w:rPr>
          <w:b w:val="0"/>
          <w:bCs w:val="0"/>
          <w:noProof/>
          <w:lang w:eastAsia="zh-CN"/>
        </w:rPr>
        <w:drawing>
          <wp:inline distT="0" distB="0" distL="0" distR="0" wp14:anchorId="52959CCB" wp14:editId="50ACFBED">
            <wp:extent cx="185139" cy="178966"/>
            <wp:effectExtent l="0" t="0" r="5715" b="0"/>
            <wp:docPr id="46" name="Picture 31" descr="A picture containing object, clock&#10;&#10;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B4CB3DB-5655-1F46-BF93-CCBC95B9A6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descr="A picture containing object, clock&#10;&#10;Description automatically generated">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B4CB3DB-5655-1F46-BF93-CCBC95B9A658}"/>
                        </a:ext>
                      </a:extLst>
                    </pic:cNvPr>
                    <pic:cNvPicPr>
                      <a:picLocks noChangeAspect="1"/>
                    </pic:cNvPicPr>
                  </pic:nvPicPr>
                  <pic:blipFill>
                    <a:blip r:embed="rId27"/>
                    <a:stretch>
                      <a:fillRect/>
                    </a:stretch>
                  </pic:blipFill>
                  <pic:spPr>
                    <a:xfrm>
                      <a:off x="0" y="0"/>
                      <a:ext cx="211567" cy="204513"/>
                    </a:xfrm>
                    <a:prstGeom prst="rect">
                      <a:avLst/>
                    </a:prstGeom>
                  </pic:spPr>
                </pic:pic>
              </a:graphicData>
            </a:graphic>
          </wp:inline>
        </w:drawing>
      </w:r>
      <w:r w:rsidR="009C0AD1" w:rsidRPr="00043989">
        <w:rPr>
          <w:b w:val="0"/>
          <w:bCs w:val="0"/>
        </w:rPr>
        <w:t xml:space="preserve">, outputs - </w:t>
      </w:r>
      <w:r w:rsidR="009C0AD1" w:rsidRPr="00043989">
        <w:rPr>
          <w:b w:val="0"/>
          <w:bCs w:val="0"/>
          <w:noProof/>
          <w:lang w:eastAsia="zh-CN"/>
        </w:rPr>
        <w:drawing>
          <wp:inline distT="0" distB="0" distL="0" distR="0" wp14:anchorId="17498752" wp14:editId="7AD90E8E">
            <wp:extent cx="186127" cy="179922"/>
            <wp:effectExtent l="0" t="0" r="4445" b="0"/>
            <wp:docPr id="47" name="Picture 32" descr="A picture containing object, clock&#10;&#10;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259394-91AD-534D-AAB2-4D0FF6A33C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descr="A picture containing object, clock&#10;&#10;Description automatically generated">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259394-91AD-534D-AAB2-4D0FF6A33CB2}"/>
                        </a:ext>
                      </a:extLst>
                    </pic:cNvPr>
                    <pic:cNvPicPr>
                      <a:picLocks noChangeAspect="1"/>
                    </pic:cNvPicPr>
                  </pic:nvPicPr>
                  <pic:blipFill>
                    <a:blip r:embed="rId28"/>
                    <a:stretch>
                      <a:fillRect/>
                    </a:stretch>
                  </pic:blipFill>
                  <pic:spPr>
                    <a:xfrm>
                      <a:off x="0" y="0"/>
                      <a:ext cx="223927" cy="216462"/>
                    </a:xfrm>
                    <a:prstGeom prst="rect">
                      <a:avLst/>
                    </a:prstGeom>
                  </pic:spPr>
                </pic:pic>
              </a:graphicData>
            </a:graphic>
          </wp:inline>
        </w:drawing>
      </w:r>
      <w:r w:rsidR="009C0AD1" w:rsidRPr="00043989">
        <w:rPr>
          <w:b w:val="0"/>
          <w:bCs w:val="0"/>
        </w:rPr>
        <w:t xml:space="preserve">, tools - </w:t>
      </w:r>
      <w:r w:rsidR="009C0AD1" w:rsidRPr="00043989">
        <w:rPr>
          <w:b w:val="0"/>
          <w:bCs w:val="0"/>
          <w:noProof/>
          <w:lang w:eastAsia="zh-CN"/>
        </w:rPr>
        <w:drawing>
          <wp:inline distT="0" distB="0" distL="0" distR="0" wp14:anchorId="74105F82" wp14:editId="332CFD3B">
            <wp:extent cx="192024" cy="182880"/>
            <wp:effectExtent l="0" t="0" r="0" b="0"/>
            <wp:docPr id="48" name="Picture 25" descr="A picture containing object, clock&#10;&#10;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299DEB0-89D3-A346-BC5D-B556C5BA2D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A picture containing object, clock&#10;&#10;Description automatically generated">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299DEB0-89D3-A346-BC5D-B556C5BA2D2E}"/>
                        </a:ext>
                      </a:extLst>
                    </pic:cNvPr>
                    <pic:cNvPicPr>
                      <a:picLocks noChangeAspect="1"/>
                    </pic:cNvPicPr>
                  </pic:nvPicPr>
                  <pic:blipFill>
                    <a:blip r:embed="rId29"/>
                    <a:stretch>
                      <a:fillRect/>
                    </a:stretch>
                  </pic:blipFill>
                  <pic:spPr>
                    <a:xfrm>
                      <a:off x="0" y="0"/>
                      <a:ext cx="192024" cy="182880"/>
                    </a:xfrm>
                    <a:prstGeom prst="rect">
                      <a:avLst/>
                    </a:prstGeom>
                  </pic:spPr>
                </pic:pic>
              </a:graphicData>
            </a:graphic>
          </wp:inline>
        </w:drawing>
      </w:r>
      <w:r w:rsidR="009C0AD1" w:rsidRPr="00043989">
        <w:rPr>
          <w:b w:val="0"/>
          <w:bCs w:val="0"/>
        </w:rPr>
        <w:t xml:space="preserve">, and workflows - </w:t>
      </w:r>
      <w:r w:rsidR="009C0AD1" w:rsidRPr="00043989">
        <w:rPr>
          <w:b w:val="0"/>
          <w:bCs w:val="0"/>
          <w:noProof/>
          <w:lang w:eastAsia="zh-CN"/>
        </w:rPr>
        <w:drawing>
          <wp:inline distT="0" distB="0" distL="0" distR="0" wp14:anchorId="5FFB95C6" wp14:editId="51ADC8DC">
            <wp:extent cx="192024" cy="182880"/>
            <wp:effectExtent l="0" t="0" r="0" b="0"/>
            <wp:docPr id="49" name="Picture 2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2505BFB-F094-0047-B2FE-7CD8FF8964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2505BFB-F094-0047-B2FE-7CD8FF8964FF}"/>
                        </a:ext>
                      </a:extLst>
                    </pic:cNvPr>
                    <pic:cNvPicPr>
                      <a:picLocks noChangeAspect="1"/>
                    </pic:cNvPicPr>
                  </pic:nvPicPr>
                  <pic:blipFill>
                    <a:blip r:embed="rId30"/>
                    <a:stretch>
                      <a:fillRect/>
                    </a:stretch>
                  </pic:blipFill>
                  <pic:spPr>
                    <a:xfrm>
                      <a:off x="0" y="0"/>
                      <a:ext cx="192024" cy="182880"/>
                    </a:xfrm>
                    <a:prstGeom prst="rect">
                      <a:avLst/>
                    </a:prstGeom>
                  </pic:spPr>
                </pic:pic>
              </a:graphicData>
            </a:graphic>
          </wp:inline>
        </w:drawing>
      </w:r>
      <w:r w:rsidR="009C0AD1" w:rsidRPr="00043989">
        <w:rPr>
          <w:b w:val="0"/>
          <w:bCs w:val="0"/>
        </w:rPr>
        <w:t xml:space="preserve">. Connections between nodes depict that input to a node is from the output of another node. Orange nodes - </w:t>
      </w:r>
      <w:r w:rsidR="009C0AD1" w:rsidRPr="00043989">
        <w:rPr>
          <w:b w:val="0"/>
          <w:bCs w:val="0"/>
          <w:noProof/>
          <w:lang w:eastAsia="zh-CN"/>
        </w:rPr>
        <mc:AlternateContent>
          <mc:Choice Requires="wps">
            <w:drawing>
              <wp:inline distT="0" distB="0" distL="0" distR="0" wp14:anchorId="12FF8A66" wp14:editId="706D22CC">
                <wp:extent cx="181765" cy="187926"/>
                <wp:effectExtent l="12700" t="12700" r="8890" b="15875"/>
                <wp:docPr id="45" name="Oval 34"/>
                <wp:cNvGraphicFramePr/>
                <a:graphic xmlns:a="http://schemas.openxmlformats.org/drawingml/2006/main">
                  <a:graphicData uri="http://schemas.microsoft.com/office/word/2010/wordprocessingShape">
                    <wps:wsp>
                      <wps:cNvSpPr/>
                      <wps:spPr>
                        <a:xfrm>
                          <a:off x="0" y="0"/>
                          <a:ext cx="181765" cy="187926"/>
                        </a:xfrm>
                        <a:prstGeom prst="ellipse">
                          <a:avLst/>
                        </a:prstGeom>
                        <a:solidFill>
                          <a:schemeClr val="accent2">
                            <a:lumMod val="60000"/>
                            <a:lumOff val="40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D172529" id="Oval 34" o:spid="_x0000_s1026" style="width:14.3pt;height:1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" fillcolor="#d99594 [1941]" strokecolor="#bfbfbf [2412]" strokeweight="2pt">
                <w10:anchorlock/>
              </v:oval>
            </w:pict>
          </mc:Fallback>
        </mc:AlternateContent>
      </w:r>
      <w:r w:rsidR="009C0AD1" w:rsidRPr="00043989">
        <w:rPr>
          <w:b w:val="0"/>
          <w:bCs w:val="0"/>
        </w:rPr>
        <w:t xml:space="preserve"> identify a tool or a workflow with an available update. </w:t>
      </w:r>
      <w:r w:rsidR="005007C6">
        <w:t>a</w:t>
      </w:r>
      <w:r w:rsidR="00632997" w:rsidRPr="00632997">
        <w:t>)</w:t>
      </w:r>
      <w:r w:rsidR="00632997" w:rsidRPr="00632997">
        <w:rPr>
          <w:b w:val="0"/>
          <w:bCs w:val="0"/>
        </w:rPr>
        <w:t xml:space="preserve"> </w:t>
      </w:r>
      <w:r w:rsidR="009C0AD1">
        <w:rPr>
          <w:b w:val="0"/>
          <w:bCs w:val="0"/>
        </w:rPr>
        <w:t xml:space="preserve">Workflow submitted by </w:t>
      </w:r>
      <w:r w:rsidR="00632997" w:rsidRPr="00632997">
        <w:rPr>
          <w:b w:val="0"/>
          <w:bCs w:val="0"/>
        </w:rPr>
        <w:t xml:space="preserve">PDTC 1, </w:t>
      </w:r>
      <w:r w:rsidR="005007C6">
        <w:t>b</w:t>
      </w:r>
      <w:r w:rsidR="00632997" w:rsidRPr="00632997">
        <w:t>)</w:t>
      </w:r>
      <w:r w:rsidR="00632997" w:rsidRPr="00632997">
        <w:rPr>
          <w:b w:val="0"/>
          <w:bCs w:val="0"/>
        </w:rPr>
        <w:t xml:space="preserve"> </w:t>
      </w:r>
      <w:r w:rsidR="009C0AD1">
        <w:rPr>
          <w:b w:val="0"/>
          <w:bCs w:val="0"/>
        </w:rPr>
        <w:t xml:space="preserve">Workflow submitted by </w:t>
      </w:r>
      <w:r w:rsidR="00632997" w:rsidRPr="00632997">
        <w:rPr>
          <w:b w:val="0"/>
          <w:bCs w:val="0"/>
        </w:rPr>
        <w:t xml:space="preserve">PDTC 2, </w:t>
      </w:r>
      <w:r w:rsidR="005007C6">
        <w:t>c</w:t>
      </w:r>
      <w:r w:rsidR="00632997" w:rsidRPr="00632997">
        <w:t xml:space="preserve">) </w:t>
      </w:r>
      <w:r w:rsidR="009C0AD1">
        <w:rPr>
          <w:b w:val="0"/>
          <w:bCs w:val="0"/>
        </w:rPr>
        <w:t xml:space="preserve">Workflow submitted by </w:t>
      </w:r>
      <w:r w:rsidR="00632997" w:rsidRPr="00632997">
        <w:rPr>
          <w:b w:val="0"/>
          <w:bCs w:val="0"/>
        </w:rPr>
        <w:t>PDTC 3</w:t>
      </w:r>
      <w:r w:rsidR="003A15B7">
        <w:rPr>
          <w:b w:val="0"/>
          <w:bCs w:val="0"/>
        </w:rPr>
        <w:t>.</w:t>
      </w:r>
      <w:r w:rsidR="00133674">
        <w:br w:type="page"/>
      </w:r>
    </w:p>
    <w:p w14:paraId="56EC2174" w14:textId="043BAA5D" w:rsidR="007B2DE2" w:rsidRPr="00F93CCF" w:rsidRDefault="00EF1610" w:rsidP="00540250">
      <w:pPr>
        <w:pStyle w:val="figure"/>
        <w:jc w:val="left"/>
      </w:pPr>
      <w:r>
        <w:rPr>
          <w:lang w:eastAsia="zh-CN"/>
        </w:rPr>
        <w:lastRenderedPageBreak/>
        <w:drawing>
          <wp:inline distT="0" distB="0" distL="0" distR="0" wp14:anchorId="35825706" wp14:editId="3274E436">
            <wp:extent cx="5715000" cy="63055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1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15000" cy="6305550"/>
                    </a:xfrm>
                    <a:prstGeom prst="rect">
                      <a:avLst/>
                    </a:prstGeom>
                  </pic:spPr>
                </pic:pic>
              </a:graphicData>
            </a:graphic>
          </wp:inline>
        </w:drawing>
      </w:r>
    </w:p>
    <w:p w14:paraId="05EA4A36" w14:textId="26D4D97B" w:rsidR="007B2DE2" w:rsidRPr="00F93CCF" w:rsidRDefault="00146C7D" w:rsidP="00540250">
      <w:pPr>
        <w:pStyle w:val="FigureLegend"/>
        <w:jc w:val="left"/>
        <w:rPr>
          <w:b w:val="0"/>
        </w:rPr>
      </w:pPr>
      <w:r>
        <w:t xml:space="preserve">Supplementary </w:t>
      </w:r>
      <w:r w:rsidR="00133674" w:rsidRPr="00F93CCF">
        <w:t xml:space="preserve">Figure </w:t>
      </w:r>
      <w:r>
        <w:t>13</w:t>
      </w:r>
      <w:r w:rsidR="00133674" w:rsidRPr="00F93CCF">
        <w:t xml:space="preserve">: </w:t>
      </w:r>
      <w:r w:rsidR="00133674" w:rsidRPr="00F93CCF">
        <w:rPr>
          <w:b w:val="0"/>
        </w:rPr>
        <w:t xml:space="preserve">Wiring </w:t>
      </w:r>
      <w:r w:rsidR="00632997" w:rsidRPr="00632997">
        <w:rPr>
          <w:b w:val="0"/>
          <w:bCs w:val="0"/>
        </w:rPr>
        <w:t>diagrams</w:t>
      </w:r>
      <w:r w:rsidR="00133674" w:rsidRPr="00F93CCF">
        <w:rPr>
          <w:b w:val="0"/>
        </w:rPr>
        <w:t xml:space="preserve"> for submitted </w:t>
      </w:r>
      <w:r w:rsidR="00632997" w:rsidRPr="00632997">
        <w:rPr>
          <w:b w:val="0"/>
          <w:bCs w:val="0"/>
        </w:rPr>
        <w:t>whole exome workflows</w:t>
      </w:r>
      <w:r w:rsidR="00133674" w:rsidRPr="00F93CCF">
        <w:rPr>
          <w:b w:val="0"/>
        </w:rPr>
        <w:t xml:space="preserve"> </w:t>
      </w:r>
      <w:r w:rsidR="009C0AD1">
        <w:rPr>
          <w:b w:val="0"/>
        </w:rPr>
        <w:t xml:space="preserve">submitted by the </w:t>
      </w:r>
      <w:r w:rsidR="00466FE6">
        <w:rPr>
          <w:b w:val="0"/>
        </w:rPr>
        <w:t>PDTCs</w:t>
      </w:r>
      <w:r w:rsidR="009C0AD1">
        <w:rPr>
          <w:b w:val="0"/>
        </w:rPr>
        <w:t xml:space="preserve">. </w:t>
      </w:r>
      <w:r w:rsidR="009C0AD1" w:rsidRPr="00043989">
        <w:rPr>
          <w:b w:val="0"/>
          <w:bCs w:val="0"/>
        </w:rPr>
        <w:t xml:space="preserve">Wiring diagrams include nodes and connections. Nodes depict inputs - </w:t>
      </w:r>
      <w:r w:rsidR="009C0AD1" w:rsidRPr="00043989">
        <w:rPr>
          <w:b w:val="0"/>
          <w:bCs w:val="0"/>
          <w:noProof/>
          <w:lang w:eastAsia="zh-CN"/>
        </w:rPr>
        <w:drawing>
          <wp:inline distT="0" distB="0" distL="0" distR="0" wp14:anchorId="7646B811" wp14:editId="12105A57">
            <wp:extent cx="185139" cy="178966"/>
            <wp:effectExtent l="0" t="0" r="5715" b="0"/>
            <wp:docPr id="41" name="Picture 31" descr="A picture containing object, clock&#10;&#10;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B4CB3DB-5655-1F46-BF93-CCBC95B9A6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descr="A picture containing object, clock&#10;&#10;Description automatically generated">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B4CB3DB-5655-1F46-BF93-CCBC95B9A658}"/>
                        </a:ext>
                      </a:extLst>
                    </pic:cNvPr>
                    <pic:cNvPicPr>
                      <a:picLocks noChangeAspect="1"/>
                    </pic:cNvPicPr>
                  </pic:nvPicPr>
                  <pic:blipFill>
                    <a:blip r:embed="rId27"/>
                    <a:stretch>
                      <a:fillRect/>
                    </a:stretch>
                  </pic:blipFill>
                  <pic:spPr>
                    <a:xfrm>
                      <a:off x="0" y="0"/>
                      <a:ext cx="211567" cy="204513"/>
                    </a:xfrm>
                    <a:prstGeom prst="rect">
                      <a:avLst/>
                    </a:prstGeom>
                  </pic:spPr>
                </pic:pic>
              </a:graphicData>
            </a:graphic>
          </wp:inline>
        </w:drawing>
      </w:r>
      <w:r w:rsidR="009C0AD1" w:rsidRPr="00043989">
        <w:rPr>
          <w:b w:val="0"/>
          <w:bCs w:val="0"/>
        </w:rPr>
        <w:t xml:space="preserve">, outputs - </w:t>
      </w:r>
      <w:r w:rsidR="009C0AD1" w:rsidRPr="00043989">
        <w:rPr>
          <w:b w:val="0"/>
          <w:bCs w:val="0"/>
          <w:noProof/>
          <w:lang w:eastAsia="zh-CN"/>
        </w:rPr>
        <w:drawing>
          <wp:inline distT="0" distB="0" distL="0" distR="0" wp14:anchorId="18668051" wp14:editId="2F556C8F">
            <wp:extent cx="186127" cy="179922"/>
            <wp:effectExtent l="0" t="0" r="4445" b="0"/>
            <wp:docPr id="42" name="Picture 32" descr="A picture containing object, clock&#10;&#10;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259394-91AD-534D-AAB2-4D0FF6A33C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descr="A picture containing object, clock&#10;&#10;Description automatically generated">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259394-91AD-534D-AAB2-4D0FF6A33CB2}"/>
                        </a:ext>
                      </a:extLst>
                    </pic:cNvPr>
                    <pic:cNvPicPr>
                      <a:picLocks noChangeAspect="1"/>
                    </pic:cNvPicPr>
                  </pic:nvPicPr>
                  <pic:blipFill>
                    <a:blip r:embed="rId28"/>
                    <a:stretch>
                      <a:fillRect/>
                    </a:stretch>
                  </pic:blipFill>
                  <pic:spPr>
                    <a:xfrm>
                      <a:off x="0" y="0"/>
                      <a:ext cx="223927" cy="216462"/>
                    </a:xfrm>
                    <a:prstGeom prst="rect">
                      <a:avLst/>
                    </a:prstGeom>
                  </pic:spPr>
                </pic:pic>
              </a:graphicData>
            </a:graphic>
          </wp:inline>
        </w:drawing>
      </w:r>
      <w:r w:rsidR="009C0AD1" w:rsidRPr="00043989">
        <w:rPr>
          <w:b w:val="0"/>
          <w:bCs w:val="0"/>
        </w:rPr>
        <w:t xml:space="preserve">, tools - </w:t>
      </w:r>
      <w:r w:rsidR="009C0AD1" w:rsidRPr="00043989">
        <w:rPr>
          <w:b w:val="0"/>
          <w:bCs w:val="0"/>
          <w:noProof/>
          <w:lang w:eastAsia="zh-CN"/>
        </w:rPr>
        <w:drawing>
          <wp:inline distT="0" distB="0" distL="0" distR="0" wp14:anchorId="7B326836" wp14:editId="57D4DDA5">
            <wp:extent cx="192024" cy="182880"/>
            <wp:effectExtent l="0" t="0" r="0" b="0"/>
            <wp:docPr id="43" name="Picture 25" descr="A picture containing object, clock&#10;&#10;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299DEB0-89D3-A346-BC5D-B556C5BA2D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A picture containing object, clock&#10;&#10;Description automatically generated">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299DEB0-89D3-A346-BC5D-B556C5BA2D2E}"/>
                        </a:ext>
                      </a:extLst>
                    </pic:cNvPr>
                    <pic:cNvPicPr>
                      <a:picLocks noChangeAspect="1"/>
                    </pic:cNvPicPr>
                  </pic:nvPicPr>
                  <pic:blipFill>
                    <a:blip r:embed="rId29"/>
                    <a:stretch>
                      <a:fillRect/>
                    </a:stretch>
                  </pic:blipFill>
                  <pic:spPr>
                    <a:xfrm>
                      <a:off x="0" y="0"/>
                      <a:ext cx="192024" cy="182880"/>
                    </a:xfrm>
                    <a:prstGeom prst="rect">
                      <a:avLst/>
                    </a:prstGeom>
                  </pic:spPr>
                </pic:pic>
              </a:graphicData>
            </a:graphic>
          </wp:inline>
        </w:drawing>
      </w:r>
      <w:r w:rsidR="009C0AD1" w:rsidRPr="00043989">
        <w:rPr>
          <w:b w:val="0"/>
          <w:bCs w:val="0"/>
        </w:rPr>
        <w:t xml:space="preserve">, and workflows - </w:t>
      </w:r>
      <w:r w:rsidR="009C0AD1" w:rsidRPr="00043989">
        <w:rPr>
          <w:b w:val="0"/>
          <w:bCs w:val="0"/>
          <w:noProof/>
          <w:lang w:eastAsia="zh-CN"/>
        </w:rPr>
        <w:drawing>
          <wp:inline distT="0" distB="0" distL="0" distR="0" wp14:anchorId="1C47F0DD" wp14:editId="0EF013AC">
            <wp:extent cx="192024" cy="182880"/>
            <wp:effectExtent l="0" t="0" r="0" b="0"/>
            <wp:docPr id="44" name="Picture 2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2505BFB-F094-0047-B2FE-7CD8FF8964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2505BFB-F094-0047-B2FE-7CD8FF8964FF}"/>
                        </a:ext>
                      </a:extLst>
                    </pic:cNvPr>
                    <pic:cNvPicPr>
                      <a:picLocks noChangeAspect="1"/>
                    </pic:cNvPicPr>
                  </pic:nvPicPr>
                  <pic:blipFill>
                    <a:blip r:embed="rId30"/>
                    <a:stretch>
                      <a:fillRect/>
                    </a:stretch>
                  </pic:blipFill>
                  <pic:spPr>
                    <a:xfrm>
                      <a:off x="0" y="0"/>
                      <a:ext cx="192024" cy="182880"/>
                    </a:xfrm>
                    <a:prstGeom prst="rect">
                      <a:avLst/>
                    </a:prstGeom>
                  </pic:spPr>
                </pic:pic>
              </a:graphicData>
            </a:graphic>
          </wp:inline>
        </w:drawing>
      </w:r>
      <w:r w:rsidR="009C0AD1" w:rsidRPr="00043989">
        <w:rPr>
          <w:b w:val="0"/>
          <w:bCs w:val="0"/>
        </w:rPr>
        <w:t xml:space="preserve">. Connections between nodes depict that input to a node is from the output of another node. Orange nodes - </w:t>
      </w:r>
      <w:r w:rsidR="009C0AD1" w:rsidRPr="00043989">
        <w:rPr>
          <w:b w:val="0"/>
          <w:bCs w:val="0"/>
          <w:noProof/>
          <w:lang w:eastAsia="zh-CN"/>
        </w:rPr>
        <mc:AlternateContent>
          <mc:Choice Requires="wps">
            <w:drawing>
              <wp:inline distT="0" distB="0" distL="0" distR="0" wp14:anchorId="2B2F689B" wp14:editId="66374981">
                <wp:extent cx="120864" cy="117832"/>
                <wp:effectExtent l="12700" t="12700" r="19050" b="9525"/>
                <wp:docPr id="40" name="Oval 34"/>
                <wp:cNvGraphicFramePr/>
                <a:graphic xmlns:a="http://schemas.openxmlformats.org/drawingml/2006/main">
                  <a:graphicData uri="http://schemas.microsoft.com/office/word/2010/wordprocessingShape">
                    <wps:wsp>
                      <wps:cNvSpPr/>
                      <wps:spPr>
                        <a:xfrm>
                          <a:off x="0" y="0"/>
                          <a:ext cx="120864" cy="117832"/>
                        </a:xfrm>
                        <a:prstGeom prst="ellipse">
                          <a:avLst/>
                        </a:prstGeom>
                        <a:solidFill>
                          <a:schemeClr val="accent2">
                            <a:lumMod val="60000"/>
                            <a:lumOff val="40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914C700" id="Oval 34" o:spid="_x0000_s1026" style="width:9.5pt;height:9.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" fillcolor="#d99594 [1941]" strokecolor="#bfbfbf [2412]" strokeweight="2pt">
                <w10:anchorlock/>
              </v:oval>
            </w:pict>
          </mc:Fallback>
        </mc:AlternateContent>
      </w:r>
      <w:r w:rsidR="009C0AD1" w:rsidRPr="00043989">
        <w:rPr>
          <w:b w:val="0"/>
          <w:bCs w:val="0"/>
        </w:rPr>
        <w:t xml:space="preserve"> identify a tool or a workflow with an available update. </w:t>
      </w:r>
      <w:r w:rsidR="005007C6">
        <w:t>a</w:t>
      </w:r>
      <w:r w:rsidR="00632997" w:rsidRPr="00632997">
        <w:t>)</w:t>
      </w:r>
      <w:r w:rsidR="00632997" w:rsidRPr="00632997">
        <w:rPr>
          <w:b w:val="0"/>
          <w:bCs w:val="0"/>
        </w:rPr>
        <w:t xml:space="preserve"> </w:t>
      </w:r>
      <w:r w:rsidR="009C0AD1">
        <w:rPr>
          <w:b w:val="0"/>
          <w:bCs w:val="0"/>
        </w:rPr>
        <w:t xml:space="preserve">Workflow submitted by </w:t>
      </w:r>
      <w:r w:rsidR="00632997" w:rsidRPr="00632997">
        <w:rPr>
          <w:b w:val="0"/>
          <w:bCs w:val="0"/>
        </w:rPr>
        <w:t xml:space="preserve">PDTC </w:t>
      </w:r>
      <w:r w:rsidR="00632997">
        <w:rPr>
          <w:b w:val="0"/>
          <w:bCs w:val="0"/>
        </w:rPr>
        <w:t>4</w:t>
      </w:r>
      <w:r w:rsidR="00632997" w:rsidRPr="00632997">
        <w:rPr>
          <w:b w:val="0"/>
          <w:bCs w:val="0"/>
        </w:rPr>
        <w:t xml:space="preserve">, </w:t>
      </w:r>
      <w:r w:rsidR="005007C6">
        <w:t>b</w:t>
      </w:r>
      <w:r w:rsidR="00632997" w:rsidRPr="00632997">
        <w:t>)</w:t>
      </w:r>
      <w:r w:rsidR="00133674" w:rsidRPr="00F93CCF">
        <w:rPr>
          <w:b w:val="0"/>
        </w:rPr>
        <w:t xml:space="preserve"> </w:t>
      </w:r>
      <w:r w:rsidR="009C0AD1">
        <w:rPr>
          <w:b w:val="0"/>
        </w:rPr>
        <w:t xml:space="preserve">Workflow submitted by </w:t>
      </w:r>
      <w:r w:rsidR="00133674" w:rsidRPr="00F93CCF">
        <w:rPr>
          <w:b w:val="0"/>
        </w:rPr>
        <w:t>PDTC 5</w:t>
      </w:r>
    </w:p>
    <w:p w14:paraId="4BFE6C21" w14:textId="274C9786" w:rsidR="007B2DE2" w:rsidRPr="00F93CCF" w:rsidRDefault="00133674" w:rsidP="00540250">
      <w:r>
        <w:br w:type="page"/>
      </w:r>
    </w:p>
    <w:p w14:paraId="2974A652" w14:textId="39DA4C91" w:rsidR="00795128" w:rsidRPr="00350683" w:rsidRDefault="00795128" w:rsidP="00795128">
      <w:pPr>
        <w:pStyle w:val="Heading1"/>
      </w:pPr>
      <w:bookmarkStart w:id="74" w:name="_Toc27885962"/>
      <w:r w:rsidRPr="00350683">
        <w:lastRenderedPageBreak/>
        <w:t xml:space="preserve">Supplementary Materials </w:t>
      </w:r>
      <w:r>
        <w:t>6</w:t>
      </w:r>
      <w:r w:rsidRPr="00350683">
        <w:t xml:space="preserve">: </w:t>
      </w:r>
      <w:r>
        <w:t>Workflows selected to process PDX whole exome and RNA-seq data</w:t>
      </w:r>
      <w:bookmarkEnd w:id="74"/>
    </w:p>
    <w:p w14:paraId="6EC3ED5D" w14:textId="3CA2331D" w:rsidR="006C56CC" w:rsidRDefault="00EF1610" w:rsidP="00540250">
      <w:pPr>
        <w:pStyle w:val="figure"/>
        <w:jc w:val="left"/>
      </w:pPr>
      <w:r>
        <w:rPr>
          <w:lang w:eastAsia="zh-CN"/>
        </w:rPr>
        <w:drawing>
          <wp:inline distT="0" distB="0" distL="0" distR="0" wp14:anchorId="72F43EB0" wp14:editId="5B54D979">
            <wp:extent cx="5715000" cy="73240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14.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15000" cy="7324090"/>
                    </a:xfrm>
                    <a:prstGeom prst="rect">
                      <a:avLst/>
                    </a:prstGeom>
                  </pic:spPr>
                </pic:pic>
              </a:graphicData>
            </a:graphic>
          </wp:inline>
        </w:drawing>
      </w:r>
    </w:p>
    <w:p w14:paraId="2CFFA91E" w14:textId="4A132F81" w:rsidR="0024426E" w:rsidRPr="00043989" w:rsidRDefault="00BA6137" w:rsidP="00540250">
      <w:pPr>
        <w:pStyle w:val="FigureLegend"/>
        <w:jc w:val="left"/>
      </w:pPr>
      <w:r w:rsidRPr="00043989">
        <w:lastRenderedPageBreak/>
        <w:t>Supplementary Figure 14:</w:t>
      </w:r>
      <w:r w:rsidR="009F63F1" w:rsidRPr="00043989">
        <w:t xml:space="preserve"> Workflow selected to process PDX Data. </w:t>
      </w:r>
      <w:r w:rsidR="009F63F1" w:rsidRPr="00043989">
        <w:rPr>
          <w:b w:val="0"/>
          <w:bCs w:val="0"/>
        </w:rPr>
        <w:t xml:space="preserve">The panel figure depicts whole exome and RNA-Seq workflows </w:t>
      </w:r>
      <w:r w:rsidR="00FB59E2" w:rsidRPr="00043989">
        <w:rPr>
          <w:b w:val="0"/>
          <w:bCs w:val="0"/>
        </w:rPr>
        <w:t xml:space="preserve">wiring diagram </w:t>
      </w:r>
      <w:r w:rsidR="009F63F1" w:rsidRPr="00043989">
        <w:rPr>
          <w:b w:val="0"/>
          <w:bCs w:val="0"/>
        </w:rPr>
        <w:t xml:space="preserve">selected by the </w:t>
      </w:r>
      <w:r w:rsidR="00295A2B" w:rsidRPr="00043989">
        <w:rPr>
          <w:b w:val="0"/>
          <w:bCs w:val="0"/>
        </w:rPr>
        <w:t>PDCCC</w:t>
      </w:r>
      <w:r w:rsidR="009F63F1" w:rsidRPr="00043989">
        <w:rPr>
          <w:b w:val="0"/>
          <w:bCs w:val="0"/>
        </w:rPr>
        <w:t xml:space="preserve"> to process PDX data generated for this study. </w:t>
      </w:r>
      <w:r w:rsidR="00FB59E2" w:rsidRPr="00043989">
        <w:rPr>
          <w:b w:val="0"/>
          <w:bCs w:val="0"/>
        </w:rPr>
        <w:t>Wiring diagram</w:t>
      </w:r>
      <w:r w:rsidR="00365611" w:rsidRPr="00043989">
        <w:rPr>
          <w:b w:val="0"/>
          <w:bCs w:val="0"/>
        </w:rPr>
        <w:t>s</w:t>
      </w:r>
      <w:r w:rsidR="00295A2B" w:rsidRPr="00043989">
        <w:rPr>
          <w:b w:val="0"/>
          <w:bCs w:val="0"/>
        </w:rPr>
        <w:t xml:space="preserve"> include nodes and connections. Nodes </w:t>
      </w:r>
      <w:r w:rsidR="00FB59E2" w:rsidRPr="00043989">
        <w:rPr>
          <w:b w:val="0"/>
          <w:bCs w:val="0"/>
        </w:rPr>
        <w:t>depict inputs</w:t>
      </w:r>
      <w:r w:rsidR="00365611" w:rsidRPr="00043989">
        <w:rPr>
          <w:b w:val="0"/>
          <w:bCs w:val="0"/>
        </w:rPr>
        <w:t xml:space="preserve"> - </w:t>
      </w:r>
      <w:r w:rsidR="00365611" w:rsidRPr="00043989">
        <w:rPr>
          <w:b w:val="0"/>
          <w:bCs w:val="0"/>
          <w:noProof/>
          <w:lang w:eastAsia="zh-CN"/>
        </w:rPr>
        <w:drawing>
          <wp:inline distT="0" distB="0" distL="0" distR="0" wp14:anchorId="0E8C07FE" wp14:editId="6921B141">
            <wp:extent cx="185139" cy="178966"/>
            <wp:effectExtent l="0" t="0" r="5715" b="0"/>
            <wp:docPr id="32" name="Picture 31" descr="A picture containing object, clock&#10;&#10;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B4CB3DB-5655-1F46-BF93-CCBC95B9A6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descr="A picture containing object, clock&#10;&#10;Description automatically generated">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B4CB3DB-5655-1F46-BF93-CCBC95B9A658}"/>
                        </a:ext>
                      </a:extLst>
                    </pic:cNvPr>
                    <pic:cNvPicPr>
                      <a:picLocks noChangeAspect="1"/>
                    </pic:cNvPicPr>
                  </pic:nvPicPr>
                  <pic:blipFill>
                    <a:blip r:embed="rId27"/>
                    <a:stretch>
                      <a:fillRect/>
                    </a:stretch>
                  </pic:blipFill>
                  <pic:spPr>
                    <a:xfrm>
                      <a:off x="0" y="0"/>
                      <a:ext cx="211567" cy="204513"/>
                    </a:xfrm>
                    <a:prstGeom prst="rect">
                      <a:avLst/>
                    </a:prstGeom>
                  </pic:spPr>
                </pic:pic>
              </a:graphicData>
            </a:graphic>
          </wp:inline>
        </w:drawing>
      </w:r>
      <w:r w:rsidR="00FB59E2" w:rsidRPr="00043989">
        <w:rPr>
          <w:b w:val="0"/>
          <w:bCs w:val="0"/>
        </w:rPr>
        <w:t>, outputs</w:t>
      </w:r>
      <w:r w:rsidR="00365611" w:rsidRPr="00043989">
        <w:rPr>
          <w:b w:val="0"/>
          <w:bCs w:val="0"/>
        </w:rPr>
        <w:t xml:space="preserve"> - </w:t>
      </w:r>
      <w:r w:rsidR="00365611" w:rsidRPr="00043989">
        <w:rPr>
          <w:b w:val="0"/>
          <w:bCs w:val="0"/>
          <w:noProof/>
          <w:lang w:eastAsia="zh-CN"/>
        </w:rPr>
        <w:drawing>
          <wp:inline distT="0" distB="0" distL="0" distR="0" wp14:anchorId="7AB3554C" wp14:editId="2CECF7D4">
            <wp:extent cx="186127" cy="179922"/>
            <wp:effectExtent l="0" t="0" r="4445" b="0"/>
            <wp:docPr id="33" name="Picture 32" descr="A picture containing object, clock&#10;&#10;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259394-91AD-534D-AAB2-4D0FF6A33C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descr="A picture containing object, clock&#10;&#10;Description automatically generated">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259394-91AD-534D-AAB2-4D0FF6A33CB2}"/>
                        </a:ext>
                      </a:extLst>
                    </pic:cNvPr>
                    <pic:cNvPicPr>
                      <a:picLocks noChangeAspect="1"/>
                    </pic:cNvPicPr>
                  </pic:nvPicPr>
                  <pic:blipFill>
                    <a:blip r:embed="rId28"/>
                    <a:stretch>
                      <a:fillRect/>
                    </a:stretch>
                  </pic:blipFill>
                  <pic:spPr>
                    <a:xfrm>
                      <a:off x="0" y="0"/>
                      <a:ext cx="223927" cy="216462"/>
                    </a:xfrm>
                    <a:prstGeom prst="rect">
                      <a:avLst/>
                    </a:prstGeom>
                  </pic:spPr>
                </pic:pic>
              </a:graphicData>
            </a:graphic>
          </wp:inline>
        </w:drawing>
      </w:r>
      <w:r w:rsidR="00FB59E2" w:rsidRPr="00043989">
        <w:rPr>
          <w:b w:val="0"/>
          <w:bCs w:val="0"/>
        </w:rPr>
        <w:t>, tools</w:t>
      </w:r>
      <w:r w:rsidR="00365611" w:rsidRPr="00043989">
        <w:rPr>
          <w:b w:val="0"/>
          <w:bCs w:val="0"/>
        </w:rPr>
        <w:t xml:space="preserve"> - </w:t>
      </w:r>
      <w:r w:rsidR="00365611" w:rsidRPr="00043989">
        <w:rPr>
          <w:b w:val="0"/>
          <w:bCs w:val="0"/>
          <w:noProof/>
          <w:lang w:eastAsia="zh-CN"/>
        </w:rPr>
        <w:drawing>
          <wp:inline distT="0" distB="0" distL="0" distR="0" wp14:anchorId="6AFBD59C" wp14:editId="1A633A63">
            <wp:extent cx="192024" cy="182880"/>
            <wp:effectExtent l="0" t="0" r="0" b="0"/>
            <wp:docPr id="30" name="Picture 25" descr="A picture containing object, clock&#10;&#10;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299DEB0-89D3-A346-BC5D-B556C5BA2D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A picture containing object, clock&#10;&#10;Description automatically generated">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299DEB0-89D3-A346-BC5D-B556C5BA2D2E}"/>
                        </a:ext>
                      </a:extLst>
                    </pic:cNvPr>
                    <pic:cNvPicPr>
                      <a:picLocks noChangeAspect="1"/>
                    </pic:cNvPicPr>
                  </pic:nvPicPr>
                  <pic:blipFill>
                    <a:blip r:embed="rId29"/>
                    <a:stretch>
                      <a:fillRect/>
                    </a:stretch>
                  </pic:blipFill>
                  <pic:spPr>
                    <a:xfrm>
                      <a:off x="0" y="0"/>
                      <a:ext cx="192024" cy="182880"/>
                    </a:xfrm>
                    <a:prstGeom prst="rect">
                      <a:avLst/>
                    </a:prstGeom>
                  </pic:spPr>
                </pic:pic>
              </a:graphicData>
            </a:graphic>
          </wp:inline>
        </w:drawing>
      </w:r>
      <w:r w:rsidR="00FB59E2" w:rsidRPr="00043989">
        <w:rPr>
          <w:b w:val="0"/>
          <w:bCs w:val="0"/>
        </w:rPr>
        <w:t>, and workflow</w:t>
      </w:r>
      <w:r w:rsidR="00295A2B" w:rsidRPr="00043989">
        <w:rPr>
          <w:b w:val="0"/>
          <w:bCs w:val="0"/>
        </w:rPr>
        <w:t>s</w:t>
      </w:r>
      <w:r w:rsidR="00365611" w:rsidRPr="00043989">
        <w:rPr>
          <w:b w:val="0"/>
          <w:bCs w:val="0"/>
        </w:rPr>
        <w:t xml:space="preserve"> - </w:t>
      </w:r>
      <w:r w:rsidR="00365611" w:rsidRPr="00043989">
        <w:rPr>
          <w:b w:val="0"/>
          <w:bCs w:val="0"/>
          <w:noProof/>
          <w:lang w:eastAsia="zh-CN"/>
        </w:rPr>
        <w:drawing>
          <wp:inline distT="0" distB="0" distL="0" distR="0" wp14:anchorId="1BE0E0E7" wp14:editId="136A2C77">
            <wp:extent cx="192024" cy="182880"/>
            <wp:effectExtent l="0" t="0" r="0" b="0"/>
            <wp:docPr id="31" name="Picture 2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2505BFB-F094-0047-B2FE-7CD8FF8964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2505BFB-F094-0047-B2FE-7CD8FF8964FF}"/>
                        </a:ext>
                      </a:extLst>
                    </pic:cNvPr>
                    <pic:cNvPicPr>
                      <a:picLocks noChangeAspect="1"/>
                    </pic:cNvPicPr>
                  </pic:nvPicPr>
                  <pic:blipFill>
                    <a:blip r:embed="rId30"/>
                    <a:stretch>
                      <a:fillRect/>
                    </a:stretch>
                  </pic:blipFill>
                  <pic:spPr>
                    <a:xfrm>
                      <a:off x="0" y="0"/>
                      <a:ext cx="192024" cy="182880"/>
                    </a:xfrm>
                    <a:prstGeom prst="rect">
                      <a:avLst/>
                    </a:prstGeom>
                  </pic:spPr>
                </pic:pic>
              </a:graphicData>
            </a:graphic>
          </wp:inline>
        </w:drawing>
      </w:r>
      <w:r w:rsidR="00295A2B" w:rsidRPr="00043989">
        <w:rPr>
          <w:b w:val="0"/>
          <w:bCs w:val="0"/>
        </w:rPr>
        <w:t xml:space="preserve">. Connections between nodes depict that input to a node is from the output of another node. </w:t>
      </w:r>
      <w:r w:rsidR="00365611" w:rsidRPr="00043989">
        <w:rPr>
          <w:b w:val="0"/>
          <w:bCs w:val="0"/>
        </w:rPr>
        <w:t xml:space="preserve">Orange nodes - </w:t>
      </w:r>
      <w:r w:rsidR="00043989" w:rsidRPr="00043989">
        <w:rPr>
          <w:b w:val="0"/>
          <w:bCs w:val="0"/>
          <w:noProof/>
          <w:lang w:eastAsia="zh-CN"/>
        </w:rPr>
        <mc:AlternateContent>
          <mc:Choice Requires="wps">
            <w:drawing>
              <wp:inline distT="0" distB="0" distL="0" distR="0" wp14:anchorId="506A93E8" wp14:editId="422A9265">
                <wp:extent cx="110590" cy="117832"/>
                <wp:effectExtent l="12700" t="12700" r="16510" b="9525"/>
                <wp:docPr id="35" name="Oval 3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922D68B-760B-9847-8411-CD68A35D8BE5}"/>
                    </a:ext>
                  </a:extLst>
                </wp:docPr>
                <wp:cNvGraphicFramePr/>
                <a:graphic xmlns:a="http://schemas.openxmlformats.org/drawingml/2006/main">
                  <a:graphicData uri="http://schemas.microsoft.com/office/word/2010/wordprocessingShape">
                    <wps:wsp>
                      <wps:cNvSpPr/>
                      <wps:spPr>
                        <a:xfrm>
                          <a:off x="0" y="0"/>
                          <a:ext cx="110590" cy="117832"/>
                        </a:xfrm>
                        <a:prstGeom prst="ellipse">
                          <a:avLst/>
                        </a:prstGeom>
                        <a:solidFill>
                          <a:schemeClr val="accent2">
                            <a:lumMod val="60000"/>
                            <a:lumOff val="40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6609D8E" id="Oval 34" o:spid="_x0000_s1026" style="width:8.7pt;height:9.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" fillcolor="#d99594 [1941]" strokecolor="#bfbfbf [2412]" strokeweight="2pt">
                <w10:anchorlock/>
              </v:oval>
            </w:pict>
          </mc:Fallback>
        </mc:AlternateContent>
      </w:r>
      <w:r w:rsidR="00043989" w:rsidRPr="00043989">
        <w:rPr>
          <w:b w:val="0"/>
          <w:bCs w:val="0"/>
        </w:rPr>
        <w:t xml:space="preserve"> </w:t>
      </w:r>
      <w:r w:rsidR="00365611" w:rsidRPr="00043989">
        <w:rPr>
          <w:b w:val="0"/>
          <w:bCs w:val="0"/>
        </w:rPr>
        <w:t xml:space="preserve">identify a tool or a workflow with an available update. </w:t>
      </w:r>
      <w:r w:rsidR="005007C6">
        <w:t>a</w:t>
      </w:r>
      <w:r w:rsidR="0082679C" w:rsidRPr="0082679C">
        <w:t>)</w:t>
      </w:r>
      <w:r w:rsidR="00FB59E2" w:rsidRPr="00043989">
        <w:rPr>
          <w:b w:val="0"/>
          <w:bCs w:val="0"/>
        </w:rPr>
        <w:t xml:space="preserve"> PDX whole exome tumor only workflow. </w:t>
      </w:r>
      <w:r w:rsidR="00295A2B" w:rsidRPr="00043989">
        <w:rPr>
          <w:b w:val="0"/>
          <w:bCs w:val="0"/>
        </w:rPr>
        <w:t xml:space="preserve">The PDCCC selected the whole exome workflow after evaluating 5 workflows submitted by the </w:t>
      </w:r>
      <w:r w:rsidR="00466FE6">
        <w:rPr>
          <w:b w:val="0"/>
          <w:bCs w:val="0"/>
        </w:rPr>
        <w:t>PDTCs</w:t>
      </w:r>
      <w:r w:rsidR="00295A2B" w:rsidRPr="00043989">
        <w:rPr>
          <w:b w:val="0"/>
          <w:bCs w:val="0"/>
        </w:rPr>
        <w:t xml:space="preserve">. </w:t>
      </w:r>
      <w:r w:rsidR="005007C6">
        <w:t>b</w:t>
      </w:r>
      <w:r w:rsidR="0082679C" w:rsidRPr="0082679C">
        <w:t>)</w:t>
      </w:r>
      <w:r w:rsidR="00FB59E2" w:rsidRPr="00043989">
        <w:rPr>
          <w:b w:val="0"/>
          <w:bCs w:val="0"/>
        </w:rPr>
        <w:t xml:space="preserve"> PDX whole exome tumor-normal workflow. </w:t>
      </w:r>
      <w:r w:rsidR="00295A2B" w:rsidRPr="00043989">
        <w:rPr>
          <w:b w:val="0"/>
          <w:bCs w:val="0"/>
        </w:rPr>
        <w:t xml:space="preserve">The PDCCC generated by the whole exome tumor-normal workflow by adapting the selected workflow described in a). </w:t>
      </w:r>
      <w:r w:rsidR="005007C6">
        <w:t>c</w:t>
      </w:r>
      <w:r w:rsidR="0082679C" w:rsidRPr="0082679C">
        <w:t>)</w:t>
      </w:r>
      <w:r w:rsidR="00FB59E2" w:rsidRPr="00043989">
        <w:rPr>
          <w:b w:val="0"/>
          <w:bCs w:val="0"/>
        </w:rPr>
        <w:t xml:space="preserve"> PDX RNA Expression Estimation Workflow – Single Execution (SE).</w:t>
      </w:r>
      <w:r w:rsidR="00295A2B" w:rsidRPr="00043989">
        <w:rPr>
          <w:b w:val="0"/>
          <w:bCs w:val="0"/>
        </w:rPr>
        <w:t xml:space="preserve"> The PDCCC selected the RNA-seq workflow from established best practices.</w:t>
      </w:r>
      <w:r w:rsidR="00FB59E2" w:rsidRPr="00043989">
        <w:rPr>
          <w:b w:val="0"/>
          <w:bCs w:val="0"/>
        </w:rPr>
        <w:t xml:space="preserve"> </w:t>
      </w:r>
      <w:r w:rsidR="005007C6">
        <w:t>d</w:t>
      </w:r>
      <w:r w:rsidR="0082679C" w:rsidRPr="0082679C">
        <w:t>)</w:t>
      </w:r>
      <w:r w:rsidR="0082679C">
        <w:rPr>
          <w:b w:val="0"/>
          <w:bCs w:val="0"/>
        </w:rPr>
        <w:t xml:space="preserve"> </w:t>
      </w:r>
      <w:r w:rsidR="00FB59E2" w:rsidRPr="00043989">
        <w:rPr>
          <w:b w:val="0"/>
          <w:bCs w:val="0"/>
        </w:rPr>
        <w:t xml:space="preserve">PDX RNA Expression Estimation Workflow – Batch Execution (BE). </w:t>
      </w:r>
      <w:r w:rsidR="00295A2B" w:rsidRPr="00043989">
        <w:rPr>
          <w:b w:val="0"/>
          <w:bCs w:val="0"/>
        </w:rPr>
        <w:t>The PD</w:t>
      </w:r>
      <w:r w:rsidR="00466FE6">
        <w:rPr>
          <w:b w:val="0"/>
          <w:bCs w:val="0"/>
        </w:rPr>
        <w:t>C</w:t>
      </w:r>
      <w:r w:rsidR="00295A2B" w:rsidRPr="00043989">
        <w:rPr>
          <w:b w:val="0"/>
          <w:bCs w:val="0"/>
        </w:rPr>
        <w:t>CC adapted the PDX RNA Expression Estimation Workflow shown in c)</w:t>
      </w:r>
      <w:r w:rsidR="009F63F1" w:rsidRPr="00043989">
        <w:rPr>
          <w:b w:val="0"/>
          <w:bCs w:val="0"/>
        </w:rPr>
        <w:t xml:space="preserve"> </w:t>
      </w:r>
      <w:r w:rsidR="00295A2B" w:rsidRPr="00043989">
        <w:rPr>
          <w:b w:val="0"/>
          <w:bCs w:val="0"/>
        </w:rPr>
        <w:t xml:space="preserve">to </w:t>
      </w:r>
      <w:r w:rsidR="00043989">
        <w:rPr>
          <w:b w:val="0"/>
          <w:bCs w:val="0"/>
        </w:rPr>
        <w:softHyphen/>
      </w:r>
      <w:r w:rsidR="00295A2B" w:rsidRPr="00043989">
        <w:rPr>
          <w:b w:val="0"/>
          <w:bCs w:val="0"/>
        </w:rPr>
        <w:t xml:space="preserve">accept batch inputs. </w:t>
      </w:r>
      <w:r w:rsidR="0024426E" w:rsidRPr="00043989">
        <w:br w:type="page"/>
      </w:r>
    </w:p>
    <w:p w14:paraId="0036EE49" w14:textId="0BD17755" w:rsidR="007B2DE2" w:rsidRPr="00364467" w:rsidRDefault="006C56CC" w:rsidP="00540250">
      <w:pPr>
        <w:pStyle w:val="Heading1"/>
      </w:pPr>
      <w:bookmarkStart w:id="75" w:name="_Toc27885963"/>
      <w:r w:rsidRPr="006C56CC">
        <w:lastRenderedPageBreak/>
        <w:t xml:space="preserve">Supplementary Materials </w:t>
      </w:r>
      <w:r w:rsidR="00795128">
        <w:t>7</w:t>
      </w:r>
      <w:r w:rsidRPr="006C56CC">
        <w:t>:</w:t>
      </w:r>
      <w:r>
        <w:t xml:space="preserve"> </w:t>
      </w:r>
      <w:r w:rsidRPr="00364467">
        <w:t>Gene expression analysis using RNA-Seq workflow</w:t>
      </w:r>
      <w:bookmarkEnd w:id="75"/>
    </w:p>
    <w:p w14:paraId="56600EFB" w14:textId="77777777" w:rsidR="007B2DE2" w:rsidRDefault="00133674" w:rsidP="00540250">
      <w:pPr>
        <w:pStyle w:val="Heading2"/>
      </w:pPr>
      <w:bookmarkStart w:id="76" w:name="_Toc27885964"/>
      <w:r>
        <w:t>Description</w:t>
      </w:r>
      <w:bookmarkEnd w:id="76"/>
    </w:p>
    <w:p w14:paraId="3E2B9052" w14:textId="77777777" w:rsidR="007B2DE2" w:rsidRDefault="00133674" w:rsidP="00F13C7C">
      <w:pPr>
        <w:pStyle w:val="PaperParagraph"/>
      </w:pPr>
      <w:r>
        <w:t>This RSEM workflow (RSEM 1.2.31) for quantifying gene expression uses the STAR aligner and is optimized to work with FASTQ input files.</w:t>
      </w:r>
    </w:p>
    <w:p w14:paraId="18DFCEF2" w14:textId="77777777" w:rsidR="007B2DE2" w:rsidRDefault="00133674" w:rsidP="00F13C7C">
      <w:pPr>
        <w:pStyle w:val="PaperParagraph"/>
      </w:pPr>
      <w:r>
        <w:t xml:space="preserve">To process multiple samples, please consider running batch tasks with this workflow and aggregating the results using Prepare Multisample Data </w:t>
      </w:r>
      <w:hyperlink r:id="rId33" w:anchor="pdxnet/pdxnet-jax-rna-seq-workflow/prepare-multisample-data">
        <w:r>
          <w:rPr>
            <w:color w:val="1479CC"/>
            <w:u w:val="single"/>
          </w:rPr>
          <w:t>workflow</w:t>
        </w:r>
      </w:hyperlink>
      <w:r>
        <w:t>.</w:t>
      </w:r>
    </w:p>
    <w:p w14:paraId="384105C4" w14:textId="77777777" w:rsidR="007B2DE2" w:rsidRPr="00364467" w:rsidRDefault="00133674" w:rsidP="00540250">
      <w:pPr>
        <w:pStyle w:val="Heading2"/>
      </w:pPr>
      <w:bookmarkStart w:id="77" w:name="_wi8c0u754d7b" w:colFirst="0" w:colLast="0"/>
      <w:bookmarkStart w:id="78" w:name="_Toc27885965"/>
      <w:bookmarkEnd w:id="77"/>
      <w:r w:rsidRPr="00364467">
        <w:t>Essential Requirements</w:t>
      </w:r>
      <w:bookmarkEnd w:id="78"/>
    </w:p>
    <w:p w14:paraId="3186F24B" w14:textId="77777777" w:rsidR="007B2DE2" w:rsidRDefault="00133674" w:rsidP="00F13C7C">
      <w:pPr>
        <w:pStyle w:val="PaperParagraph"/>
      </w:pPr>
      <w:r>
        <w:t>The following metadata fields are essential and should be assigned to input FASTQ files:</w:t>
      </w:r>
    </w:p>
    <w:p w14:paraId="2109E2AB" w14:textId="77777777" w:rsidR="007B2DE2" w:rsidRDefault="00133674" w:rsidP="00540250">
      <w:pPr>
        <w:numPr>
          <w:ilvl w:val="0"/>
          <w:numId w:val="1"/>
        </w:numPr>
        <w:spacing w:line="342" w:lineRule="auto"/>
      </w:pPr>
      <w:r>
        <w:rPr>
          <w:sz w:val="21"/>
          <w:szCs w:val="21"/>
        </w:rPr>
        <w:t>Sample ID: Any string. The identifier should be identical for both paired-end FASTQ files.</w:t>
      </w:r>
    </w:p>
    <w:p w14:paraId="13496F2C" w14:textId="77777777" w:rsidR="007B2DE2" w:rsidRDefault="00133674" w:rsidP="00540250">
      <w:pPr>
        <w:numPr>
          <w:ilvl w:val="0"/>
          <w:numId w:val="1"/>
        </w:numPr>
        <w:spacing w:after="340" w:line="342" w:lineRule="auto"/>
      </w:pPr>
      <w:r>
        <w:rPr>
          <w:sz w:val="21"/>
          <w:szCs w:val="21"/>
        </w:rPr>
        <w:t>Paired-end: 1 or 2</w:t>
      </w:r>
    </w:p>
    <w:p w14:paraId="033AB58B" w14:textId="77777777" w:rsidR="007B2DE2" w:rsidRDefault="00133674" w:rsidP="00F13C7C">
      <w:pPr>
        <w:pStyle w:val="PaperParagraph"/>
      </w:pPr>
      <w:r>
        <w:t>This workflow will process both uncompressed and compressed FASTQ files (FASTQ.GZ, FASTQ.BZ2) and has been designed for paired-end data. By default, the workflow assumes unstranded data (Forward probability input parameter set to 0.5). Please adjust the value of this parameter (0.0 or 1.0) based on the library prep of your data.</w:t>
      </w:r>
    </w:p>
    <w:p w14:paraId="7E533EB4" w14:textId="77777777" w:rsidR="007B2DE2" w:rsidRDefault="00133674" w:rsidP="00540250">
      <w:pPr>
        <w:pStyle w:val="Heading4"/>
      </w:pPr>
      <w:bookmarkStart w:id="79" w:name="_4uze0tpyupje" w:colFirst="0" w:colLast="0"/>
      <w:bookmarkEnd w:id="79"/>
      <w:r>
        <w:t>The following output files will be generated:</w:t>
      </w:r>
    </w:p>
    <w:p w14:paraId="5A997BD9" w14:textId="77777777" w:rsidR="007B2DE2" w:rsidRDefault="007B2DE2" w:rsidP="00540250"/>
    <w:p w14:paraId="4D31195C" w14:textId="77777777" w:rsidR="007B2DE2" w:rsidRDefault="00133674" w:rsidP="00540250">
      <w:pPr>
        <w:numPr>
          <w:ilvl w:val="0"/>
          <w:numId w:val="5"/>
        </w:numPr>
        <w:spacing w:line="400" w:lineRule="auto"/>
        <w:rPr>
          <w:rFonts w:ascii="Courier New" w:eastAsia="Courier New" w:hAnsi="Courier New" w:cs="Courier New"/>
          <w:sz w:val="18"/>
          <w:szCs w:val="18"/>
          <w:shd w:val="clear" w:color="auto" w:fill="F3F5F7"/>
        </w:rPr>
      </w:pPr>
      <w:r>
        <w:rPr>
          <w:rFonts w:ascii="Courier New" w:eastAsia="Courier New" w:hAnsi="Courier New" w:cs="Courier New"/>
          <w:sz w:val="18"/>
          <w:szCs w:val="18"/>
          <w:shd w:val="clear" w:color="auto" w:fill="F3F5F7"/>
        </w:rPr>
        <w:t>Gene level expression estimates</w:t>
      </w:r>
    </w:p>
    <w:p w14:paraId="6FA6BCFB" w14:textId="77777777" w:rsidR="007B2DE2" w:rsidRDefault="00133674" w:rsidP="00540250">
      <w:pPr>
        <w:numPr>
          <w:ilvl w:val="0"/>
          <w:numId w:val="5"/>
        </w:numPr>
        <w:spacing w:line="400" w:lineRule="auto"/>
        <w:rPr>
          <w:rFonts w:ascii="Courier New" w:eastAsia="Courier New" w:hAnsi="Courier New" w:cs="Courier New"/>
          <w:sz w:val="18"/>
          <w:szCs w:val="18"/>
          <w:shd w:val="clear" w:color="auto" w:fill="F3F5F7"/>
        </w:rPr>
      </w:pPr>
      <w:r>
        <w:rPr>
          <w:rFonts w:ascii="Courier New" w:eastAsia="Courier New" w:hAnsi="Courier New" w:cs="Courier New"/>
          <w:sz w:val="18"/>
          <w:szCs w:val="18"/>
          <w:shd w:val="clear" w:color="auto" w:fill="F3F5F7"/>
        </w:rPr>
        <w:t>Isoform level expression estimates</w:t>
      </w:r>
    </w:p>
    <w:p w14:paraId="6AACCBDD" w14:textId="77777777" w:rsidR="007B2DE2" w:rsidRDefault="00133674" w:rsidP="00540250">
      <w:pPr>
        <w:numPr>
          <w:ilvl w:val="0"/>
          <w:numId w:val="5"/>
        </w:numPr>
        <w:spacing w:line="400" w:lineRule="auto"/>
        <w:rPr>
          <w:rFonts w:ascii="Courier New" w:eastAsia="Courier New" w:hAnsi="Courier New" w:cs="Courier New"/>
          <w:sz w:val="18"/>
          <w:szCs w:val="18"/>
          <w:shd w:val="clear" w:color="auto" w:fill="F3F5F7"/>
        </w:rPr>
      </w:pPr>
      <w:r>
        <w:rPr>
          <w:rFonts w:ascii="Courier New" w:eastAsia="Courier New" w:hAnsi="Courier New" w:cs="Courier New"/>
          <w:sz w:val="18"/>
          <w:szCs w:val="18"/>
          <w:shd w:val="clear" w:color="auto" w:fill="F3F5F7"/>
        </w:rPr>
        <w:t>RSEM model plot</w:t>
      </w:r>
    </w:p>
    <w:p w14:paraId="0215BFAC" w14:textId="77777777" w:rsidR="007B2DE2" w:rsidRDefault="00133674" w:rsidP="00540250">
      <w:pPr>
        <w:numPr>
          <w:ilvl w:val="0"/>
          <w:numId w:val="5"/>
        </w:numPr>
        <w:spacing w:line="400" w:lineRule="auto"/>
        <w:rPr>
          <w:rFonts w:ascii="Courier New" w:eastAsia="Courier New" w:hAnsi="Courier New" w:cs="Courier New"/>
          <w:sz w:val="18"/>
          <w:szCs w:val="18"/>
          <w:shd w:val="clear" w:color="auto" w:fill="F3F5F7"/>
        </w:rPr>
      </w:pPr>
      <w:r>
        <w:rPr>
          <w:rFonts w:ascii="Courier New" w:eastAsia="Courier New" w:hAnsi="Courier New" w:cs="Courier New"/>
          <w:sz w:val="18"/>
          <w:szCs w:val="18"/>
          <w:shd w:val="clear" w:color="auto" w:fill="F3F5F7"/>
        </w:rPr>
        <w:t xml:space="preserve">BAM in transcript coordinates </w:t>
      </w:r>
    </w:p>
    <w:p w14:paraId="1766C98E" w14:textId="77777777" w:rsidR="007B2DE2" w:rsidRDefault="00133674" w:rsidP="00540250">
      <w:pPr>
        <w:numPr>
          <w:ilvl w:val="0"/>
          <w:numId w:val="5"/>
        </w:numPr>
        <w:spacing w:line="400" w:lineRule="auto"/>
        <w:rPr>
          <w:rFonts w:ascii="Courier New" w:eastAsia="Courier New" w:hAnsi="Courier New" w:cs="Courier New"/>
          <w:sz w:val="18"/>
          <w:szCs w:val="18"/>
          <w:shd w:val="clear" w:color="auto" w:fill="F3F5F7"/>
        </w:rPr>
      </w:pPr>
      <w:r>
        <w:rPr>
          <w:rFonts w:ascii="Courier New" w:eastAsia="Courier New" w:hAnsi="Courier New" w:cs="Courier New"/>
          <w:sz w:val="18"/>
          <w:szCs w:val="18"/>
          <w:shd w:val="clear" w:color="auto" w:fill="F3F5F7"/>
        </w:rPr>
        <w:t>BAM in genome coordinates</w:t>
      </w:r>
    </w:p>
    <w:p w14:paraId="5D4F1C89" w14:textId="77777777" w:rsidR="007B2DE2" w:rsidRDefault="00133674" w:rsidP="00540250">
      <w:pPr>
        <w:numPr>
          <w:ilvl w:val="0"/>
          <w:numId w:val="5"/>
        </w:numPr>
        <w:spacing w:line="400" w:lineRule="auto"/>
        <w:rPr>
          <w:rFonts w:ascii="Courier New" w:eastAsia="Courier New" w:hAnsi="Courier New" w:cs="Courier New"/>
          <w:sz w:val="18"/>
          <w:szCs w:val="18"/>
          <w:shd w:val="clear" w:color="auto" w:fill="F3F5F7"/>
        </w:rPr>
      </w:pPr>
      <w:r>
        <w:rPr>
          <w:rFonts w:ascii="Courier New" w:eastAsia="Courier New" w:hAnsi="Courier New" w:cs="Courier New"/>
          <w:sz w:val="18"/>
          <w:szCs w:val="18"/>
          <w:shd w:val="clear" w:color="auto" w:fill="F3F5F7"/>
        </w:rPr>
        <w:t>FASTQC reports ZIP archive</w:t>
      </w:r>
    </w:p>
    <w:p w14:paraId="3F069D58" w14:textId="77777777" w:rsidR="007B2DE2" w:rsidRDefault="00133674" w:rsidP="00540250">
      <w:pPr>
        <w:numPr>
          <w:ilvl w:val="0"/>
          <w:numId w:val="5"/>
        </w:numPr>
        <w:spacing w:line="400" w:lineRule="auto"/>
        <w:rPr>
          <w:rFonts w:ascii="Courier New" w:eastAsia="Courier New" w:hAnsi="Courier New" w:cs="Courier New"/>
          <w:sz w:val="18"/>
          <w:szCs w:val="18"/>
          <w:shd w:val="clear" w:color="auto" w:fill="F3F5F7"/>
        </w:rPr>
      </w:pPr>
      <w:r>
        <w:rPr>
          <w:rFonts w:ascii="Courier New" w:eastAsia="Courier New" w:hAnsi="Courier New" w:cs="Courier New"/>
          <w:sz w:val="18"/>
          <w:szCs w:val="18"/>
          <w:shd w:val="clear" w:color="auto" w:fill="F3F5F7"/>
        </w:rPr>
        <w:t>FASTQC HTML report</w:t>
      </w:r>
    </w:p>
    <w:p w14:paraId="7BCF102F" w14:textId="77777777" w:rsidR="007B2DE2" w:rsidRDefault="00133674" w:rsidP="00540250">
      <w:pPr>
        <w:numPr>
          <w:ilvl w:val="0"/>
          <w:numId w:val="5"/>
        </w:numPr>
        <w:spacing w:line="400" w:lineRule="auto"/>
        <w:rPr>
          <w:rFonts w:ascii="Courier New" w:eastAsia="Courier New" w:hAnsi="Courier New" w:cs="Courier New"/>
          <w:sz w:val="18"/>
          <w:szCs w:val="18"/>
          <w:shd w:val="clear" w:color="auto" w:fill="F3F5F7"/>
        </w:rPr>
      </w:pPr>
      <w:r>
        <w:rPr>
          <w:rFonts w:ascii="Courier New" w:eastAsia="Courier New" w:hAnsi="Courier New" w:cs="Courier New"/>
          <w:sz w:val="18"/>
          <w:szCs w:val="18"/>
          <w:shd w:val="clear" w:color="auto" w:fill="F3F5F7"/>
        </w:rPr>
        <w:t>Integrated QC report</w:t>
      </w:r>
    </w:p>
    <w:p w14:paraId="51ACC566" w14:textId="77777777" w:rsidR="007B2DE2" w:rsidRDefault="00133674" w:rsidP="00540250">
      <w:pPr>
        <w:numPr>
          <w:ilvl w:val="0"/>
          <w:numId w:val="5"/>
        </w:numPr>
        <w:spacing w:line="400" w:lineRule="auto"/>
        <w:rPr>
          <w:rFonts w:ascii="Courier New" w:eastAsia="Courier New" w:hAnsi="Courier New" w:cs="Courier New"/>
          <w:sz w:val="18"/>
          <w:szCs w:val="18"/>
          <w:shd w:val="clear" w:color="auto" w:fill="F3F5F7"/>
        </w:rPr>
      </w:pPr>
      <w:r>
        <w:rPr>
          <w:rFonts w:ascii="Courier New" w:eastAsia="Courier New" w:hAnsi="Courier New" w:cs="Courier New"/>
          <w:sz w:val="18"/>
          <w:szCs w:val="18"/>
          <w:shd w:val="clear" w:color="auto" w:fill="F3F5F7"/>
        </w:rPr>
        <w:t>Picard CollectRNASeqMetrics report</w:t>
      </w:r>
      <w:r>
        <w:rPr>
          <w:rFonts w:ascii="Courier New" w:eastAsia="Courier New" w:hAnsi="Courier New" w:cs="Courier New"/>
          <w:sz w:val="18"/>
          <w:szCs w:val="18"/>
          <w:shd w:val="clear" w:color="auto" w:fill="F3F5F7"/>
        </w:rPr>
        <w:br/>
      </w:r>
    </w:p>
    <w:p w14:paraId="6C1DAA4D" w14:textId="77777777" w:rsidR="007B2DE2" w:rsidRPr="00364467" w:rsidRDefault="00133674" w:rsidP="00540250">
      <w:pPr>
        <w:pStyle w:val="Heading2"/>
      </w:pPr>
      <w:bookmarkStart w:id="80" w:name="_6xfo0mfdqkuz" w:colFirst="0" w:colLast="0"/>
      <w:bookmarkStart w:id="81" w:name="_Toc27885966"/>
      <w:bookmarkEnd w:id="80"/>
      <w:r w:rsidRPr="00364467">
        <w:lastRenderedPageBreak/>
        <w:t>Reference Files and Workflow Details</w:t>
      </w:r>
      <w:bookmarkEnd w:id="81"/>
    </w:p>
    <w:p w14:paraId="491B3A6B" w14:textId="77777777" w:rsidR="007B2DE2" w:rsidRDefault="00133674" w:rsidP="00540250">
      <w:pPr>
        <w:rPr>
          <w:sz w:val="21"/>
          <w:szCs w:val="21"/>
        </w:rPr>
      </w:pPr>
      <w:r>
        <w:rPr>
          <w:sz w:val="21"/>
          <w:szCs w:val="21"/>
        </w:rPr>
        <w:br/>
        <w:t>Required reference input files:</w:t>
      </w:r>
      <w:r>
        <w:rPr>
          <w:sz w:val="21"/>
          <w:szCs w:val="21"/>
        </w:rPr>
        <w:br/>
      </w:r>
    </w:p>
    <w:p w14:paraId="349CEAD2" w14:textId="77777777" w:rsidR="007B2DE2" w:rsidRDefault="00133674" w:rsidP="00540250">
      <w:pPr>
        <w:numPr>
          <w:ilvl w:val="0"/>
          <w:numId w:val="8"/>
        </w:numPr>
        <w:spacing w:line="342" w:lineRule="auto"/>
      </w:pPr>
      <w:r>
        <w:rPr>
          <w:sz w:val="21"/>
          <w:szCs w:val="21"/>
        </w:rPr>
        <w:t>Xenome is used to classify reads as human or mouse. Xenome indices were built on hg38 and pseudoNOD transcriptome (based on SNP incorporation into mm10 genome from Sanger [ftp://ftp-mouse.sanger.ac.uk/REL-1505-SNPs_Indels/]). The default value of k=25 is used during the indices preparation. Default file input: Xenome_transcriptome_indices_GRCh38_91_pseudoNod_mm10.tar.gz</w:t>
      </w:r>
    </w:p>
    <w:p w14:paraId="02E94CDD" w14:textId="77777777" w:rsidR="007B2DE2" w:rsidRDefault="00133674" w:rsidP="00540250">
      <w:pPr>
        <w:numPr>
          <w:ilvl w:val="0"/>
          <w:numId w:val="8"/>
        </w:numPr>
        <w:spacing w:line="342" w:lineRule="auto"/>
      </w:pPr>
      <w:r>
        <w:rPr>
          <w:sz w:val="21"/>
          <w:szCs w:val="21"/>
        </w:rPr>
        <w:t>STAR indices archive prepared by RSEM Prepare Reference (v.1.2.31). The default input file (GRCh38.91.chr_patch_hapl_scaf_rsem-1.2.31.star-index-archive.tar) was built using a GRCh38 FASTA file (primary assembly, EBV, alt contigs, decoys, and HLA contigs) and an annotation GRCh38 GTF file from Ensembl (release 91) (ftp://ftp.ensembl.org/pub/release-91/gtf/homo_sapiens/Homo_sapiens.GRCh38.91.chr_patch_hapl_scaff.gtf.gz)</w:t>
      </w:r>
    </w:p>
    <w:p w14:paraId="4B367434" w14:textId="77777777" w:rsidR="007B2DE2" w:rsidRDefault="00133674" w:rsidP="00540250">
      <w:pPr>
        <w:numPr>
          <w:ilvl w:val="0"/>
          <w:numId w:val="8"/>
        </w:numPr>
        <w:spacing w:line="342" w:lineRule="auto"/>
      </w:pPr>
      <w:r>
        <w:rPr>
          <w:sz w:val="21"/>
          <w:szCs w:val="21"/>
        </w:rPr>
        <w:t>refFlat file (hg38) used by Picard CollectRnaSeqMetrics tool. Downloaded from: http://hgdownload.cse.ucsc.edu/goldenPath/hg38/database/refFlat.txt.gz Default file input: refFlat.ucsc_hg38.txt</w:t>
      </w:r>
    </w:p>
    <w:p w14:paraId="0314D865" w14:textId="77777777" w:rsidR="007B2DE2" w:rsidRDefault="00133674" w:rsidP="00540250">
      <w:pPr>
        <w:numPr>
          <w:ilvl w:val="0"/>
          <w:numId w:val="8"/>
        </w:numPr>
        <w:spacing w:after="340" w:line="342" w:lineRule="auto"/>
      </w:pPr>
      <w:r>
        <w:rPr>
          <w:sz w:val="21"/>
          <w:szCs w:val="21"/>
        </w:rPr>
        <w:t>Ribosomal intervals (hg38) used by Picard CollectRnaSeqMetrics tool. Default file input: rRNA_hg38.interval</w:t>
      </w:r>
    </w:p>
    <w:p w14:paraId="51BE5B94" w14:textId="7E6C7C0D" w:rsidR="007B2DE2" w:rsidRDefault="00133674" w:rsidP="00540250">
      <w:pPr>
        <w:pStyle w:val="Heading2"/>
      </w:pPr>
      <w:bookmarkStart w:id="82" w:name="_Toc27885967"/>
      <w:r>
        <w:t>Workflow Steps and Notable Parameters</w:t>
      </w:r>
      <w:bookmarkEnd w:id="82"/>
    </w:p>
    <w:p w14:paraId="0ECC2226" w14:textId="77777777" w:rsidR="007B2DE2" w:rsidRPr="00350683" w:rsidRDefault="00133674" w:rsidP="00540250">
      <w:pPr>
        <w:pStyle w:val="Heading4"/>
      </w:pPr>
      <w:r w:rsidRPr="00350683">
        <w:t>Step 1: Optional input preprocessing</w:t>
      </w:r>
    </w:p>
    <w:p w14:paraId="4846CD11" w14:textId="22E009A4" w:rsidR="007B2DE2" w:rsidRDefault="00133674" w:rsidP="00540250">
      <w:pPr>
        <w:rPr>
          <w:sz w:val="21"/>
          <w:szCs w:val="21"/>
        </w:rPr>
      </w:pPr>
      <w:r>
        <w:rPr>
          <w:sz w:val="21"/>
          <w:szCs w:val="21"/>
        </w:rPr>
        <w:t>If FASTQ.BZ2 files are provided as inputs, the files will be decompressed before further analysis (as Xenome will only accept FASTQ and FASTQ.GZ files). FASTQ.GZ and uncompressed FASTQ input files will be passed on to other tools in the workflow.</w:t>
      </w:r>
    </w:p>
    <w:p w14:paraId="5F35E708" w14:textId="77777777" w:rsidR="007B2DE2" w:rsidRPr="00364467" w:rsidRDefault="00133674" w:rsidP="00540250">
      <w:pPr>
        <w:pStyle w:val="Heading4"/>
      </w:pPr>
      <w:bookmarkStart w:id="83" w:name="_nz1uechxbrsx" w:colFirst="0" w:colLast="0"/>
      <w:bookmarkEnd w:id="83"/>
      <w:r w:rsidRPr="00364467">
        <w:t>Step 2: FASTQC analysis</w:t>
      </w:r>
    </w:p>
    <w:p w14:paraId="31ED004A" w14:textId="77777777" w:rsidR="007B2DE2" w:rsidRDefault="00133674" w:rsidP="00540250">
      <w:pPr>
        <w:rPr>
          <w:sz w:val="21"/>
          <w:szCs w:val="21"/>
        </w:rPr>
      </w:pPr>
      <w:r>
        <w:rPr>
          <w:sz w:val="21"/>
          <w:szCs w:val="21"/>
        </w:rPr>
        <w:t>Quality of the input FASTQ files is checked with FASTQC.</w:t>
      </w:r>
    </w:p>
    <w:p w14:paraId="29A73C60" w14:textId="77777777" w:rsidR="007B2DE2" w:rsidRPr="00364467" w:rsidRDefault="00133674" w:rsidP="00540250">
      <w:pPr>
        <w:pStyle w:val="Heading4"/>
      </w:pPr>
      <w:bookmarkStart w:id="84" w:name="_eozge3fhi0l4" w:colFirst="0" w:colLast="0"/>
      <w:bookmarkEnd w:id="84"/>
      <w:r w:rsidRPr="00364467">
        <w:t>Step 3: Xenome classification of reads</w:t>
      </w:r>
    </w:p>
    <w:p w14:paraId="0FC40186" w14:textId="01639123" w:rsidR="007B2DE2" w:rsidRDefault="00133674" w:rsidP="00540250">
      <w:pPr>
        <w:rPr>
          <w:sz w:val="21"/>
          <w:szCs w:val="21"/>
        </w:rPr>
      </w:pPr>
      <w:r>
        <w:rPr>
          <w:sz w:val="21"/>
          <w:szCs w:val="21"/>
        </w:rPr>
        <w:t xml:space="preserve">FASTQ pairs are split (SBG Split Pair by Metadata) based on the appropriate paired_end metadata field values and classified by Xenome as mouse or human. QC Xenome Check tool checks that a sufficient number of reads have been classified as human. By default, minimum number of human reads required is set to 1000000, however this parameter is exposed (Minimum number of human-specific reads) and can be adjusted by the user. </w:t>
      </w:r>
      <w:r>
        <w:rPr>
          <w:i/>
          <w:sz w:val="21"/>
          <w:szCs w:val="21"/>
        </w:rPr>
        <w:t>Note</w:t>
      </w:r>
      <w:r>
        <w:rPr>
          <w:sz w:val="21"/>
          <w:szCs w:val="21"/>
        </w:rPr>
        <w:t>: If the Minimum number of human-specific reads cutoff is not met, the tasks will fail. If you expect &lt;1000000 human reads in your input data, or are testing the workflow with subsetted files, please adjust this parameter accordingly.</w:t>
      </w:r>
    </w:p>
    <w:p w14:paraId="2A4FCA0E" w14:textId="77777777" w:rsidR="007B2DE2" w:rsidRDefault="00133674" w:rsidP="00540250">
      <w:pPr>
        <w:pStyle w:val="Heading4"/>
      </w:pPr>
      <w:bookmarkStart w:id="85" w:name="_bcfvs814my89" w:colFirst="0" w:colLast="0"/>
      <w:bookmarkEnd w:id="85"/>
      <w:r>
        <w:t>Step 4: RSEM expression estimation</w:t>
      </w:r>
    </w:p>
    <w:p w14:paraId="52074BC8" w14:textId="77777777" w:rsidR="007B2DE2" w:rsidRDefault="00133674" w:rsidP="00540250">
      <w:pPr>
        <w:rPr>
          <w:sz w:val="21"/>
          <w:szCs w:val="21"/>
        </w:rPr>
      </w:pPr>
      <w:r>
        <w:rPr>
          <w:sz w:val="21"/>
          <w:szCs w:val="21"/>
        </w:rPr>
        <w:t>Expression is estimated using RSEM Calculate Expression tool (RSEM 1.2.31), with STAR as the aligner. Please ensure that the reference indices archive supplied to the tool has been prepared accordingly. RSEM Plot Model tool is used to generate RSEM plots.</w:t>
      </w:r>
    </w:p>
    <w:p w14:paraId="7CF3298B" w14:textId="77777777" w:rsidR="007B2DE2" w:rsidRDefault="00133674" w:rsidP="00540250">
      <w:pPr>
        <w:rPr>
          <w:sz w:val="21"/>
          <w:szCs w:val="21"/>
        </w:rPr>
      </w:pPr>
      <w:r>
        <w:rPr>
          <w:sz w:val="21"/>
          <w:szCs w:val="21"/>
        </w:rPr>
        <w:lastRenderedPageBreak/>
        <w:t>Please note that by default, the workflow is setup to process unstranded data (Forward probability input parameter set to 0.5). Please make sure to adjust the value of this parameter (0.0, 0.5 or 1.0) based on the library-prep used.</w:t>
      </w:r>
    </w:p>
    <w:p w14:paraId="33A3D391" w14:textId="77777777" w:rsidR="007B2DE2" w:rsidRDefault="00133674" w:rsidP="00540250">
      <w:pPr>
        <w:pStyle w:val="Heading4"/>
      </w:pPr>
      <w:bookmarkStart w:id="86" w:name="_i4vp5wsmcypn" w:colFirst="0" w:colLast="0"/>
      <w:bookmarkEnd w:id="86"/>
      <w:r>
        <w:t>Step 5: Additional QC</w:t>
      </w:r>
    </w:p>
    <w:p w14:paraId="2EF83C0A" w14:textId="77777777" w:rsidR="007B2DE2" w:rsidRDefault="00133674" w:rsidP="00540250">
      <w:pPr>
        <w:rPr>
          <w:sz w:val="21"/>
          <w:szCs w:val="21"/>
        </w:rPr>
      </w:pPr>
      <w:r>
        <w:rPr>
          <w:sz w:val="21"/>
          <w:szCs w:val="21"/>
        </w:rPr>
        <w:t>Additional QC reports are collected from Picard CollectRnaSeqMetrics tool and Xenome.</w:t>
      </w:r>
    </w:p>
    <w:p w14:paraId="042427B9" w14:textId="77777777" w:rsidR="007B2DE2" w:rsidRDefault="007B2DE2" w:rsidP="00540250">
      <w:pPr>
        <w:rPr>
          <w:sz w:val="21"/>
          <w:szCs w:val="21"/>
        </w:rPr>
      </w:pPr>
    </w:p>
    <w:p w14:paraId="19D4E520" w14:textId="6A49A4E9" w:rsidR="007B2DE2" w:rsidRDefault="005F57CA" w:rsidP="00540250">
      <w:pPr>
        <w:rPr>
          <w:sz w:val="21"/>
          <w:szCs w:val="21"/>
        </w:rPr>
      </w:pPr>
      <w:r>
        <w:rPr>
          <w:sz w:val="21"/>
          <w:szCs w:val="21"/>
        </w:rPr>
        <w:br w:type="page"/>
      </w:r>
    </w:p>
    <w:p w14:paraId="6ECA11BD" w14:textId="2B562EDF" w:rsidR="001F2143" w:rsidRDefault="001F2143" w:rsidP="001F2143">
      <w:pPr>
        <w:pStyle w:val="Heading1"/>
      </w:pPr>
      <w:bookmarkStart w:id="87" w:name="_Toc27885968"/>
      <w:r w:rsidRPr="006C56CC">
        <w:lastRenderedPageBreak/>
        <w:t xml:space="preserve">Supplementary Materials </w:t>
      </w:r>
      <w:r>
        <w:t>8</w:t>
      </w:r>
      <w:r w:rsidRPr="006C56CC">
        <w:t>:</w:t>
      </w:r>
      <w:r>
        <w:t xml:space="preserve"> Comparisons of xenograft sequence data across PDTCs</w:t>
      </w:r>
      <w:bookmarkEnd w:id="87"/>
    </w:p>
    <w:p w14:paraId="49E0BFFB" w14:textId="77777777" w:rsidR="001F2143" w:rsidRPr="001F2143" w:rsidRDefault="001F2143" w:rsidP="001533AF"/>
    <w:p w14:paraId="1766B26D" w14:textId="31C4D62D" w:rsidR="007B2DE2" w:rsidRPr="00F93CCF" w:rsidRDefault="00133674" w:rsidP="00540250">
      <w:pPr>
        <w:pStyle w:val="FigureLegend"/>
        <w:jc w:val="left"/>
        <w:rPr>
          <w:b w:val="0"/>
        </w:rPr>
      </w:pPr>
      <w:r w:rsidRPr="00F93CCF">
        <w:t xml:space="preserve">Supplementary Table </w:t>
      </w:r>
      <w:r w:rsidR="00146C7D">
        <w:t>4</w:t>
      </w:r>
      <w:r w:rsidR="002B7BE3">
        <w:t>.</w:t>
      </w:r>
      <w:r w:rsidRPr="00F93CCF">
        <w:t xml:space="preserve"> </w:t>
      </w:r>
      <w:r w:rsidRPr="00F93CCF">
        <w:rPr>
          <w:b w:val="0"/>
        </w:rPr>
        <w:t>Total genomic region (in megabases [Mb]) covered by each capture</w:t>
      </w:r>
    </w:p>
    <w:tbl>
      <w:tblPr>
        <w:tblW w:w="5565" w:type="dxa"/>
        <w:jc w:val="center"/>
        <w:tblLayout w:type="fixed"/>
        <w:tblCellMar>
          <w:top w:w="100" w:type="dxa"/>
          <w:left w:w="100" w:type="dxa"/>
          <w:bottom w:w="100" w:type="dxa"/>
          <w:right w:w="100" w:type="dxa"/>
        </w:tblCellMar>
        <w:tblLook w:val="0600" w:firstRow="0" w:lastRow="0" w:firstColumn="0" w:lastColumn="0" w:noHBand="1" w:noVBand="1"/>
      </w:tblPr>
      <w:tblGrid>
        <w:gridCol w:w="2730"/>
        <w:gridCol w:w="2835"/>
      </w:tblGrid>
      <w:tr w:rsidR="007B2DE2" w14:paraId="59BE9E5D" w14:textId="77777777" w:rsidTr="00C12C3E">
        <w:trPr>
          <w:trHeight w:val="537"/>
          <w:jc w:val="center"/>
        </w:trPr>
        <w:tc>
          <w:tcPr>
            <w:tcW w:w="2730" w:type="dxa"/>
            <w:tcBorders>
              <w:top w:val="single" w:sz="18" w:space="0" w:color="auto"/>
              <w:bottom w:val="single" w:sz="18" w:space="0" w:color="auto"/>
            </w:tcBorders>
            <w:tcMar>
              <w:top w:w="100" w:type="dxa"/>
              <w:left w:w="100" w:type="dxa"/>
              <w:bottom w:w="100" w:type="dxa"/>
              <w:right w:w="100" w:type="dxa"/>
            </w:tcMar>
          </w:tcPr>
          <w:p w14:paraId="4564D5E6" w14:textId="77777777" w:rsidR="007B2DE2" w:rsidRDefault="00133674" w:rsidP="00540250">
            <w:pPr>
              <w:rPr>
                <w:b/>
                <w:sz w:val="21"/>
                <w:szCs w:val="21"/>
              </w:rPr>
            </w:pPr>
            <w:r>
              <w:rPr>
                <w:b/>
                <w:sz w:val="21"/>
                <w:szCs w:val="21"/>
              </w:rPr>
              <w:t>Center</w:t>
            </w:r>
          </w:p>
        </w:tc>
        <w:tc>
          <w:tcPr>
            <w:tcW w:w="2835" w:type="dxa"/>
            <w:tcBorders>
              <w:top w:val="single" w:sz="18" w:space="0" w:color="auto"/>
              <w:bottom w:val="single" w:sz="18" w:space="0" w:color="auto"/>
            </w:tcBorders>
            <w:tcMar>
              <w:top w:w="100" w:type="dxa"/>
              <w:left w:w="100" w:type="dxa"/>
              <w:bottom w:w="100" w:type="dxa"/>
              <w:right w:w="100" w:type="dxa"/>
            </w:tcMar>
          </w:tcPr>
          <w:p w14:paraId="486EB265" w14:textId="56E0914D" w:rsidR="007B2DE2" w:rsidRDefault="00133674" w:rsidP="00540250">
            <w:pPr>
              <w:rPr>
                <w:b/>
                <w:sz w:val="21"/>
                <w:szCs w:val="21"/>
              </w:rPr>
            </w:pPr>
            <w:r>
              <w:rPr>
                <w:b/>
                <w:sz w:val="21"/>
                <w:szCs w:val="21"/>
              </w:rPr>
              <w:t>Capture Array Genome Coverage (Mb)</w:t>
            </w:r>
          </w:p>
        </w:tc>
      </w:tr>
      <w:tr w:rsidR="007B2DE2" w14:paraId="439A9628" w14:textId="77777777" w:rsidTr="00C12C3E">
        <w:trPr>
          <w:trHeight w:val="200"/>
          <w:jc w:val="center"/>
        </w:trPr>
        <w:tc>
          <w:tcPr>
            <w:tcW w:w="2730" w:type="dxa"/>
            <w:tcBorders>
              <w:top w:val="single" w:sz="18" w:space="0" w:color="auto"/>
            </w:tcBorders>
            <w:tcMar>
              <w:top w:w="100" w:type="dxa"/>
              <w:left w:w="100" w:type="dxa"/>
              <w:bottom w:w="100" w:type="dxa"/>
              <w:right w:w="100" w:type="dxa"/>
            </w:tcMar>
          </w:tcPr>
          <w:p w14:paraId="00CE2F2E" w14:textId="00331623" w:rsidR="007B2DE2" w:rsidRPr="00F93CCF" w:rsidRDefault="00466FE6" w:rsidP="00540250">
            <w:pPr>
              <w:rPr>
                <w:sz w:val="21"/>
              </w:rPr>
            </w:pPr>
            <w:r>
              <w:rPr>
                <w:sz w:val="21"/>
              </w:rPr>
              <w:t>HCI-BCM</w:t>
            </w:r>
            <w:r w:rsidR="00534A04" w:rsidRPr="001533AF">
              <w:rPr>
                <w:sz w:val="21"/>
                <w:vertAlign w:val="superscript"/>
              </w:rPr>
              <w:t xml:space="preserve"> </w:t>
            </w:r>
          </w:p>
        </w:tc>
        <w:tc>
          <w:tcPr>
            <w:tcW w:w="2835" w:type="dxa"/>
            <w:tcBorders>
              <w:top w:val="single" w:sz="18" w:space="0" w:color="auto"/>
            </w:tcBorders>
            <w:tcMar>
              <w:top w:w="100" w:type="dxa"/>
              <w:left w:w="100" w:type="dxa"/>
              <w:bottom w:w="100" w:type="dxa"/>
              <w:right w:w="100" w:type="dxa"/>
            </w:tcMar>
          </w:tcPr>
          <w:p w14:paraId="00F49F94" w14:textId="77777777" w:rsidR="007B2DE2" w:rsidRDefault="00133674" w:rsidP="00540250">
            <w:pPr>
              <w:rPr>
                <w:sz w:val="21"/>
                <w:szCs w:val="21"/>
              </w:rPr>
            </w:pPr>
            <w:r>
              <w:rPr>
                <w:sz w:val="21"/>
                <w:szCs w:val="21"/>
              </w:rPr>
              <w:t>115.23</w:t>
            </w:r>
          </w:p>
        </w:tc>
      </w:tr>
      <w:tr w:rsidR="007B2DE2" w14:paraId="6F59708B" w14:textId="77777777" w:rsidTr="00C12C3E">
        <w:trPr>
          <w:trHeight w:val="164"/>
          <w:jc w:val="center"/>
        </w:trPr>
        <w:tc>
          <w:tcPr>
            <w:tcW w:w="2730" w:type="dxa"/>
            <w:tcMar>
              <w:top w:w="100" w:type="dxa"/>
              <w:left w:w="100" w:type="dxa"/>
              <w:bottom w:w="100" w:type="dxa"/>
              <w:right w:w="100" w:type="dxa"/>
            </w:tcMar>
          </w:tcPr>
          <w:p w14:paraId="1C7F5403" w14:textId="42E4E40D" w:rsidR="007B2DE2" w:rsidRPr="00F93CCF" w:rsidRDefault="00466FE6" w:rsidP="00540250">
            <w:pPr>
              <w:rPr>
                <w:sz w:val="21"/>
              </w:rPr>
            </w:pPr>
            <w:r>
              <w:rPr>
                <w:sz w:val="21"/>
              </w:rPr>
              <w:t>MDACC</w:t>
            </w:r>
          </w:p>
        </w:tc>
        <w:tc>
          <w:tcPr>
            <w:tcW w:w="2835" w:type="dxa"/>
            <w:tcMar>
              <w:top w:w="100" w:type="dxa"/>
              <w:left w:w="100" w:type="dxa"/>
              <w:bottom w:w="100" w:type="dxa"/>
              <w:right w:w="100" w:type="dxa"/>
            </w:tcMar>
          </w:tcPr>
          <w:p w14:paraId="5BC6A94A" w14:textId="77777777" w:rsidR="007B2DE2" w:rsidRDefault="00133674" w:rsidP="00540250">
            <w:pPr>
              <w:rPr>
                <w:sz w:val="21"/>
                <w:szCs w:val="21"/>
              </w:rPr>
            </w:pPr>
            <w:r>
              <w:rPr>
                <w:sz w:val="21"/>
                <w:szCs w:val="21"/>
              </w:rPr>
              <w:t>63.50</w:t>
            </w:r>
          </w:p>
        </w:tc>
      </w:tr>
      <w:tr w:rsidR="007B2DE2" w14:paraId="3E1798CE" w14:textId="77777777" w:rsidTr="00C12C3E">
        <w:trPr>
          <w:trHeight w:val="56"/>
          <w:jc w:val="center"/>
        </w:trPr>
        <w:tc>
          <w:tcPr>
            <w:tcW w:w="2730" w:type="dxa"/>
            <w:tcMar>
              <w:top w:w="100" w:type="dxa"/>
              <w:left w:w="100" w:type="dxa"/>
              <w:bottom w:w="100" w:type="dxa"/>
              <w:right w:w="100" w:type="dxa"/>
            </w:tcMar>
          </w:tcPr>
          <w:p w14:paraId="553F7D94" w14:textId="620DAE6C" w:rsidR="007B2DE2" w:rsidRPr="00F93CCF" w:rsidRDefault="00466FE6" w:rsidP="00540250">
            <w:pPr>
              <w:rPr>
                <w:sz w:val="21"/>
              </w:rPr>
            </w:pPr>
            <w:r>
              <w:rPr>
                <w:sz w:val="21"/>
              </w:rPr>
              <w:t>WUSTL</w:t>
            </w:r>
          </w:p>
        </w:tc>
        <w:tc>
          <w:tcPr>
            <w:tcW w:w="2835" w:type="dxa"/>
            <w:tcMar>
              <w:top w:w="100" w:type="dxa"/>
              <w:left w:w="100" w:type="dxa"/>
              <w:bottom w:w="100" w:type="dxa"/>
              <w:right w:w="100" w:type="dxa"/>
            </w:tcMar>
          </w:tcPr>
          <w:p w14:paraId="7FC184FB" w14:textId="77777777" w:rsidR="007B2DE2" w:rsidRDefault="00133674" w:rsidP="00540250">
            <w:pPr>
              <w:rPr>
                <w:sz w:val="21"/>
                <w:szCs w:val="21"/>
              </w:rPr>
            </w:pPr>
            <w:r>
              <w:rPr>
                <w:sz w:val="21"/>
                <w:szCs w:val="21"/>
              </w:rPr>
              <w:t>39.11</w:t>
            </w:r>
          </w:p>
        </w:tc>
      </w:tr>
      <w:tr w:rsidR="007B2DE2" w14:paraId="11E14264" w14:textId="77777777" w:rsidTr="001533AF">
        <w:trPr>
          <w:trHeight w:val="65"/>
          <w:jc w:val="center"/>
        </w:trPr>
        <w:tc>
          <w:tcPr>
            <w:tcW w:w="2730" w:type="dxa"/>
            <w:tcBorders>
              <w:bottom w:val="single" w:sz="18" w:space="0" w:color="auto"/>
            </w:tcBorders>
            <w:tcMar>
              <w:top w:w="100" w:type="dxa"/>
              <w:left w:w="100" w:type="dxa"/>
              <w:bottom w:w="100" w:type="dxa"/>
              <w:right w:w="100" w:type="dxa"/>
            </w:tcMar>
          </w:tcPr>
          <w:p w14:paraId="2A4DE7FC" w14:textId="41E95C72" w:rsidR="007B2DE2" w:rsidRPr="00F93CCF" w:rsidRDefault="00466FE6" w:rsidP="00540250">
            <w:pPr>
              <w:rPr>
                <w:sz w:val="21"/>
              </w:rPr>
            </w:pPr>
            <w:r>
              <w:rPr>
                <w:sz w:val="21"/>
              </w:rPr>
              <w:t>WIST</w:t>
            </w:r>
          </w:p>
        </w:tc>
        <w:tc>
          <w:tcPr>
            <w:tcW w:w="2835" w:type="dxa"/>
            <w:tcBorders>
              <w:bottom w:val="single" w:sz="18" w:space="0" w:color="auto"/>
            </w:tcBorders>
            <w:tcMar>
              <w:top w:w="100" w:type="dxa"/>
              <w:left w:w="100" w:type="dxa"/>
              <w:bottom w:w="100" w:type="dxa"/>
              <w:right w:w="100" w:type="dxa"/>
            </w:tcMar>
          </w:tcPr>
          <w:p w14:paraId="09C97D86" w14:textId="77777777" w:rsidR="007B2DE2" w:rsidRDefault="00133674" w:rsidP="00540250">
            <w:pPr>
              <w:rPr>
                <w:sz w:val="21"/>
                <w:szCs w:val="21"/>
              </w:rPr>
            </w:pPr>
            <w:r>
              <w:rPr>
                <w:sz w:val="21"/>
                <w:szCs w:val="21"/>
              </w:rPr>
              <w:t>45.31</w:t>
            </w:r>
          </w:p>
        </w:tc>
      </w:tr>
      <w:tr w:rsidR="00534A04" w14:paraId="037DF40B" w14:textId="77777777" w:rsidTr="00CA6110">
        <w:trPr>
          <w:trHeight w:val="65"/>
          <w:jc w:val="center"/>
        </w:trPr>
        <w:tc>
          <w:tcPr>
            <w:tcW w:w="5565" w:type="dxa"/>
            <w:gridSpan w:val="2"/>
            <w:tcBorders>
              <w:top w:val="single" w:sz="18" w:space="0" w:color="auto"/>
            </w:tcBorders>
            <w:tcMar>
              <w:top w:w="100" w:type="dxa"/>
              <w:left w:w="100" w:type="dxa"/>
              <w:bottom w:w="100" w:type="dxa"/>
              <w:right w:w="100" w:type="dxa"/>
            </w:tcMar>
          </w:tcPr>
          <w:p w14:paraId="2559066E" w14:textId="08C5F027" w:rsidR="00534A04" w:rsidRDefault="00CA6110" w:rsidP="00534A04">
            <w:r>
              <w:rPr>
                <w:rFonts w:ascii="Arial" w:hAnsi="Arial" w:cs="Arial"/>
                <w:sz w:val="15"/>
                <w:szCs w:val="15"/>
                <w:shd w:val="clear" w:color="auto" w:fill="FFFFFF"/>
              </w:rPr>
              <w:t>HCI-BCM - H</w:t>
            </w:r>
            <w:r w:rsidRPr="009958E8">
              <w:rPr>
                <w:rFonts w:ascii="Arial" w:hAnsi="Arial" w:cs="Arial"/>
                <w:sz w:val="15"/>
                <w:szCs w:val="15"/>
                <w:shd w:val="clear" w:color="auto" w:fill="FFFFFF"/>
              </w:rPr>
              <w:t>untsman Cancer Institute/Baylor College of Medicine</w:t>
            </w:r>
            <w:r>
              <w:rPr>
                <w:rFonts w:ascii="Arial" w:hAnsi="Arial" w:cs="Arial"/>
                <w:sz w:val="15"/>
                <w:szCs w:val="15"/>
                <w:shd w:val="clear" w:color="auto" w:fill="FFFFFF"/>
              </w:rPr>
              <w:t xml:space="preserve">, MDACC - </w:t>
            </w:r>
            <w:r w:rsidRPr="009958E8">
              <w:rPr>
                <w:rFonts w:ascii="Arial" w:hAnsi="Arial" w:cs="Arial"/>
                <w:sz w:val="15"/>
                <w:szCs w:val="15"/>
                <w:shd w:val="clear" w:color="auto" w:fill="FFFFFF"/>
              </w:rPr>
              <w:t>MD Anderson Cancer Center</w:t>
            </w:r>
            <w:r>
              <w:rPr>
                <w:rFonts w:ascii="Arial" w:hAnsi="Arial" w:cs="Arial"/>
                <w:sz w:val="15"/>
                <w:szCs w:val="15"/>
                <w:shd w:val="clear" w:color="auto" w:fill="FFFFFF"/>
              </w:rPr>
              <w:t xml:space="preserve">, WUSTL - </w:t>
            </w:r>
            <w:r w:rsidRPr="009958E8">
              <w:rPr>
                <w:rFonts w:ascii="Arial" w:hAnsi="Arial" w:cs="Arial"/>
                <w:sz w:val="15"/>
                <w:szCs w:val="15"/>
                <w:shd w:val="clear" w:color="auto" w:fill="FFFFFF"/>
              </w:rPr>
              <w:t>Washington University-St. Louis, an</w:t>
            </w:r>
            <w:r>
              <w:rPr>
                <w:rFonts w:ascii="Arial" w:hAnsi="Arial" w:cs="Arial"/>
                <w:sz w:val="15"/>
                <w:szCs w:val="15"/>
                <w:shd w:val="clear" w:color="auto" w:fill="FFFFFF"/>
              </w:rPr>
              <w:t xml:space="preserve">d WIST - </w:t>
            </w:r>
            <w:r w:rsidRPr="009958E8">
              <w:rPr>
                <w:rFonts w:ascii="Arial" w:hAnsi="Arial" w:cs="Arial"/>
                <w:sz w:val="15"/>
                <w:szCs w:val="15"/>
                <w:shd w:val="clear" w:color="auto" w:fill="FFFFFF"/>
              </w:rPr>
              <w:t>The Wistar Institute/University of Pennsylvania/MDACC.</w:t>
            </w:r>
          </w:p>
          <w:p w14:paraId="3781A404" w14:textId="77777777" w:rsidR="00534A04" w:rsidRDefault="00534A04" w:rsidP="00540250">
            <w:pPr>
              <w:rPr>
                <w:sz w:val="21"/>
                <w:szCs w:val="21"/>
              </w:rPr>
            </w:pPr>
          </w:p>
        </w:tc>
      </w:tr>
    </w:tbl>
    <w:p w14:paraId="09BCBF76" w14:textId="77777777" w:rsidR="007B2DE2" w:rsidRDefault="00133674" w:rsidP="00540250">
      <w:pPr>
        <w:rPr>
          <w:sz w:val="21"/>
          <w:szCs w:val="21"/>
        </w:rPr>
      </w:pPr>
      <w:r>
        <w:rPr>
          <w:sz w:val="21"/>
          <w:szCs w:val="21"/>
        </w:rPr>
        <w:t xml:space="preserve"> </w:t>
      </w:r>
    </w:p>
    <w:p w14:paraId="5751D878" w14:textId="77777777" w:rsidR="0024426E" w:rsidRDefault="0024426E" w:rsidP="00540250">
      <w:pPr>
        <w:spacing w:line="276" w:lineRule="auto"/>
        <w:rPr>
          <w:b/>
          <w:bCs/>
        </w:rPr>
      </w:pPr>
      <w:r>
        <w:rPr>
          <w:b/>
        </w:rPr>
        <w:br w:type="page"/>
      </w:r>
    </w:p>
    <w:p w14:paraId="2909D022" w14:textId="670D5AF9" w:rsidR="007B2DE2" w:rsidRDefault="00133674" w:rsidP="00540250">
      <w:pPr>
        <w:pStyle w:val="FigureLegend"/>
        <w:jc w:val="left"/>
      </w:pPr>
      <w:r w:rsidRPr="00F93CCF">
        <w:lastRenderedPageBreak/>
        <w:t>Supplementary Table</w:t>
      </w:r>
      <w:r w:rsidR="00146C7D">
        <w:t xml:space="preserve"> 5</w:t>
      </w:r>
      <w:r w:rsidR="002B7BE3">
        <w:t>.</w:t>
      </w:r>
      <w:r w:rsidRPr="00F93CCF">
        <w:t xml:space="preserve"> </w:t>
      </w:r>
      <w:r w:rsidRPr="002B7BE3">
        <w:rPr>
          <w:b w:val="0"/>
        </w:rPr>
        <w:t>Mean number of calls after restricting to intersected array and applying allele frequency-based threshold</w:t>
      </w:r>
    </w:p>
    <w:tbl>
      <w:tblPr>
        <w:tblW w:w="9802" w:type="dxa"/>
        <w:tblLayout w:type="fixed"/>
        <w:tblCellMar>
          <w:top w:w="100" w:type="dxa"/>
          <w:left w:w="100" w:type="dxa"/>
          <w:bottom w:w="100" w:type="dxa"/>
          <w:right w:w="100" w:type="dxa"/>
        </w:tblCellMar>
        <w:tblLook w:val="0600" w:firstRow="0" w:lastRow="0" w:firstColumn="0" w:lastColumn="0" w:noHBand="1" w:noVBand="1"/>
      </w:tblPr>
      <w:tblGrid>
        <w:gridCol w:w="2512"/>
        <w:gridCol w:w="2433"/>
        <w:gridCol w:w="2267"/>
        <w:gridCol w:w="2590"/>
      </w:tblGrid>
      <w:tr w:rsidR="007B2DE2" w14:paraId="3F15A1EC" w14:textId="77777777" w:rsidTr="00F93CCF">
        <w:trPr>
          <w:trHeight w:val="861"/>
        </w:trPr>
        <w:tc>
          <w:tcPr>
            <w:tcW w:w="2512" w:type="dxa"/>
            <w:tcBorders>
              <w:top w:val="single" w:sz="18" w:space="0" w:color="auto"/>
              <w:bottom w:val="single" w:sz="18" w:space="0" w:color="auto"/>
            </w:tcBorders>
            <w:tcMar>
              <w:top w:w="100" w:type="dxa"/>
              <w:left w:w="100" w:type="dxa"/>
              <w:bottom w:w="100" w:type="dxa"/>
              <w:right w:w="100" w:type="dxa"/>
            </w:tcMar>
          </w:tcPr>
          <w:p w14:paraId="67FFF397" w14:textId="77777777" w:rsidR="007B2DE2" w:rsidRDefault="00133674" w:rsidP="00540250">
            <w:pPr>
              <w:rPr>
                <w:b/>
                <w:sz w:val="21"/>
                <w:szCs w:val="21"/>
              </w:rPr>
            </w:pPr>
            <w:r>
              <w:rPr>
                <w:sz w:val="21"/>
                <w:szCs w:val="21"/>
              </w:rPr>
              <w:t xml:space="preserve"> </w:t>
            </w:r>
            <w:r>
              <w:rPr>
                <w:b/>
                <w:sz w:val="21"/>
                <w:szCs w:val="21"/>
              </w:rPr>
              <w:t>Center</w:t>
            </w:r>
          </w:p>
        </w:tc>
        <w:tc>
          <w:tcPr>
            <w:tcW w:w="2433" w:type="dxa"/>
            <w:tcBorders>
              <w:top w:val="single" w:sz="18" w:space="0" w:color="auto"/>
              <w:bottom w:val="single" w:sz="18" w:space="0" w:color="auto"/>
            </w:tcBorders>
            <w:tcMar>
              <w:top w:w="100" w:type="dxa"/>
              <w:left w:w="100" w:type="dxa"/>
              <w:bottom w:w="100" w:type="dxa"/>
              <w:right w:w="100" w:type="dxa"/>
            </w:tcMar>
          </w:tcPr>
          <w:p w14:paraId="6130D88C" w14:textId="77777777" w:rsidR="007B2DE2" w:rsidRDefault="00133674" w:rsidP="00540250">
            <w:pPr>
              <w:rPr>
                <w:b/>
                <w:sz w:val="21"/>
                <w:szCs w:val="21"/>
              </w:rPr>
            </w:pPr>
            <w:r>
              <w:rPr>
                <w:b/>
                <w:sz w:val="21"/>
                <w:szCs w:val="21"/>
              </w:rPr>
              <w:t>Average Number Variant Calls Center Specific Arrays</w:t>
            </w:r>
          </w:p>
        </w:tc>
        <w:tc>
          <w:tcPr>
            <w:tcW w:w="2267" w:type="dxa"/>
            <w:tcBorders>
              <w:top w:val="single" w:sz="18" w:space="0" w:color="auto"/>
              <w:bottom w:val="single" w:sz="18" w:space="0" w:color="auto"/>
            </w:tcBorders>
            <w:tcMar>
              <w:top w:w="100" w:type="dxa"/>
              <w:left w:w="100" w:type="dxa"/>
              <w:bottom w:w="100" w:type="dxa"/>
              <w:right w:w="100" w:type="dxa"/>
            </w:tcMar>
          </w:tcPr>
          <w:p w14:paraId="29F053E5" w14:textId="77777777" w:rsidR="007B2DE2" w:rsidRDefault="00133674" w:rsidP="00540250">
            <w:pPr>
              <w:rPr>
                <w:b/>
                <w:sz w:val="21"/>
                <w:szCs w:val="21"/>
              </w:rPr>
            </w:pPr>
            <w:r>
              <w:rPr>
                <w:b/>
                <w:sz w:val="21"/>
                <w:szCs w:val="21"/>
              </w:rPr>
              <w:t>Average Number Variant Calls Intersected Arrays</w:t>
            </w:r>
          </w:p>
        </w:tc>
        <w:tc>
          <w:tcPr>
            <w:tcW w:w="2590" w:type="dxa"/>
            <w:tcBorders>
              <w:top w:val="single" w:sz="18" w:space="0" w:color="auto"/>
              <w:bottom w:val="single" w:sz="18" w:space="0" w:color="auto"/>
            </w:tcBorders>
            <w:tcMar>
              <w:top w:w="100" w:type="dxa"/>
              <w:left w:w="100" w:type="dxa"/>
              <w:bottom w:w="100" w:type="dxa"/>
              <w:right w:w="100" w:type="dxa"/>
            </w:tcMar>
          </w:tcPr>
          <w:p w14:paraId="03CF344A" w14:textId="77777777" w:rsidR="007B2DE2" w:rsidRDefault="00133674" w:rsidP="00540250">
            <w:pPr>
              <w:rPr>
                <w:b/>
                <w:sz w:val="21"/>
                <w:szCs w:val="21"/>
              </w:rPr>
            </w:pPr>
            <w:r>
              <w:rPr>
                <w:b/>
                <w:sz w:val="21"/>
                <w:szCs w:val="21"/>
              </w:rPr>
              <w:t>Average Number Variant Calls AF Filtered Intersected Arrays</w:t>
            </w:r>
          </w:p>
        </w:tc>
      </w:tr>
      <w:tr w:rsidR="00466FE6" w14:paraId="1CB28DB6" w14:textId="77777777" w:rsidTr="00F93CCF">
        <w:trPr>
          <w:trHeight w:val="245"/>
        </w:trPr>
        <w:tc>
          <w:tcPr>
            <w:tcW w:w="2512" w:type="dxa"/>
            <w:tcBorders>
              <w:top w:val="single" w:sz="18" w:space="0" w:color="auto"/>
            </w:tcBorders>
            <w:tcMar>
              <w:top w:w="100" w:type="dxa"/>
              <w:left w:w="100" w:type="dxa"/>
              <w:bottom w:w="100" w:type="dxa"/>
              <w:right w:w="100" w:type="dxa"/>
            </w:tcMar>
          </w:tcPr>
          <w:p w14:paraId="3BF1A690" w14:textId="308C5AE1" w:rsidR="00466FE6" w:rsidRPr="00AA0C87" w:rsidRDefault="00466FE6" w:rsidP="00466FE6">
            <w:pPr>
              <w:rPr>
                <w:b/>
                <w:sz w:val="21"/>
                <w:szCs w:val="21"/>
              </w:rPr>
            </w:pPr>
            <w:r w:rsidRPr="001533AF">
              <w:rPr>
                <w:b/>
                <w:sz w:val="21"/>
              </w:rPr>
              <w:t>HCI-BCM</w:t>
            </w:r>
          </w:p>
        </w:tc>
        <w:tc>
          <w:tcPr>
            <w:tcW w:w="2433" w:type="dxa"/>
            <w:tcBorders>
              <w:top w:val="single" w:sz="18" w:space="0" w:color="auto"/>
            </w:tcBorders>
            <w:tcMar>
              <w:top w:w="100" w:type="dxa"/>
              <w:left w:w="100" w:type="dxa"/>
              <w:bottom w:w="100" w:type="dxa"/>
              <w:right w:w="100" w:type="dxa"/>
            </w:tcMar>
          </w:tcPr>
          <w:p w14:paraId="408FB542" w14:textId="77777777" w:rsidR="00466FE6" w:rsidRDefault="00466FE6" w:rsidP="00466FE6">
            <w:pPr>
              <w:rPr>
                <w:sz w:val="21"/>
                <w:szCs w:val="21"/>
              </w:rPr>
            </w:pPr>
            <w:r>
              <w:rPr>
                <w:sz w:val="21"/>
                <w:szCs w:val="21"/>
              </w:rPr>
              <w:t>77,885.33</w:t>
            </w:r>
          </w:p>
        </w:tc>
        <w:tc>
          <w:tcPr>
            <w:tcW w:w="2267" w:type="dxa"/>
            <w:tcBorders>
              <w:top w:val="single" w:sz="18" w:space="0" w:color="auto"/>
            </w:tcBorders>
            <w:tcMar>
              <w:top w:w="100" w:type="dxa"/>
              <w:left w:w="100" w:type="dxa"/>
              <w:bottom w:w="100" w:type="dxa"/>
              <w:right w:w="100" w:type="dxa"/>
            </w:tcMar>
          </w:tcPr>
          <w:p w14:paraId="642981BC" w14:textId="77777777" w:rsidR="00466FE6" w:rsidRDefault="00466FE6" w:rsidP="00466FE6">
            <w:pPr>
              <w:rPr>
                <w:sz w:val="21"/>
                <w:szCs w:val="21"/>
              </w:rPr>
            </w:pPr>
            <w:r>
              <w:rPr>
                <w:sz w:val="21"/>
                <w:szCs w:val="21"/>
              </w:rPr>
              <w:t>5,333.00</w:t>
            </w:r>
          </w:p>
        </w:tc>
        <w:tc>
          <w:tcPr>
            <w:tcW w:w="2590" w:type="dxa"/>
            <w:tcBorders>
              <w:top w:val="single" w:sz="18" w:space="0" w:color="auto"/>
            </w:tcBorders>
            <w:tcMar>
              <w:top w:w="100" w:type="dxa"/>
              <w:left w:w="100" w:type="dxa"/>
              <w:bottom w:w="100" w:type="dxa"/>
              <w:right w:w="100" w:type="dxa"/>
            </w:tcMar>
            <w:vAlign w:val="bottom"/>
          </w:tcPr>
          <w:p w14:paraId="2763048E" w14:textId="77777777" w:rsidR="00466FE6" w:rsidRDefault="00466FE6" w:rsidP="00466FE6">
            <w:pPr>
              <w:rPr>
                <w:sz w:val="21"/>
                <w:szCs w:val="21"/>
              </w:rPr>
            </w:pPr>
            <w:r>
              <w:rPr>
                <w:sz w:val="21"/>
                <w:szCs w:val="21"/>
              </w:rPr>
              <w:t>3,286.00</w:t>
            </w:r>
          </w:p>
        </w:tc>
      </w:tr>
      <w:tr w:rsidR="00466FE6" w14:paraId="30604B6C" w14:textId="77777777" w:rsidTr="00F93CCF">
        <w:trPr>
          <w:trHeight w:val="110"/>
        </w:trPr>
        <w:tc>
          <w:tcPr>
            <w:tcW w:w="2512" w:type="dxa"/>
            <w:tcMar>
              <w:top w:w="100" w:type="dxa"/>
              <w:left w:w="100" w:type="dxa"/>
              <w:bottom w:w="100" w:type="dxa"/>
              <w:right w:w="100" w:type="dxa"/>
            </w:tcMar>
          </w:tcPr>
          <w:p w14:paraId="08F33598" w14:textId="13873EEF" w:rsidR="00466FE6" w:rsidRPr="00AA0C87" w:rsidRDefault="00466FE6" w:rsidP="00466FE6">
            <w:pPr>
              <w:rPr>
                <w:b/>
                <w:sz w:val="21"/>
                <w:szCs w:val="21"/>
              </w:rPr>
            </w:pPr>
            <w:r w:rsidRPr="001533AF">
              <w:rPr>
                <w:b/>
                <w:sz w:val="21"/>
              </w:rPr>
              <w:t>MDACC</w:t>
            </w:r>
          </w:p>
        </w:tc>
        <w:tc>
          <w:tcPr>
            <w:tcW w:w="2433" w:type="dxa"/>
            <w:tcMar>
              <w:top w:w="100" w:type="dxa"/>
              <w:left w:w="100" w:type="dxa"/>
              <w:bottom w:w="100" w:type="dxa"/>
              <w:right w:w="100" w:type="dxa"/>
            </w:tcMar>
          </w:tcPr>
          <w:p w14:paraId="755BBDB7" w14:textId="77777777" w:rsidR="00466FE6" w:rsidRDefault="00466FE6" w:rsidP="00466FE6">
            <w:pPr>
              <w:rPr>
                <w:sz w:val="21"/>
                <w:szCs w:val="21"/>
              </w:rPr>
            </w:pPr>
            <w:r>
              <w:rPr>
                <w:sz w:val="21"/>
                <w:szCs w:val="21"/>
              </w:rPr>
              <w:t>15,614.33</w:t>
            </w:r>
          </w:p>
        </w:tc>
        <w:tc>
          <w:tcPr>
            <w:tcW w:w="2267" w:type="dxa"/>
            <w:tcMar>
              <w:top w:w="100" w:type="dxa"/>
              <w:left w:w="100" w:type="dxa"/>
              <w:bottom w:w="100" w:type="dxa"/>
              <w:right w:w="100" w:type="dxa"/>
            </w:tcMar>
          </w:tcPr>
          <w:p w14:paraId="5B8A09D8" w14:textId="77777777" w:rsidR="00466FE6" w:rsidRDefault="00466FE6" w:rsidP="00466FE6">
            <w:pPr>
              <w:rPr>
                <w:sz w:val="21"/>
                <w:szCs w:val="21"/>
              </w:rPr>
            </w:pPr>
            <w:r>
              <w:rPr>
                <w:sz w:val="21"/>
                <w:szCs w:val="21"/>
              </w:rPr>
              <w:t>6,253.33</w:t>
            </w:r>
          </w:p>
        </w:tc>
        <w:tc>
          <w:tcPr>
            <w:tcW w:w="2590" w:type="dxa"/>
            <w:tcMar>
              <w:top w:w="100" w:type="dxa"/>
              <w:left w:w="100" w:type="dxa"/>
              <w:bottom w:w="100" w:type="dxa"/>
              <w:right w:w="100" w:type="dxa"/>
            </w:tcMar>
            <w:vAlign w:val="bottom"/>
          </w:tcPr>
          <w:p w14:paraId="59A880C1" w14:textId="77777777" w:rsidR="00466FE6" w:rsidRDefault="00466FE6" w:rsidP="00466FE6">
            <w:pPr>
              <w:rPr>
                <w:sz w:val="21"/>
                <w:szCs w:val="21"/>
              </w:rPr>
            </w:pPr>
            <w:r>
              <w:rPr>
                <w:sz w:val="21"/>
                <w:szCs w:val="21"/>
              </w:rPr>
              <w:t>1,340.67</w:t>
            </w:r>
          </w:p>
        </w:tc>
      </w:tr>
      <w:tr w:rsidR="00466FE6" w14:paraId="5B69CFD8" w14:textId="77777777" w:rsidTr="00F93CCF">
        <w:trPr>
          <w:trHeight w:val="245"/>
        </w:trPr>
        <w:tc>
          <w:tcPr>
            <w:tcW w:w="2512" w:type="dxa"/>
            <w:tcMar>
              <w:top w:w="100" w:type="dxa"/>
              <w:left w:w="100" w:type="dxa"/>
              <w:bottom w:w="100" w:type="dxa"/>
              <w:right w:w="100" w:type="dxa"/>
            </w:tcMar>
          </w:tcPr>
          <w:p w14:paraId="793A49DE" w14:textId="224B3ADC" w:rsidR="00466FE6" w:rsidRPr="00AA0C87" w:rsidRDefault="00466FE6" w:rsidP="00466FE6">
            <w:pPr>
              <w:rPr>
                <w:b/>
                <w:sz w:val="21"/>
                <w:szCs w:val="21"/>
              </w:rPr>
            </w:pPr>
            <w:r w:rsidRPr="001533AF">
              <w:rPr>
                <w:b/>
                <w:sz w:val="21"/>
              </w:rPr>
              <w:t>WUSTL</w:t>
            </w:r>
          </w:p>
        </w:tc>
        <w:tc>
          <w:tcPr>
            <w:tcW w:w="2433" w:type="dxa"/>
            <w:tcMar>
              <w:top w:w="100" w:type="dxa"/>
              <w:left w:w="100" w:type="dxa"/>
              <w:bottom w:w="100" w:type="dxa"/>
              <w:right w:w="100" w:type="dxa"/>
            </w:tcMar>
          </w:tcPr>
          <w:p w14:paraId="4C30CF78" w14:textId="77777777" w:rsidR="00466FE6" w:rsidRDefault="00466FE6" w:rsidP="00466FE6">
            <w:pPr>
              <w:rPr>
                <w:sz w:val="21"/>
                <w:szCs w:val="21"/>
              </w:rPr>
            </w:pPr>
            <w:r>
              <w:rPr>
                <w:sz w:val="21"/>
                <w:szCs w:val="21"/>
              </w:rPr>
              <w:t>14,569.67</w:t>
            </w:r>
          </w:p>
        </w:tc>
        <w:tc>
          <w:tcPr>
            <w:tcW w:w="2267" w:type="dxa"/>
            <w:tcMar>
              <w:top w:w="100" w:type="dxa"/>
              <w:left w:w="100" w:type="dxa"/>
              <w:bottom w:w="100" w:type="dxa"/>
              <w:right w:w="100" w:type="dxa"/>
            </w:tcMar>
          </w:tcPr>
          <w:p w14:paraId="07941852" w14:textId="77777777" w:rsidR="00466FE6" w:rsidRDefault="00466FE6" w:rsidP="00466FE6">
            <w:pPr>
              <w:rPr>
                <w:sz w:val="21"/>
                <w:szCs w:val="21"/>
              </w:rPr>
            </w:pPr>
            <w:r>
              <w:rPr>
                <w:sz w:val="21"/>
                <w:szCs w:val="21"/>
              </w:rPr>
              <w:t>8,103.67</w:t>
            </w:r>
          </w:p>
        </w:tc>
        <w:tc>
          <w:tcPr>
            <w:tcW w:w="2590" w:type="dxa"/>
            <w:tcMar>
              <w:top w:w="100" w:type="dxa"/>
              <w:left w:w="100" w:type="dxa"/>
              <w:bottom w:w="100" w:type="dxa"/>
              <w:right w:w="100" w:type="dxa"/>
            </w:tcMar>
            <w:vAlign w:val="bottom"/>
          </w:tcPr>
          <w:p w14:paraId="5775C094" w14:textId="77777777" w:rsidR="00466FE6" w:rsidRDefault="00466FE6" w:rsidP="00466FE6">
            <w:pPr>
              <w:rPr>
                <w:sz w:val="21"/>
                <w:szCs w:val="21"/>
              </w:rPr>
            </w:pPr>
            <w:r>
              <w:rPr>
                <w:sz w:val="21"/>
                <w:szCs w:val="21"/>
              </w:rPr>
              <w:t>3,274.00</w:t>
            </w:r>
          </w:p>
        </w:tc>
      </w:tr>
      <w:tr w:rsidR="00466FE6" w14:paraId="4F2A5349" w14:textId="77777777" w:rsidTr="001533AF">
        <w:trPr>
          <w:trHeight w:val="200"/>
        </w:trPr>
        <w:tc>
          <w:tcPr>
            <w:tcW w:w="2512" w:type="dxa"/>
            <w:tcBorders>
              <w:bottom w:val="single" w:sz="18" w:space="0" w:color="auto"/>
            </w:tcBorders>
            <w:tcMar>
              <w:top w:w="100" w:type="dxa"/>
              <w:left w:w="100" w:type="dxa"/>
              <w:bottom w:w="100" w:type="dxa"/>
              <w:right w:w="100" w:type="dxa"/>
            </w:tcMar>
          </w:tcPr>
          <w:p w14:paraId="055788C2" w14:textId="3B1DC0EB" w:rsidR="00466FE6" w:rsidRPr="00AA0C87" w:rsidRDefault="00466FE6" w:rsidP="00466FE6">
            <w:pPr>
              <w:rPr>
                <w:b/>
                <w:sz w:val="21"/>
                <w:szCs w:val="21"/>
              </w:rPr>
            </w:pPr>
            <w:r w:rsidRPr="001533AF">
              <w:rPr>
                <w:b/>
                <w:sz w:val="21"/>
              </w:rPr>
              <w:t>WIST</w:t>
            </w:r>
          </w:p>
        </w:tc>
        <w:tc>
          <w:tcPr>
            <w:tcW w:w="2433" w:type="dxa"/>
            <w:tcBorders>
              <w:bottom w:val="single" w:sz="18" w:space="0" w:color="auto"/>
            </w:tcBorders>
            <w:tcMar>
              <w:top w:w="100" w:type="dxa"/>
              <w:left w:w="100" w:type="dxa"/>
              <w:bottom w:w="100" w:type="dxa"/>
              <w:right w:w="100" w:type="dxa"/>
            </w:tcMar>
          </w:tcPr>
          <w:p w14:paraId="0A26348D" w14:textId="77777777" w:rsidR="00466FE6" w:rsidRDefault="00466FE6" w:rsidP="00466FE6">
            <w:pPr>
              <w:rPr>
                <w:sz w:val="21"/>
                <w:szCs w:val="21"/>
              </w:rPr>
            </w:pPr>
            <w:r>
              <w:rPr>
                <w:sz w:val="21"/>
                <w:szCs w:val="21"/>
              </w:rPr>
              <w:t>11,618.00</w:t>
            </w:r>
          </w:p>
        </w:tc>
        <w:tc>
          <w:tcPr>
            <w:tcW w:w="2267" w:type="dxa"/>
            <w:tcBorders>
              <w:bottom w:val="single" w:sz="18" w:space="0" w:color="auto"/>
            </w:tcBorders>
            <w:tcMar>
              <w:top w:w="100" w:type="dxa"/>
              <w:left w:w="100" w:type="dxa"/>
              <w:bottom w:w="100" w:type="dxa"/>
              <w:right w:w="100" w:type="dxa"/>
            </w:tcMar>
          </w:tcPr>
          <w:p w14:paraId="76BAAFEE" w14:textId="77777777" w:rsidR="00466FE6" w:rsidRDefault="00466FE6" w:rsidP="00466FE6">
            <w:pPr>
              <w:rPr>
                <w:sz w:val="21"/>
                <w:szCs w:val="21"/>
              </w:rPr>
            </w:pPr>
            <w:r>
              <w:rPr>
                <w:sz w:val="21"/>
                <w:szCs w:val="21"/>
              </w:rPr>
              <w:t>5,406.00</w:t>
            </w:r>
          </w:p>
        </w:tc>
        <w:tc>
          <w:tcPr>
            <w:tcW w:w="2590" w:type="dxa"/>
            <w:tcBorders>
              <w:bottom w:val="single" w:sz="18" w:space="0" w:color="auto"/>
            </w:tcBorders>
            <w:tcMar>
              <w:top w:w="100" w:type="dxa"/>
              <w:left w:w="100" w:type="dxa"/>
              <w:bottom w:w="100" w:type="dxa"/>
              <w:right w:w="100" w:type="dxa"/>
            </w:tcMar>
            <w:vAlign w:val="bottom"/>
          </w:tcPr>
          <w:p w14:paraId="72FC2BD4" w14:textId="77777777" w:rsidR="00466FE6" w:rsidRDefault="00466FE6" w:rsidP="00466FE6">
            <w:pPr>
              <w:rPr>
                <w:sz w:val="21"/>
                <w:szCs w:val="21"/>
              </w:rPr>
            </w:pPr>
            <w:r>
              <w:rPr>
                <w:sz w:val="21"/>
                <w:szCs w:val="21"/>
              </w:rPr>
              <w:t>3,114.67</w:t>
            </w:r>
          </w:p>
        </w:tc>
      </w:tr>
      <w:tr w:rsidR="00534A04" w14:paraId="2F99983B" w14:textId="77777777" w:rsidTr="00CA6110">
        <w:trPr>
          <w:trHeight w:val="200"/>
        </w:trPr>
        <w:tc>
          <w:tcPr>
            <w:tcW w:w="9802" w:type="dxa"/>
            <w:gridSpan w:val="4"/>
            <w:tcBorders>
              <w:top w:val="single" w:sz="18" w:space="0" w:color="auto"/>
            </w:tcBorders>
            <w:tcMar>
              <w:top w:w="100" w:type="dxa"/>
              <w:left w:w="100" w:type="dxa"/>
              <w:bottom w:w="100" w:type="dxa"/>
              <w:right w:w="100" w:type="dxa"/>
            </w:tcMar>
          </w:tcPr>
          <w:p w14:paraId="2AF2683D" w14:textId="4F866764" w:rsidR="00534A04" w:rsidRDefault="00CA6110" w:rsidP="00534A04">
            <w:r>
              <w:rPr>
                <w:rFonts w:ascii="Arial" w:hAnsi="Arial" w:cs="Arial"/>
                <w:sz w:val="15"/>
                <w:szCs w:val="15"/>
                <w:shd w:val="clear" w:color="auto" w:fill="FFFFFF"/>
              </w:rPr>
              <w:t>HCI-BCM - H</w:t>
            </w:r>
            <w:r w:rsidRPr="009958E8">
              <w:rPr>
                <w:rFonts w:ascii="Arial" w:hAnsi="Arial" w:cs="Arial"/>
                <w:sz w:val="15"/>
                <w:szCs w:val="15"/>
                <w:shd w:val="clear" w:color="auto" w:fill="FFFFFF"/>
              </w:rPr>
              <w:t>untsman Cancer Institute/Baylor College of Medicine</w:t>
            </w:r>
            <w:r>
              <w:rPr>
                <w:rFonts w:ascii="Arial" w:hAnsi="Arial" w:cs="Arial"/>
                <w:sz w:val="15"/>
                <w:szCs w:val="15"/>
                <w:shd w:val="clear" w:color="auto" w:fill="FFFFFF"/>
              </w:rPr>
              <w:t xml:space="preserve">, MDACC - </w:t>
            </w:r>
            <w:r w:rsidRPr="009958E8">
              <w:rPr>
                <w:rFonts w:ascii="Arial" w:hAnsi="Arial" w:cs="Arial"/>
                <w:sz w:val="15"/>
                <w:szCs w:val="15"/>
                <w:shd w:val="clear" w:color="auto" w:fill="FFFFFF"/>
              </w:rPr>
              <w:t>MD Anderson Cancer Center</w:t>
            </w:r>
            <w:r>
              <w:rPr>
                <w:rFonts w:ascii="Arial" w:hAnsi="Arial" w:cs="Arial"/>
                <w:sz w:val="15"/>
                <w:szCs w:val="15"/>
                <w:shd w:val="clear" w:color="auto" w:fill="FFFFFF"/>
              </w:rPr>
              <w:t xml:space="preserve">, WUSTL - </w:t>
            </w:r>
            <w:r w:rsidRPr="009958E8">
              <w:rPr>
                <w:rFonts w:ascii="Arial" w:hAnsi="Arial" w:cs="Arial"/>
                <w:sz w:val="15"/>
                <w:szCs w:val="15"/>
                <w:shd w:val="clear" w:color="auto" w:fill="FFFFFF"/>
              </w:rPr>
              <w:t>Washington University-St. Louis, an</w:t>
            </w:r>
            <w:r>
              <w:rPr>
                <w:rFonts w:ascii="Arial" w:hAnsi="Arial" w:cs="Arial"/>
                <w:sz w:val="15"/>
                <w:szCs w:val="15"/>
                <w:shd w:val="clear" w:color="auto" w:fill="FFFFFF"/>
              </w:rPr>
              <w:t xml:space="preserve">d WIST - </w:t>
            </w:r>
            <w:r w:rsidRPr="009958E8">
              <w:rPr>
                <w:rFonts w:ascii="Arial" w:hAnsi="Arial" w:cs="Arial"/>
                <w:sz w:val="15"/>
                <w:szCs w:val="15"/>
                <w:shd w:val="clear" w:color="auto" w:fill="FFFFFF"/>
              </w:rPr>
              <w:t>The Wistar Institute/University of Pennsylvania/MDACC.</w:t>
            </w:r>
            <w:r w:rsidR="00534A04">
              <w:rPr>
                <w:rFonts w:ascii="Arial" w:hAnsi="Arial" w:cs="Arial"/>
                <w:sz w:val="12"/>
                <w:szCs w:val="12"/>
                <w:shd w:val="clear" w:color="auto" w:fill="FFFFFF"/>
              </w:rPr>
              <w:t xml:space="preserve"> </w:t>
            </w:r>
          </w:p>
          <w:p w14:paraId="118ED54D" w14:textId="77777777" w:rsidR="00534A04" w:rsidRDefault="00534A04" w:rsidP="00466FE6">
            <w:pPr>
              <w:rPr>
                <w:sz w:val="21"/>
                <w:szCs w:val="21"/>
              </w:rPr>
            </w:pPr>
          </w:p>
        </w:tc>
      </w:tr>
    </w:tbl>
    <w:p w14:paraId="25C9E752" w14:textId="77777777" w:rsidR="007B2DE2" w:rsidRDefault="007B2DE2" w:rsidP="00540250">
      <w:pPr>
        <w:rPr>
          <w:b/>
          <w:sz w:val="21"/>
          <w:szCs w:val="21"/>
        </w:rPr>
      </w:pPr>
    </w:p>
    <w:p w14:paraId="3DE172D5" w14:textId="77777777" w:rsidR="005F57CA" w:rsidRDefault="005F57CA" w:rsidP="00540250">
      <w:pPr>
        <w:rPr>
          <w:b/>
          <w:sz w:val="21"/>
          <w:szCs w:val="21"/>
        </w:rPr>
      </w:pPr>
      <w:r>
        <w:rPr>
          <w:b/>
          <w:sz w:val="21"/>
          <w:szCs w:val="21"/>
        </w:rPr>
        <w:br w:type="page"/>
      </w:r>
    </w:p>
    <w:p w14:paraId="7B68F772" w14:textId="5C32C1FC" w:rsidR="007B2DE2" w:rsidRPr="00F93CCF" w:rsidRDefault="00133674" w:rsidP="00540250">
      <w:pPr>
        <w:pStyle w:val="tableheader"/>
      </w:pPr>
      <w:r w:rsidRPr="00F93CCF">
        <w:lastRenderedPageBreak/>
        <w:t xml:space="preserve">Supplementary Table </w:t>
      </w:r>
      <w:r w:rsidR="00044AA7">
        <w:t>6</w:t>
      </w:r>
      <w:r w:rsidR="002B7BE3">
        <w:t>.</w:t>
      </w:r>
      <w:r w:rsidRPr="00F93CCF">
        <w:t xml:space="preserve"> </w:t>
      </w:r>
      <w:r w:rsidRPr="00EB200F">
        <w:rPr>
          <w:b w:val="0"/>
          <w:bCs/>
        </w:rPr>
        <w:t>RNA-Seq library-prep, sequencing type and depth for each sample</w:t>
      </w:r>
    </w:p>
    <w:tbl>
      <w:tblPr>
        <w:tblW w:w="102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260"/>
        <w:gridCol w:w="1260"/>
        <w:gridCol w:w="3330"/>
        <w:gridCol w:w="2070"/>
        <w:gridCol w:w="1530"/>
        <w:gridCol w:w="849"/>
      </w:tblGrid>
      <w:tr w:rsidR="004D62AD" w14:paraId="72A3060C" w14:textId="77777777" w:rsidTr="001533AF">
        <w:trPr>
          <w:gridAfter w:val="1"/>
          <w:wAfter w:w="849" w:type="dxa"/>
          <w:trHeight w:val="231"/>
        </w:trPr>
        <w:tc>
          <w:tcPr>
            <w:tcW w:w="1260" w:type="dxa"/>
            <w:tcBorders>
              <w:top w:val="single" w:sz="18" w:space="0" w:color="000000"/>
              <w:left w:val="nil"/>
              <w:bottom w:val="single" w:sz="18" w:space="0" w:color="000000"/>
              <w:right w:val="nil"/>
            </w:tcBorders>
            <w:tcMar>
              <w:top w:w="100" w:type="dxa"/>
              <w:left w:w="100" w:type="dxa"/>
              <w:bottom w:w="100" w:type="dxa"/>
              <w:right w:w="100" w:type="dxa"/>
            </w:tcMar>
          </w:tcPr>
          <w:p w14:paraId="5B1301B4" w14:textId="77777777" w:rsidR="007B2DE2" w:rsidRPr="00F93CCF" w:rsidRDefault="00133674" w:rsidP="00540250">
            <w:pPr>
              <w:ind w:left="-27"/>
              <w:rPr>
                <w:b/>
                <w:sz w:val="22"/>
              </w:rPr>
            </w:pPr>
            <w:r w:rsidRPr="00F93CCF">
              <w:rPr>
                <w:b/>
                <w:sz w:val="22"/>
              </w:rPr>
              <w:t>Center</w:t>
            </w:r>
          </w:p>
        </w:tc>
        <w:tc>
          <w:tcPr>
            <w:tcW w:w="1260" w:type="dxa"/>
            <w:tcBorders>
              <w:top w:val="single" w:sz="18" w:space="0" w:color="000000"/>
              <w:left w:val="nil"/>
              <w:bottom w:val="single" w:sz="18" w:space="0" w:color="000000"/>
              <w:right w:val="nil"/>
            </w:tcBorders>
            <w:tcMar>
              <w:top w:w="100" w:type="dxa"/>
              <w:left w:w="100" w:type="dxa"/>
              <w:bottom w:w="100" w:type="dxa"/>
              <w:right w:w="100" w:type="dxa"/>
            </w:tcMar>
          </w:tcPr>
          <w:p w14:paraId="03354A9C" w14:textId="77777777" w:rsidR="007B2DE2" w:rsidRPr="00F93CCF" w:rsidRDefault="00133674" w:rsidP="00540250">
            <w:pPr>
              <w:ind w:left="140" w:right="140"/>
              <w:rPr>
                <w:b/>
                <w:sz w:val="22"/>
              </w:rPr>
            </w:pPr>
            <w:r w:rsidRPr="00F93CCF">
              <w:rPr>
                <w:b/>
                <w:sz w:val="22"/>
              </w:rPr>
              <w:t>CaseID</w:t>
            </w:r>
          </w:p>
        </w:tc>
        <w:tc>
          <w:tcPr>
            <w:tcW w:w="3330" w:type="dxa"/>
            <w:tcBorders>
              <w:top w:val="single" w:sz="18" w:space="0" w:color="000000"/>
              <w:left w:val="nil"/>
              <w:bottom w:val="single" w:sz="18" w:space="0" w:color="000000"/>
              <w:right w:val="nil"/>
            </w:tcBorders>
            <w:tcMar>
              <w:top w:w="100" w:type="dxa"/>
              <w:left w:w="100" w:type="dxa"/>
              <w:bottom w:w="100" w:type="dxa"/>
              <w:right w:w="100" w:type="dxa"/>
            </w:tcMar>
          </w:tcPr>
          <w:p w14:paraId="2E7BEB96" w14:textId="77777777" w:rsidR="007B2DE2" w:rsidRPr="00F93CCF" w:rsidRDefault="00133674" w:rsidP="00540250">
            <w:pPr>
              <w:ind w:left="140" w:right="140"/>
              <w:rPr>
                <w:b/>
                <w:sz w:val="22"/>
              </w:rPr>
            </w:pPr>
            <w:r w:rsidRPr="00F93CCF">
              <w:rPr>
                <w:b/>
                <w:sz w:val="22"/>
              </w:rPr>
              <w:t>PrepKit</w:t>
            </w:r>
          </w:p>
        </w:tc>
        <w:tc>
          <w:tcPr>
            <w:tcW w:w="2070" w:type="dxa"/>
            <w:tcBorders>
              <w:top w:val="single" w:sz="18" w:space="0" w:color="000000"/>
              <w:left w:val="nil"/>
              <w:bottom w:val="single" w:sz="18" w:space="0" w:color="000000"/>
              <w:right w:val="nil"/>
            </w:tcBorders>
            <w:tcMar>
              <w:top w:w="100" w:type="dxa"/>
              <w:left w:w="100" w:type="dxa"/>
              <w:bottom w:w="100" w:type="dxa"/>
              <w:right w:w="100" w:type="dxa"/>
            </w:tcMar>
          </w:tcPr>
          <w:p w14:paraId="630993B6" w14:textId="77777777" w:rsidR="007B2DE2" w:rsidRPr="00F93CCF" w:rsidRDefault="00133674" w:rsidP="00540250">
            <w:pPr>
              <w:ind w:left="140" w:right="140"/>
              <w:rPr>
                <w:b/>
                <w:sz w:val="22"/>
              </w:rPr>
            </w:pPr>
            <w:r w:rsidRPr="00F93CCF">
              <w:rPr>
                <w:b/>
                <w:sz w:val="22"/>
              </w:rPr>
              <w:t>Sequencing</w:t>
            </w:r>
          </w:p>
        </w:tc>
        <w:tc>
          <w:tcPr>
            <w:tcW w:w="1530" w:type="dxa"/>
            <w:tcBorders>
              <w:top w:val="single" w:sz="18" w:space="0" w:color="000000"/>
              <w:left w:val="nil"/>
              <w:bottom w:val="single" w:sz="18" w:space="0" w:color="000000"/>
              <w:right w:val="nil"/>
            </w:tcBorders>
            <w:tcMar>
              <w:top w:w="100" w:type="dxa"/>
              <w:left w:w="100" w:type="dxa"/>
              <w:bottom w:w="100" w:type="dxa"/>
              <w:right w:w="100" w:type="dxa"/>
            </w:tcMar>
          </w:tcPr>
          <w:p w14:paraId="0174A322" w14:textId="77777777" w:rsidR="007B2DE2" w:rsidRPr="00F93CCF" w:rsidRDefault="00133674" w:rsidP="00540250">
            <w:pPr>
              <w:ind w:left="140" w:right="140"/>
              <w:rPr>
                <w:b/>
                <w:sz w:val="22"/>
              </w:rPr>
            </w:pPr>
            <w:r w:rsidRPr="00F93CCF">
              <w:rPr>
                <w:b/>
                <w:sz w:val="22"/>
              </w:rPr>
              <w:t>total-reads</w:t>
            </w:r>
          </w:p>
        </w:tc>
      </w:tr>
      <w:tr w:rsidR="004D62AD" w14:paraId="599FF5E0" w14:textId="77777777" w:rsidTr="001533AF">
        <w:trPr>
          <w:gridAfter w:val="1"/>
          <w:wAfter w:w="849" w:type="dxa"/>
          <w:trHeight w:val="551"/>
        </w:trPr>
        <w:tc>
          <w:tcPr>
            <w:tcW w:w="1260" w:type="dxa"/>
            <w:tcBorders>
              <w:top w:val="single" w:sz="18" w:space="0" w:color="000000"/>
              <w:left w:val="nil"/>
              <w:bottom w:val="nil"/>
              <w:right w:val="nil"/>
            </w:tcBorders>
            <w:tcMar>
              <w:top w:w="100" w:type="dxa"/>
              <w:left w:w="100" w:type="dxa"/>
              <w:bottom w:w="100" w:type="dxa"/>
              <w:right w:w="100" w:type="dxa"/>
            </w:tcMar>
          </w:tcPr>
          <w:p w14:paraId="732BEB20" w14:textId="7F7EDDA5" w:rsidR="007B2DE2" w:rsidRPr="00F93CCF" w:rsidRDefault="00466FE6" w:rsidP="00540250">
            <w:pPr>
              <w:ind w:left="-27"/>
              <w:rPr>
                <w:b/>
                <w:sz w:val="20"/>
              </w:rPr>
            </w:pPr>
            <w:r>
              <w:rPr>
                <w:b/>
                <w:sz w:val="20"/>
              </w:rPr>
              <w:t>HCI-BCM</w:t>
            </w:r>
            <w:r w:rsidR="00534A04">
              <w:rPr>
                <w:b/>
                <w:sz w:val="20"/>
              </w:rPr>
              <w:t xml:space="preserve"> </w:t>
            </w:r>
          </w:p>
        </w:tc>
        <w:tc>
          <w:tcPr>
            <w:tcW w:w="1260" w:type="dxa"/>
            <w:tcBorders>
              <w:top w:val="single" w:sz="18" w:space="0" w:color="000000"/>
              <w:left w:val="nil"/>
              <w:bottom w:val="nil"/>
              <w:right w:val="nil"/>
            </w:tcBorders>
            <w:tcMar>
              <w:top w:w="100" w:type="dxa"/>
              <w:left w:w="100" w:type="dxa"/>
              <w:bottom w:w="100" w:type="dxa"/>
              <w:right w:w="100" w:type="dxa"/>
            </w:tcMar>
          </w:tcPr>
          <w:p w14:paraId="76E81E3D" w14:textId="37CE5820" w:rsidR="007B2DE2" w:rsidRPr="00F93CCF" w:rsidRDefault="00466FE6" w:rsidP="00540250">
            <w:pPr>
              <w:ind w:left="140" w:right="140"/>
              <w:rPr>
                <w:sz w:val="20"/>
              </w:rPr>
            </w:pPr>
            <w:r w:rsidRPr="001533AF">
              <w:rPr>
                <w:sz w:val="20"/>
              </w:rPr>
              <w:t>BL0293-F563</w:t>
            </w:r>
          </w:p>
        </w:tc>
        <w:tc>
          <w:tcPr>
            <w:tcW w:w="3330" w:type="dxa"/>
            <w:tcBorders>
              <w:top w:val="single" w:sz="18" w:space="0" w:color="000000"/>
              <w:left w:val="nil"/>
              <w:bottom w:val="nil"/>
              <w:right w:val="nil"/>
            </w:tcBorders>
            <w:tcMar>
              <w:top w:w="100" w:type="dxa"/>
              <w:left w:w="100" w:type="dxa"/>
              <w:bottom w:w="100" w:type="dxa"/>
              <w:right w:w="100" w:type="dxa"/>
            </w:tcMar>
          </w:tcPr>
          <w:p w14:paraId="41DCEE7D" w14:textId="77777777" w:rsidR="007B2DE2" w:rsidRPr="00F93CCF" w:rsidRDefault="00133674" w:rsidP="00540250">
            <w:pPr>
              <w:ind w:left="140" w:right="140"/>
              <w:rPr>
                <w:sz w:val="20"/>
              </w:rPr>
            </w:pPr>
            <w:r w:rsidRPr="00F93CCF">
              <w:rPr>
                <w:sz w:val="20"/>
              </w:rPr>
              <w:t>IlluminaTruSeqStandardRNAkitwithRiboZeroGold</w:t>
            </w:r>
          </w:p>
        </w:tc>
        <w:tc>
          <w:tcPr>
            <w:tcW w:w="2070" w:type="dxa"/>
            <w:tcBorders>
              <w:top w:val="single" w:sz="18" w:space="0" w:color="000000"/>
              <w:left w:val="nil"/>
              <w:bottom w:val="nil"/>
              <w:right w:val="nil"/>
            </w:tcBorders>
            <w:tcMar>
              <w:top w:w="100" w:type="dxa"/>
              <w:left w:w="100" w:type="dxa"/>
              <w:bottom w:w="100" w:type="dxa"/>
              <w:right w:w="100" w:type="dxa"/>
            </w:tcMar>
          </w:tcPr>
          <w:p w14:paraId="53B613A4" w14:textId="77777777" w:rsidR="007B2DE2" w:rsidRPr="00F93CCF" w:rsidRDefault="00133674" w:rsidP="00540250">
            <w:pPr>
              <w:ind w:left="140" w:right="140"/>
              <w:rPr>
                <w:sz w:val="20"/>
              </w:rPr>
            </w:pPr>
            <w:r w:rsidRPr="00F93CCF">
              <w:rPr>
                <w:sz w:val="20"/>
              </w:rPr>
              <w:t>Illumina HiSeq SE</w:t>
            </w:r>
          </w:p>
        </w:tc>
        <w:tc>
          <w:tcPr>
            <w:tcW w:w="1530" w:type="dxa"/>
            <w:tcBorders>
              <w:top w:val="single" w:sz="18" w:space="0" w:color="000000"/>
              <w:left w:val="nil"/>
              <w:bottom w:val="nil"/>
              <w:right w:val="nil"/>
            </w:tcBorders>
            <w:tcMar>
              <w:top w:w="100" w:type="dxa"/>
              <w:left w:w="100" w:type="dxa"/>
              <w:bottom w:w="100" w:type="dxa"/>
              <w:right w:w="100" w:type="dxa"/>
            </w:tcMar>
          </w:tcPr>
          <w:p w14:paraId="0B1C5971" w14:textId="77777777" w:rsidR="007B2DE2" w:rsidRPr="00F93CCF" w:rsidRDefault="00133674" w:rsidP="00540250">
            <w:pPr>
              <w:ind w:left="140" w:right="140"/>
              <w:rPr>
                <w:sz w:val="20"/>
              </w:rPr>
            </w:pPr>
            <w:r w:rsidRPr="00F93CCF">
              <w:rPr>
                <w:sz w:val="20"/>
              </w:rPr>
              <w:t>88,858,611</w:t>
            </w:r>
          </w:p>
        </w:tc>
      </w:tr>
      <w:tr w:rsidR="004D62AD" w14:paraId="7EEA6107" w14:textId="77777777" w:rsidTr="001533AF">
        <w:trPr>
          <w:gridAfter w:val="1"/>
          <w:wAfter w:w="849" w:type="dxa"/>
          <w:trHeight w:val="407"/>
        </w:trPr>
        <w:tc>
          <w:tcPr>
            <w:tcW w:w="1260" w:type="dxa"/>
            <w:tcBorders>
              <w:top w:val="nil"/>
              <w:left w:val="nil"/>
              <w:bottom w:val="nil"/>
              <w:right w:val="nil"/>
            </w:tcBorders>
            <w:tcMar>
              <w:top w:w="100" w:type="dxa"/>
              <w:left w:w="100" w:type="dxa"/>
              <w:bottom w:w="100" w:type="dxa"/>
              <w:right w:w="100" w:type="dxa"/>
            </w:tcMar>
          </w:tcPr>
          <w:p w14:paraId="68A88A8F" w14:textId="4682251B" w:rsidR="007B2DE2" w:rsidRPr="00822044" w:rsidRDefault="007B2DE2" w:rsidP="00540250">
            <w:pPr>
              <w:ind w:left="-27"/>
              <w:rPr>
                <w:sz w:val="20"/>
              </w:rPr>
            </w:pPr>
          </w:p>
        </w:tc>
        <w:tc>
          <w:tcPr>
            <w:tcW w:w="1260" w:type="dxa"/>
            <w:tcBorders>
              <w:top w:val="nil"/>
              <w:left w:val="nil"/>
              <w:bottom w:val="nil"/>
              <w:right w:val="nil"/>
            </w:tcBorders>
            <w:tcMar>
              <w:top w:w="100" w:type="dxa"/>
              <w:left w:w="100" w:type="dxa"/>
              <w:bottom w:w="100" w:type="dxa"/>
              <w:right w:w="100" w:type="dxa"/>
            </w:tcMar>
          </w:tcPr>
          <w:p w14:paraId="24D87747" w14:textId="02178351" w:rsidR="007B2DE2" w:rsidRPr="00822044" w:rsidRDefault="00133674" w:rsidP="00540250">
            <w:pPr>
              <w:ind w:left="140" w:right="140"/>
              <w:rPr>
                <w:sz w:val="20"/>
              </w:rPr>
            </w:pPr>
            <w:r w:rsidRPr="00F93CCF">
              <w:rPr>
                <w:sz w:val="20"/>
              </w:rPr>
              <w:t>172845</w:t>
            </w:r>
            <w:r w:rsidR="00466FE6">
              <w:rPr>
                <w:sz w:val="20"/>
              </w:rPr>
              <w:t>-121-T</w:t>
            </w:r>
          </w:p>
        </w:tc>
        <w:tc>
          <w:tcPr>
            <w:tcW w:w="3330" w:type="dxa"/>
            <w:tcBorders>
              <w:top w:val="nil"/>
              <w:left w:val="nil"/>
              <w:bottom w:val="nil"/>
              <w:right w:val="nil"/>
            </w:tcBorders>
            <w:tcMar>
              <w:top w:w="100" w:type="dxa"/>
              <w:left w:w="100" w:type="dxa"/>
              <w:bottom w:w="100" w:type="dxa"/>
              <w:right w:w="100" w:type="dxa"/>
            </w:tcMar>
          </w:tcPr>
          <w:p w14:paraId="1F64A4C7" w14:textId="77777777" w:rsidR="007B2DE2" w:rsidRPr="00822044" w:rsidRDefault="00133674" w:rsidP="00540250">
            <w:pPr>
              <w:ind w:left="140" w:right="140"/>
              <w:rPr>
                <w:sz w:val="20"/>
              </w:rPr>
            </w:pPr>
            <w:r w:rsidRPr="00F93CCF">
              <w:rPr>
                <w:sz w:val="20"/>
              </w:rPr>
              <w:t>IlluminaTruSeqStandardRNAkitwithRiboZeroGold</w:t>
            </w:r>
          </w:p>
        </w:tc>
        <w:tc>
          <w:tcPr>
            <w:tcW w:w="2070" w:type="dxa"/>
            <w:tcBorders>
              <w:top w:val="nil"/>
              <w:left w:val="nil"/>
              <w:bottom w:val="nil"/>
              <w:right w:val="nil"/>
            </w:tcBorders>
            <w:tcMar>
              <w:top w:w="100" w:type="dxa"/>
              <w:left w:w="100" w:type="dxa"/>
              <w:bottom w:w="100" w:type="dxa"/>
              <w:right w:w="100" w:type="dxa"/>
            </w:tcMar>
          </w:tcPr>
          <w:p w14:paraId="731232CB" w14:textId="77777777" w:rsidR="007B2DE2" w:rsidRPr="00822044" w:rsidRDefault="00133674" w:rsidP="00540250">
            <w:pPr>
              <w:ind w:left="140" w:right="140"/>
              <w:rPr>
                <w:sz w:val="20"/>
              </w:rPr>
            </w:pPr>
            <w:r w:rsidRPr="00F93CCF">
              <w:rPr>
                <w:sz w:val="20"/>
              </w:rPr>
              <w:t>Illumina HiSeq SE</w:t>
            </w:r>
          </w:p>
        </w:tc>
        <w:tc>
          <w:tcPr>
            <w:tcW w:w="1530" w:type="dxa"/>
            <w:tcBorders>
              <w:top w:val="nil"/>
              <w:left w:val="nil"/>
              <w:bottom w:val="nil"/>
              <w:right w:val="nil"/>
            </w:tcBorders>
            <w:tcMar>
              <w:top w:w="100" w:type="dxa"/>
              <w:left w:w="100" w:type="dxa"/>
              <w:bottom w:w="100" w:type="dxa"/>
              <w:right w:w="100" w:type="dxa"/>
            </w:tcMar>
          </w:tcPr>
          <w:p w14:paraId="1C33810C" w14:textId="77777777" w:rsidR="007B2DE2" w:rsidRPr="00822044" w:rsidRDefault="00133674" w:rsidP="00540250">
            <w:pPr>
              <w:ind w:left="140" w:right="140"/>
              <w:rPr>
                <w:sz w:val="20"/>
              </w:rPr>
            </w:pPr>
            <w:r w:rsidRPr="00F93CCF">
              <w:rPr>
                <w:sz w:val="20"/>
              </w:rPr>
              <w:t>83,090,055</w:t>
            </w:r>
          </w:p>
        </w:tc>
      </w:tr>
      <w:tr w:rsidR="004D62AD" w14:paraId="58562EC9" w14:textId="77777777" w:rsidTr="001533AF">
        <w:trPr>
          <w:gridAfter w:val="1"/>
          <w:wAfter w:w="849" w:type="dxa"/>
          <w:trHeight w:val="452"/>
        </w:trPr>
        <w:tc>
          <w:tcPr>
            <w:tcW w:w="1260" w:type="dxa"/>
            <w:tcBorders>
              <w:top w:val="nil"/>
              <w:left w:val="nil"/>
              <w:bottom w:val="single" w:sz="18" w:space="0" w:color="000000"/>
              <w:right w:val="nil"/>
            </w:tcBorders>
            <w:tcMar>
              <w:top w:w="100" w:type="dxa"/>
              <w:left w:w="100" w:type="dxa"/>
              <w:bottom w:w="100" w:type="dxa"/>
              <w:right w:w="100" w:type="dxa"/>
            </w:tcMar>
          </w:tcPr>
          <w:p w14:paraId="0099482D" w14:textId="09D647D1" w:rsidR="007B2DE2" w:rsidRPr="00822044" w:rsidRDefault="007B2DE2" w:rsidP="00540250">
            <w:pPr>
              <w:ind w:left="-27"/>
              <w:rPr>
                <w:sz w:val="20"/>
              </w:rPr>
            </w:pPr>
          </w:p>
        </w:tc>
        <w:tc>
          <w:tcPr>
            <w:tcW w:w="1260" w:type="dxa"/>
            <w:tcBorders>
              <w:top w:val="nil"/>
              <w:left w:val="nil"/>
              <w:bottom w:val="single" w:sz="18" w:space="0" w:color="000000"/>
              <w:right w:val="nil"/>
            </w:tcBorders>
            <w:tcMar>
              <w:top w:w="100" w:type="dxa"/>
              <w:left w:w="100" w:type="dxa"/>
              <w:bottom w:w="100" w:type="dxa"/>
              <w:right w:w="100" w:type="dxa"/>
            </w:tcMar>
          </w:tcPr>
          <w:p w14:paraId="137298ED" w14:textId="5B157D09" w:rsidR="007B2DE2" w:rsidRPr="00822044" w:rsidRDefault="00133674" w:rsidP="00540250">
            <w:pPr>
              <w:ind w:left="140" w:right="140"/>
              <w:rPr>
                <w:sz w:val="20"/>
              </w:rPr>
            </w:pPr>
            <w:r w:rsidRPr="00F93CCF">
              <w:rPr>
                <w:sz w:val="20"/>
              </w:rPr>
              <w:t>625472</w:t>
            </w:r>
            <w:r w:rsidR="00466FE6">
              <w:rPr>
                <w:sz w:val="20"/>
              </w:rPr>
              <w:t>-104-R</w:t>
            </w:r>
          </w:p>
        </w:tc>
        <w:tc>
          <w:tcPr>
            <w:tcW w:w="3330" w:type="dxa"/>
            <w:tcBorders>
              <w:top w:val="nil"/>
              <w:left w:val="nil"/>
              <w:bottom w:val="single" w:sz="18" w:space="0" w:color="000000"/>
              <w:right w:val="nil"/>
            </w:tcBorders>
            <w:tcMar>
              <w:top w:w="100" w:type="dxa"/>
              <w:left w:w="100" w:type="dxa"/>
              <w:bottom w:w="100" w:type="dxa"/>
              <w:right w:w="100" w:type="dxa"/>
            </w:tcMar>
          </w:tcPr>
          <w:p w14:paraId="2E6186E1" w14:textId="77777777" w:rsidR="007B2DE2" w:rsidRPr="00822044" w:rsidRDefault="00133674" w:rsidP="00540250">
            <w:pPr>
              <w:ind w:left="140" w:right="140"/>
              <w:rPr>
                <w:sz w:val="20"/>
              </w:rPr>
            </w:pPr>
            <w:r w:rsidRPr="00F93CCF">
              <w:rPr>
                <w:sz w:val="20"/>
              </w:rPr>
              <w:t>IlluminaTruSeqStandardRNAkitwithRiboZeroGold</w:t>
            </w:r>
          </w:p>
        </w:tc>
        <w:tc>
          <w:tcPr>
            <w:tcW w:w="2070" w:type="dxa"/>
            <w:tcBorders>
              <w:top w:val="nil"/>
              <w:left w:val="nil"/>
              <w:bottom w:val="single" w:sz="18" w:space="0" w:color="000000"/>
              <w:right w:val="nil"/>
            </w:tcBorders>
            <w:tcMar>
              <w:top w:w="100" w:type="dxa"/>
              <w:left w:w="100" w:type="dxa"/>
              <w:bottom w:w="100" w:type="dxa"/>
              <w:right w:w="100" w:type="dxa"/>
            </w:tcMar>
          </w:tcPr>
          <w:p w14:paraId="6E802F5A" w14:textId="77777777" w:rsidR="007B2DE2" w:rsidRPr="00822044" w:rsidRDefault="00133674" w:rsidP="00540250">
            <w:pPr>
              <w:ind w:left="140" w:right="140"/>
              <w:rPr>
                <w:sz w:val="20"/>
              </w:rPr>
            </w:pPr>
            <w:r w:rsidRPr="00F93CCF">
              <w:rPr>
                <w:sz w:val="20"/>
              </w:rPr>
              <w:t>Illumina HiSeq SE</w:t>
            </w:r>
          </w:p>
        </w:tc>
        <w:tc>
          <w:tcPr>
            <w:tcW w:w="1530" w:type="dxa"/>
            <w:tcBorders>
              <w:top w:val="nil"/>
              <w:left w:val="nil"/>
              <w:bottom w:val="single" w:sz="18" w:space="0" w:color="000000"/>
              <w:right w:val="nil"/>
            </w:tcBorders>
            <w:tcMar>
              <w:top w:w="100" w:type="dxa"/>
              <w:left w:w="100" w:type="dxa"/>
              <w:bottom w:w="100" w:type="dxa"/>
              <w:right w:w="100" w:type="dxa"/>
            </w:tcMar>
          </w:tcPr>
          <w:p w14:paraId="46A58E70" w14:textId="77777777" w:rsidR="007B2DE2" w:rsidRPr="00822044" w:rsidRDefault="00133674" w:rsidP="00540250">
            <w:pPr>
              <w:ind w:left="140" w:right="140"/>
              <w:rPr>
                <w:sz w:val="20"/>
              </w:rPr>
            </w:pPr>
            <w:r w:rsidRPr="00F93CCF">
              <w:rPr>
                <w:sz w:val="20"/>
              </w:rPr>
              <w:t>99,052,483</w:t>
            </w:r>
          </w:p>
        </w:tc>
      </w:tr>
      <w:tr w:rsidR="004D62AD" w14:paraId="4F11F98D" w14:textId="77777777" w:rsidTr="001533AF">
        <w:trPr>
          <w:gridAfter w:val="1"/>
          <w:wAfter w:w="849" w:type="dxa"/>
          <w:trHeight w:val="398"/>
        </w:trPr>
        <w:tc>
          <w:tcPr>
            <w:tcW w:w="1260" w:type="dxa"/>
            <w:tcBorders>
              <w:top w:val="single" w:sz="18" w:space="0" w:color="000000"/>
              <w:left w:val="nil"/>
              <w:bottom w:val="nil"/>
              <w:right w:val="nil"/>
            </w:tcBorders>
            <w:tcMar>
              <w:top w:w="100" w:type="dxa"/>
              <w:left w:w="100" w:type="dxa"/>
              <w:bottom w:w="100" w:type="dxa"/>
              <w:right w:w="100" w:type="dxa"/>
            </w:tcMar>
          </w:tcPr>
          <w:p w14:paraId="7D4DB586" w14:textId="626AAE77" w:rsidR="00466FE6" w:rsidRPr="00F93CCF" w:rsidRDefault="00466FE6" w:rsidP="00466FE6">
            <w:pPr>
              <w:ind w:left="-27"/>
              <w:rPr>
                <w:b/>
                <w:sz w:val="20"/>
              </w:rPr>
            </w:pPr>
            <w:r>
              <w:rPr>
                <w:b/>
                <w:sz w:val="20"/>
              </w:rPr>
              <w:t>MDACC</w:t>
            </w:r>
          </w:p>
        </w:tc>
        <w:tc>
          <w:tcPr>
            <w:tcW w:w="1260" w:type="dxa"/>
            <w:tcBorders>
              <w:top w:val="single" w:sz="18" w:space="0" w:color="000000"/>
              <w:left w:val="nil"/>
              <w:bottom w:val="nil"/>
              <w:right w:val="nil"/>
            </w:tcBorders>
            <w:tcMar>
              <w:top w:w="100" w:type="dxa"/>
              <w:left w:w="100" w:type="dxa"/>
              <w:bottom w:w="100" w:type="dxa"/>
              <w:right w:w="100" w:type="dxa"/>
            </w:tcMar>
          </w:tcPr>
          <w:p w14:paraId="2939D416" w14:textId="31B4072A" w:rsidR="00466FE6" w:rsidRPr="00F93CCF" w:rsidRDefault="00466FE6" w:rsidP="00466FE6">
            <w:pPr>
              <w:ind w:left="140" w:right="140"/>
              <w:rPr>
                <w:sz w:val="20"/>
              </w:rPr>
            </w:pPr>
            <w:r w:rsidRPr="00A045C1">
              <w:rPr>
                <w:sz w:val="20"/>
              </w:rPr>
              <w:t>BL0293-F563</w:t>
            </w:r>
          </w:p>
        </w:tc>
        <w:tc>
          <w:tcPr>
            <w:tcW w:w="3330" w:type="dxa"/>
            <w:tcBorders>
              <w:top w:val="single" w:sz="18" w:space="0" w:color="000000"/>
              <w:left w:val="nil"/>
              <w:bottom w:val="nil"/>
              <w:right w:val="nil"/>
            </w:tcBorders>
            <w:tcMar>
              <w:top w:w="100" w:type="dxa"/>
              <w:left w:w="100" w:type="dxa"/>
              <w:bottom w:w="100" w:type="dxa"/>
              <w:right w:w="100" w:type="dxa"/>
            </w:tcMar>
          </w:tcPr>
          <w:p w14:paraId="2A8A13F4" w14:textId="77777777" w:rsidR="00466FE6" w:rsidRPr="002004D7" w:rsidRDefault="00466FE6" w:rsidP="00466FE6">
            <w:pPr>
              <w:ind w:left="140" w:right="140"/>
              <w:rPr>
                <w:sz w:val="20"/>
                <w:lang w:val="sv-SE"/>
              </w:rPr>
            </w:pPr>
            <w:r w:rsidRPr="002004D7">
              <w:rPr>
                <w:sz w:val="20"/>
                <w:lang w:val="sv-SE"/>
              </w:rPr>
              <w:t>Kapa stranded mRNA-Seq Kit</w:t>
            </w:r>
          </w:p>
        </w:tc>
        <w:tc>
          <w:tcPr>
            <w:tcW w:w="2070" w:type="dxa"/>
            <w:tcBorders>
              <w:top w:val="single" w:sz="18" w:space="0" w:color="000000"/>
              <w:left w:val="nil"/>
              <w:bottom w:val="nil"/>
              <w:right w:val="nil"/>
            </w:tcBorders>
            <w:tcMar>
              <w:top w:w="100" w:type="dxa"/>
              <w:left w:w="100" w:type="dxa"/>
              <w:bottom w:w="100" w:type="dxa"/>
              <w:right w:w="100" w:type="dxa"/>
            </w:tcMar>
          </w:tcPr>
          <w:p w14:paraId="0E2C47D1" w14:textId="77777777" w:rsidR="00466FE6" w:rsidRPr="00F93CCF" w:rsidRDefault="00466FE6" w:rsidP="00466FE6">
            <w:pPr>
              <w:ind w:left="140" w:right="140"/>
              <w:rPr>
                <w:sz w:val="20"/>
              </w:rPr>
            </w:pPr>
            <w:r w:rsidRPr="00F93CCF">
              <w:rPr>
                <w:sz w:val="20"/>
              </w:rPr>
              <w:t>Illumina HiSeq PE</w:t>
            </w:r>
          </w:p>
        </w:tc>
        <w:tc>
          <w:tcPr>
            <w:tcW w:w="1530" w:type="dxa"/>
            <w:tcBorders>
              <w:top w:val="single" w:sz="18" w:space="0" w:color="000000"/>
              <w:left w:val="nil"/>
              <w:bottom w:val="nil"/>
              <w:right w:val="nil"/>
            </w:tcBorders>
            <w:tcMar>
              <w:top w:w="100" w:type="dxa"/>
              <w:left w:w="100" w:type="dxa"/>
              <w:bottom w:w="100" w:type="dxa"/>
              <w:right w:w="100" w:type="dxa"/>
            </w:tcMar>
          </w:tcPr>
          <w:p w14:paraId="53CBDE0A" w14:textId="77777777" w:rsidR="00466FE6" w:rsidRPr="00F93CCF" w:rsidRDefault="00466FE6" w:rsidP="00466FE6">
            <w:pPr>
              <w:ind w:left="140" w:right="140"/>
              <w:rPr>
                <w:sz w:val="20"/>
              </w:rPr>
            </w:pPr>
            <w:r w:rsidRPr="00F93CCF">
              <w:rPr>
                <w:sz w:val="20"/>
              </w:rPr>
              <w:t>86,514,781</w:t>
            </w:r>
          </w:p>
        </w:tc>
      </w:tr>
      <w:tr w:rsidR="004D62AD" w14:paraId="35359F44" w14:textId="77777777" w:rsidTr="001533AF">
        <w:trPr>
          <w:gridAfter w:val="1"/>
          <w:wAfter w:w="849" w:type="dxa"/>
          <w:trHeight w:val="335"/>
        </w:trPr>
        <w:tc>
          <w:tcPr>
            <w:tcW w:w="1260" w:type="dxa"/>
            <w:tcBorders>
              <w:top w:val="nil"/>
              <w:left w:val="nil"/>
              <w:bottom w:val="nil"/>
              <w:right w:val="nil"/>
            </w:tcBorders>
            <w:tcMar>
              <w:top w:w="100" w:type="dxa"/>
              <w:left w:w="100" w:type="dxa"/>
              <w:bottom w:w="100" w:type="dxa"/>
              <w:right w:w="100" w:type="dxa"/>
            </w:tcMar>
          </w:tcPr>
          <w:p w14:paraId="7F9F80D8" w14:textId="7C8DC994" w:rsidR="00466FE6" w:rsidRPr="00822044" w:rsidRDefault="00466FE6" w:rsidP="00466FE6">
            <w:pPr>
              <w:ind w:left="-27"/>
              <w:rPr>
                <w:sz w:val="20"/>
              </w:rPr>
            </w:pPr>
          </w:p>
        </w:tc>
        <w:tc>
          <w:tcPr>
            <w:tcW w:w="1260" w:type="dxa"/>
            <w:tcBorders>
              <w:top w:val="nil"/>
              <w:left w:val="nil"/>
              <w:bottom w:val="nil"/>
              <w:right w:val="nil"/>
            </w:tcBorders>
            <w:tcMar>
              <w:top w:w="100" w:type="dxa"/>
              <w:left w:w="100" w:type="dxa"/>
              <w:bottom w:w="100" w:type="dxa"/>
              <w:right w:w="100" w:type="dxa"/>
            </w:tcMar>
          </w:tcPr>
          <w:p w14:paraId="251ECA84" w14:textId="62839A5E" w:rsidR="00466FE6" w:rsidRPr="00822044" w:rsidRDefault="00466FE6" w:rsidP="00466FE6">
            <w:pPr>
              <w:ind w:left="140" w:right="140"/>
              <w:rPr>
                <w:sz w:val="20"/>
              </w:rPr>
            </w:pPr>
            <w:r w:rsidRPr="00F93CCF">
              <w:rPr>
                <w:sz w:val="20"/>
              </w:rPr>
              <w:t>172845</w:t>
            </w:r>
            <w:r>
              <w:rPr>
                <w:sz w:val="20"/>
              </w:rPr>
              <w:t>-121-T</w:t>
            </w:r>
          </w:p>
        </w:tc>
        <w:tc>
          <w:tcPr>
            <w:tcW w:w="3330" w:type="dxa"/>
            <w:tcBorders>
              <w:top w:val="nil"/>
              <w:left w:val="nil"/>
              <w:bottom w:val="nil"/>
              <w:right w:val="nil"/>
            </w:tcBorders>
            <w:tcMar>
              <w:top w:w="100" w:type="dxa"/>
              <w:left w:w="100" w:type="dxa"/>
              <w:bottom w:w="100" w:type="dxa"/>
              <w:right w:w="100" w:type="dxa"/>
            </w:tcMar>
          </w:tcPr>
          <w:p w14:paraId="294C0119" w14:textId="77777777" w:rsidR="00466FE6" w:rsidRPr="002004D7" w:rsidRDefault="00466FE6" w:rsidP="00466FE6">
            <w:pPr>
              <w:ind w:left="140" w:right="140"/>
              <w:rPr>
                <w:sz w:val="20"/>
                <w:lang w:val="sv-SE"/>
              </w:rPr>
            </w:pPr>
            <w:r w:rsidRPr="002004D7">
              <w:rPr>
                <w:sz w:val="20"/>
                <w:lang w:val="sv-SE"/>
              </w:rPr>
              <w:t>Kapa stranded mRNA-Seq Kit</w:t>
            </w:r>
          </w:p>
        </w:tc>
        <w:tc>
          <w:tcPr>
            <w:tcW w:w="2070" w:type="dxa"/>
            <w:tcBorders>
              <w:top w:val="nil"/>
              <w:left w:val="nil"/>
              <w:bottom w:val="nil"/>
              <w:right w:val="nil"/>
            </w:tcBorders>
            <w:tcMar>
              <w:top w:w="100" w:type="dxa"/>
              <w:left w:w="100" w:type="dxa"/>
              <w:bottom w:w="100" w:type="dxa"/>
              <w:right w:w="100" w:type="dxa"/>
            </w:tcMar>
          </w:tcPr>
          <w:p w14:paraId="63D2D912" w14:textId="77777777" w:rsidR="00466FE6" w:rsidRPr="00822044" w:rsidRDefault="00466FE6" w:rsidP="00466FE6">
            <w:pPr>
              <w:ind w:left="140" w:right="140"/>
              <w:rPr>
                <w:sz w:val="20"/>
              </w:rPr>
            </w:pPr>
            <w:r w:rsidRPr="00F93CCF">
              <w:rPr>
                <w:sz w:val="20"/>
              </w:rPr>
              <w:t>Illumina HiSeq PE</w:t>
            </w:r>
          </w:p>
        </w:tc>
        <w:tc>
          <w:tcPr>
            <w:tcW w:w="1530" w:type="dxa"/>
            <w:tcBorders>
              <w:top w:val="nil"/>
              <w:left w:val="nil"/>
              <w:bottom w:val="nil"/>
              <w:right w:val="nil"/>
            </w:tcBorders>
            <w:tcMar>
              <w:top w:w="100" w:type="dxa"/>
              <w:left w:w="100" w:type="dxa"/>
              <w:bottom w:w="100" w:type="dxa"/>
              <w:right w:w="100" w:type="dxa"/>
            </w:tcMar>
          </w:tcPr>
          <w:p w14:paraId="2ADE8233" w14:textId="77777777" w:rsidR="00466FE6" w:rsidRPr="00822044" w:rsidRDefault="00466FE6" w:rsidP="00466FE6">
            <w:pPr>
              <w:ind w:left="140" w:right="140"/>
              <w:rPr>
                <w:sz w:val="20"/>
              </w:rPr>
            </w:pPr>
            <w:r w:rsidRPr="00F93CCF">
              <w:rPr>
                <w:sz w:val="20"/>
              </w:rPr>
              <w:t>71,158,865</w:t>
            </w:r>
          </w:p>
        </w:tc>
      </w:tr>
      <w:tr w:rsidR="004D62AD" w14:paraId="248CF5AF" w14:textId="77777777" w:rsidTr="001533AF">
        <w:trPr>
          <w:gridAfter w:val="1"/>
          <w:wAfter w:w="849" w:type="dxa"/>
          <w:trHeight w:val="299"/>
        </w:trPr>
        <w:tc>
          <w:tcPr>
            <w:tcW w:w="1260" w:type="dxa"/>
            <w:tcBorders>
              <w:top w:val="nil"/>
              <w:left w:val="nil"/>
              <w:bottom w:val="single" w:sz="18" w:space="0" w:color="auto"/>
              <w:right w:val="nil"/>
            </w:tcBorders>
            <w:tcMar>
              <w:top w:w="100" w:type="dxa"/>
              <w:left w:w="100" w:type="dxa"/>
              <w:bottom w:w="100" w:type="dxa"/>
              <w:right w:w="100" w:type="dxa"/>
            </w:tcMar>
          </w:tcPr>
          <w:p w14:paraId="652BCB24" w14:textId="667B3CDB" w:rsidR="00466FE6" w:rsidRPr="00822044" w:rsidRDefault="00466FE6" w:rsidP="00466FE6">
            <w:pPr>
              <w:ind w:left="-27"/>
              <w:rPr>
                <w:sz w:val="20"/>
              </w:rPr>
            </w:pPr>
          </w:p>
        </w:tc>
        <w:tc>
          <w:tcPr>
            <w:tcW w:w="1260" w:type="dxa"/>
            <w:tcBorders>
              <w:top w:val="nil"/>
              <w:left w:val="nil"/>
              <w:bottom w:val="single" w:sz="18" w:space="0" w:color="auto"/>
              <w:right w:val="nil"/>
            </w:tcBorders>
            <w:tcMar>
              <w:top w:w="100" w:type="dxa"/>
              <w:left w:w="100" w:type="dxa"/>
              <w:bottom w:w="100" w:type="dxa"/>
              <w:right w:w="100" w:type="dxa"/>
            </w:tcMar>
          </w:tcPr>
          <w:p w14:paraId="5C1D234E" w14:textId="6DC5E642" w:rsidR="00466FE6" w:rsidRPr="00822044" w:rsidRDefault="00466FE6" w:rsidP="00466FE6">
            <w:pPr>
              <w:ind w:left="140" w:right="140"/>
              <w:rPr>
                <w:sz w:val="20"/>
              </w:rPr>
            </w:pPr>
            <w:r w:rsidRPr="00F93CCF">
              <w:rPr>
                <w:sz w:val="20"/>
              </w:rPr>
              <w:t>625472</w:t>
            </w:r>
            <w:r>
              <w:rPr>
                <w:sz w:val="20"/>
              </w:rPr>
              <w:t>-104-R</w:t>
            </w:r>
          </w:p>
        </w:tc>
        <w:tc>
          <w:tcPr>
            <w:tcW w:w="3330" w:type="dxa"/>
            <w:tcBorders>
              <w:top w:val="nil"/>
              <w:left w:val="nil"/>
              <w:bottom w:val="single" w:sz="18" w:space="0" w:color="auto"/>
              <w:right w:val="nil"/>
            </w:tcBorders>
            <w:tcMar>
              <w:top w:w="100" w:type="dxa"/>
              <w:left w:w="100" w:type="dxa"/>
              <w:bottom w:w="100" w:type="dxa"/>
              <w:right w:w="100" w:type="dxa"/>
            </w:tcMar>
          </w:tcPr>
          <w:p w14:paraId="64E05182" w14:textId="77777777" w:rsidR="00466FE6" w:rsidRPr="002004D7" w:rsidRDefault="00466FE6" w:rsidP="00466FE6">
            <w:pPr>
              <w:ind w:left="140" w:right="140"/>
              <w:rPr>
                <w:sz w:val="20"/>
                <w:lang w:val="sv-SE"/>
              </w:rPr>
            </w:pPr>
            <w:r w:rsidRPr="002004D7">
              <w:rPr>
                <w:sz w:val="20"/>
                <w:lang w:val="sv-SE"/>
              </w:rPr>
              <w:t>Kapa stranded mRNA-Seq Kit</w:t>
            </w:r>
          </w:p>
        </w:tc>
        <w:tc>
          <w:tcPr>
            <w:tcW w:w="2070" w:type="dxa"/>
            <w:tcBorders>
              <w:top w:val="nil"/>
              <w:left w:val="nil"/>
              <w:bottom w:val="single" w:sz="18" w:space="0" w:color="auto"/>
              <w:right w:val="nil"/>
            </w:tcBorders>
            <w:tcMar>
              <w:top w:w="100" w:type="dxa"/>
              <w:left w:w="100" w:type="dxa"/>
              <w:bottom w:w="100" w:type="dxa"/>
              <w:right w:w="100" w:type="dxa"/>
            </w:tcMar>
          </w:tcPr>
          <w:p w14:paraId="0CA3D0D4" w14:textId="77777777" w:rsidR="00466FE6" w:rsidRPr="00822044" w:rsidRDefault="00466FE6" w:rsidP="00466FE6">
            <w:pPr>
              <w:ind w:left="140" w:right="140"/>
              <w:rPr>
                <w:sz w:val="20"/>
              </w:rPr>
            </w:pPr>
            <w:r w:rsidRPr="00F93CCF">
              <w:rPr>
                <w:sz w:val="20"/>
              </w:rPr>
              <w:t>Illumina HiSeq PE</w:t>
            </w:r>
          </w:p>
        </w:tc>
        <w:tc>
          <w:tcPr>
            <w:tcW w:w="1530" w:type="dxa"/>
            <w:tcBorders>
              <w:top w:val="nil"/>
              <w:left w:val="nil"/>
              <w:bottom w:val="single" w:sz="18" w:space="0" w:color="auto"/>
              <w:right w:val="nil"/>
            </w:tcBorders>
            <w:tcMar>
              <w:top w:w="100" w:type="dxa"/>
              <w:left w:w="100" w:type="dxa"/>
              <w:bottom w:w="100" w:type="dxa"/>
              <w:right w:w="100" w:type="dxa"/>
            </w:tcMar>
          </w:tcPr>
          <w:p w14:paraId="038F1E60" w14:textId="77777777" w:rsidR="00466FE6" w:rsidRPr="00822044" w:rsidRDefault="00466FE6" w:rsidP="00466FE6">
            <w:pPr>
              <w:ind w:left="140" w:right="140"/>
              <w:rPr>
                <w:sz w:val="20"/>
              </w:rPr>
            </w:pPr>
            <w:r w:rsidRPr="00F93CCF">
              <w:rPr>
                <w:sz w:val="20"/>
              </w:rPr>
              <w:t>67,009,735</w:t>
            </w:r>
          </w:p>
        </w:tc>
      </w:tr>
      <w:tr w:rsidR="004D62AD" w14:paraId="532BFF49" w14:textId="77777777" w:rsidTr="001533AF">
        <w:trPr>
          <w:gridAfter w:val="1"/>
          <w:wAfter w:w="849" w:type="dxa"/>
          <w:trHeight w:val="326"/>
        </w:trPr>
        <w:tc>
          <w:tcPr>
            <w:tcW w:w="1260" w:type="dxa"/>
            <w:tcBorders>
              <w:top w:val="single" w:sz="18" w:space="0" w:color="auto"/>
              <w:left w:val="nil"/>
              <w:bottom w:val="nil"/>
              <w:right w:val="nil"/>
            </w:tcBorders>
            <w:tcMar>
              <w:top w:w="100" w:type="dxa"/>
              <w:left w:w="100" w:type="dxa"/>
              <w:bottom w:w="100" w:type="dxa"/>
              <w:right w:w="100" w:type="dxa"/>
            </w:tcMar>
          </w:tcPr>
          <w:p w14:paraId="4EBA05E0" w14:textId="5C1F5136" w:rsidR="00466FE6" w:rsidRPr="00822044" w:rsidRDefault="00466FE6" w:rsidP="00466FE6">
            <w:pPr>
              <w:ind w:left="-27"/>
              <w:rPr>
                <w:b/>
                <w:sz w:val="20"/>
              </w:rPr>
            </w:pPr>
            <w:r>
              <w:rPr>
                <w:b/>
                <w:bCs/>
                <w:sz w:val="20"/>
                <w:szCs w:val="20"/>
              </w:rPr>
              <w:t>WUSTL</w:t>
            </w:r>
          </w:p>
        </w:tc>
        <w:tc>
          <w:tcPr>
            <w:tcW w:w="1260" w:type="dxa"/>
            <w:tcBorders>
              <w:top w:val="single" w:sz="18" w:space="0" w:color="auto"/>
              <w:left w:val="nil"/>
              <w:bottom w:val="nil"/>
              <w:right w:val="nil"/>
            </w:tcBorders>
            <w:tcMar>
              <w:top w:w="100" w:type="dxa"/>
              <w:left w:w="100" w:type="dxa"/>
              <w:bottom w:w="100" w:type="dxa"/>
              <w:right w:w="100" w:type="dxa"/>
            </w:tcMar>
          </w:tcPr>
          <w:p w14:paraId="51805145" w14:textId="387B595D" w:rsidR="00466FE6" w:rsidRPr="00822044" w:rsidRDefault="00466FE6" w:rsidP="00466FE6">
            <w:pPr>
              <w:ind w:left="140" w:right="140"/>
              <w:rPr>
                <w:sz w:val="20"/>
              </w:rPr>
            </w:pPr>
            <w:r w:rsidRPr="00A045C1">
              <w:rPr>
                <w:sz w:val="20"/>
              </w:rPr>
              <w:t>BL0293-F563</w:t>
            </w:r>
          </w:p>
        </w:tc>
        <w:tc>
          <w:tcPr>
            <w:tcW w:w="3330" w:type="dxa"/>
            <w:tcBorders>
              <w:top w:val="single" w:sz="18" w:space="0" w:color="auto"/>
              <w:left w:val="nil"/>
              <w:bottom w:val="nil"/>
              <w:right w:val="nil"/>
            </w:tcBorders>
            <w:tcMar>
              <w:top w:w="100" w:type="dxa"/>
              <w:left w:w="100" w:type="dxa"/>
              <w:bottom w:w="100" w:type="dxa"/>
              <w:right w:w="100" w:type="dxa"/>
            </w:tcMar>
          </w:tcPr>
          <w:p w14:paraId="42BA9750" w14:textId="77777777" w:rsidR="00466FE6" w:rsidRPr="00822044" w:rsidRDefault="00466FE6" w:rsidP="00466FE6">
            <w:pPr>
              <w:ind w:left="140" w:right="140"/>
              <w:rPr>
                <w:sz w:val="20"/>
              </w:rPr>
            </w:pPr>
            <w:r w:rsidRPr="00F93CCF">
              <w:rPr>
                <w:sz w:val="20"/>
              </w:rPr>
              <w:t>TruSeq Stranded Total RNA</w:t>
            </w:r>
          </w:p>
        </w:tc>
        <w:tc>
          <w:tcPr>
            <w:tcW w:w="2070" w:type="dxa"/>
            <w:tcBorders>
              <w:top w:val="single" w:sz="18" w:space="0" w:color="auto"/>
              <w:left w:val="nil"/>
              <w:bottom w:val="nil"/>
              <w:right w:val="nil"/>
            </w:tcBorders>
            <w:tcMar>
              <w:top w:w="100" w:type="dxa"/>
              <w:left w:w="100" w:type="dxa"/>
              <w:bottom w:w="100" w:type="dxa"/>
              <w:right w:w="100" w:type="dxa"/>
            </w:tcMar>
          </w:tcPr>
          <w:p w14:paraId="0B4BAA56" w14:textId="77777777" w:rsidR="00466FE6" w:rsidRPr="00822044" w:rsidRDefault="00466FE6" w:rsidP="00466FE6">
            <w:pPr>
              <w:ind w:left="140" w:right="140"/>
              <w:rPr>
                <w:sz w:val="20"/>
              </w:rPr>
            </w:pPr>
            <w:r w:rsidRPr="00F93CCF">
              <w:rPr>
                <w:sz w:val="20"/>
              </w:rPr>
              <w:t>NovaSeq S4 PE</w:t>
            </w:r>
          </w:p>
        </w:tc>
        <w:tc>
          <w:tcPr>
            <w:tcW w:w="1530" w:type="dxa"/>
            <w:tcBorders>
              <w:top w:val="single" w:sz="18" w:space="0" w:color="auto"/>
              <w:left w:val="nil"/>
              <w:bottom w:val="nil"/>
              <w:right w:val="nil"/>
            </w:tcBorders>
            <w:tcMar>
              <w:top w:w="100" w:type="dxa"/>
              <w:left w:w="100" w:type="dxa"/>
              <w:bottom w:w="100" w:type="dxa"/>
              <w:right w:w="100" w:type="dxa"/>
            </w:tcMar>
          </w:tcPr>
          <w:p w14:paraId="70D269A6" w14:textId="77777777" w:rsidR="00466FE6" w:rsidRPr="00822044" w:rsidRDefault="00466FE6" w:rsidP="00466FE6">
            <w:pPr>
              <w:ind w:left="140" w:right="140"/>
              <w:rPr>
                <w:sz w:val="20"/>
              </w:rPr>
            </w:pPr>
            <w:r w:rsidRPr="00F93CCF">
              <w:rPr>
                <w:sz w:val="20"/>
              </w:rPr>
              <w:t>44,188,536</w:t>
            </w:r>
          </w:p>
        </w:tc>
      </w:tr>
      <w:tr w:rsidR="004D62AD" w14:paraId="1C68E520" w14:textId="77777777" w:rsidTr="001533AF">
        <w:trPr>
          <w:gridAfter w:val="1"/>
          <w:wAfter w:w="849" w:type="dxa"/>
          <w:trHeight w:val="290"/>
        </w:trPr>
        <w:tc>
          <w:tcPr>
            <w:tcW w:w="1260" w:type="dxa"/>
            <w:tcBorders>
              <w:top w:val="nil"/>
              <w:left w:val="nil"/>
              <w:bottom w:val="nil"/>
              <w:right w:val="nil"/>
            </w:tcBorders>
            <w:tcMar>
              <w:top w:w="100" w:type="dxa"/>
              <w:left w:w="100" w:type="dxa"/>
              <w:bottom w:w="100" w:type="dxa"/>
              <w:right w:w="100" w:type="dxa"/>
            </w:tcMar>
          </w:tcPr>
          <w:p w14:paraId="59ED88A2" w14:textId="7C8A2307" w:rsidR="00466FE6" w:rsidRPr="00822044" w:rsidRDefault="00466FE6" w:rsidP="00466FE6">
            <w:pPr>
              <w:ind w:left="-27"/>
              <w:rPr>
                <w:sz w:val="20"/>
              </w:rPr>
            </w:pPr>
          </w:p>
        </w:tc>
        <w:tc>
          <w:tcPr>
            <w:tcW w:w="1260" w:type="dxa"/>
            <w:tcBorders>
              <w:top w:val="nil"/>
              <w:left w:val="nil"/>
              <w:bottom w:val="nil"/>
              <w:right w:val="nil"/>
            </w:tcBorders>
            <w:tcMar>
              <w:top w:w="100" w:type="dxa"/>
              <w:left w:w="100" w:type="dxa"/>
              <w:bottom w:w="100" w:type="dxa"/>
              <w:right w:w="100" w:type="dxa"/>
            </w:tcMar>
          </w:tcPr>
          <w:p w14:paraId="089F8506" w14:textId="6F2008F8" w:rsidR="00466FE6" w:rsidRPr="00822044" w:rsidRDefault="00466FE6" w:rsidP="00466FE6">
            <w:pPr>
              <w:ind w:left="140" w:right="140"/>
              <w:rPr>
                <w:sz w:val="20"/>
              </w:rPr>
            </w:pPr>
            <w:r w:rsidRPr="00F93CCF">
              <w:rPr>
                <w:sz w:val="20"/>
              </w:rPr>
              <w:t>172845</w:t>
            </w:r>
            <w:r>
              <w:rPr>
                <w:sz w:val="20"/>
              </w:rPr>
              <w:t>-121-T</w:t>
            </w:r>
          </w:p>
        </w:tc>
        <w:tc>
          <w:tcPr>
            <w:tcW w:w="3330" w:type="dxa"/>
            <w:tcBorders>
              <w:top w:val="nil"/>
              <w:left w:val="nil"/>
              <w:bottom w:val="nil"/>
              <w:right w:val="nil"/>
            </w:tcBorders>
            <w:tcMar>
              <w:top w:w="100" w:type="dxa"/>
              <w:left w:w="100" w:type="dxa"/>
              <w:bottom w:w="100" w:type="dxa"/>
              <w:right w:w="100" w:type="dxa"/>
            </w:tcMar>
          </w:tcPr>
          <w:p w14:paraId="6ABEE64F" w14:textId="77777777" w:rsidR="00466FE6" w:rsidRPr="00822044" w:rsidRDefault="00466FE6" w:rsidP="00466FE6">
            <w:pPr>
              <w:ind w:left="140" w:right="140"/>
              <w:rPr>
                <w:sz w:val="20"/>
              </w:rPr>
            </w:pPr>
            <w:r w:rsidRPr="00F93CCF">
              <w:rPr>
                <w:sz w:val="20"/>
              </w:rPr>
              <w:t>TruSeq Stranded Total RNA</w:t>
            </w:r>
          </w:p>
        </w:tc>
        <w:tc>
          <w:tcPr>
            <w:tcW w:w="2070" w:type="dxa"/>
            <w:tcBorders>
              <w:top w:val="nil"/>
              <w:left w:val="nil"/>
              <w:bottom w:val="nil"/>
              <w:right w:val="nil"/>
            </w:tcBorders>
            <w:tcMar>
              <w:top w:w="100" w:type="dxa"/>
              <w:left w:w="100" w:type="dxa"/>
              <w:bottom w:w="100" w:type="dxa"/>
              <w:right w:w="100" w:type="dxa"/>
            </w:tcMar>
          </w:tcPr>
          <w:p w14:paraId="38964834" w14:textId="77777777" w:rsidR="00466FE6" w:rsidRPr="00822044" w:rsidRDefault="00466FE6" w:rsidP="00466FE6">
            <w:pPr>
              <w:ind w:left="140" w:right="140"/>
              <w:rPr>
                <w:sz w:val="20"/>
              </w:rPr>
            </w:pPr>
            <w:r w:rsidRPr="00F93CCF">
              <w:rPr>
                <w:sz w:val="20"/>
              </w:rPr>
              <w:t>NovaSeq S4 PE</w:t>
            </w:r>
          </w:p>
        </w:tc>
        <w:tc>
          <w:tcPr>
            <w:tcW w:w="1530" w:type="dxa"/>
            <w:tcBorders>
              <w:top w:val="nil"/>
              <w:left w:val="nil"/>
              <w:bottom w:val="nil"/>
              <w:right w:val="nil"/>
            </w:tcBorders>
            <w:tcMar>
              <w:top w:w="100" w:type="dxa"/>
              <w:left w:w="100" w:type="dxa"/>
              <w:bottom w:w="100" w:type="dxa"/>
              <w:right w:w="100" w:type="dxa"/>
            </w:tcMar>
          </w:tcPr>
          <w:p w14:paraId="785CD51E" w14:textId="77777777" w:rsidR="00466FE6" w:rsidRPr="00822044" w:rsidRDefault="00466FE6" w:rsidP="00466FE6">
            <w:pPr>
              <w:ind w:left="140" w:right="140"/>
              <w:rPr>
                <w:sz w:val="20"/>
              </w:rPr>
            </w:pPr>
            <w:r w:rsidRPr="00F93CCF">
              <w:rPr>
                <w:sz w:val="20"/>
              </w:rPr>
              <w:t>56,610,898</w:t>
            </w:r>
          </w:p>
        </w:tc>
      </w:tr>
      <w:tr w:rsidR="004D62AD" w14:paraId="1B813B18" w14:textId="77777777" w:rsidTr="001533AF">
        <w:trPr>
          <w:gridAfter w:val="1"/>
          <w:wAfter w:w="849" w:type="dxa"/>
          <w:trHeight w:val="317"/>
        </w:trPr>
        <w:tc>
          <w:tcPr>
            <w:tcW w:w="1260" w:type="dxa"/>
            <w:tcBorders>
              <w:top w:val="nil"/>
              <w:left w:val="nil"/>
              <w:bottom w:val="single" w:sz="18" w:space="0" w:color="auto"/>
              <w:right w:val="nil"/>
            </w:tcBorders>
            <w:tcMar>
              <w:top w:w="100" w:type="dxa"/>
              <w:left w:w="100" w:type="dxa"/>
              <w:bottom w:w="100" w:type="dxa"/>
              <w:right w:w="100" w:type="dxa"/>
            </w:tcMar>
          </w:tcPr>
          <w:p w14:paraId="7F2AAE99" w14:textId="5A6EBF19" w:rsidR="00466FE6" w:rsidRPr="00822044" w:rsidRDefault="00466FE6" w:rsidP="00466FE6">
            <w:pPr>
              <w:ind w:left="-27"/>
              <w:rPr>
                <w:sz w:val="20"/>
              </w:rPr>
            </w:pPr>
          </w:p>
        </w:tc>
        <w:tc>
          <w:tcPr>
            <w:tcW w:w="1260" w:type="dxa"/>
            <w:tcBorders>
              <w:top w:val="nil"/>
              <w:left w:val="nil"/>
              <w:bottom w:val="single" w:sz="18" w:space="0" w:color="auto"/>
              <w:right w:val="nil"/>
            </w:tcBorders>
            <w:tcMar>
              <w:top w:w="100" w:type="dxa"/>
              <w:left w:w="100" w:type="dxa"/>
              <w:bottom w:w="100" w:type="dxa"/>
              <w:right w:w="100" w:type="dxa"/>
            </w:tcMar>
          </w:tcPr>
          <w:p w14:paraId="237929B5" w14:textId="3B04F72C" w:rsidR="00466FE6" w:rsidRPr="00822044" w:rsidRDefault="00466FE6" w:rsidP="00466FE6">
            <w:pPr>
              <w:ind w:left="140" w:right="140"/>
              <w:rPr>
                <w:sz w:val="20"/>
              </w:rPr>
            </w:pPr>
            <w:r w:rsidRPr="00F93CCF">
              <w:rPr>
                <w:sz w:val="20"/>
              </w:rPr>
              <w:t>625472</w:t>
            </w:r>
            <w:r>
              <w:rPr>
                <w:sz w:val="20"/>
              </w:rPr>
              <w:t>-104-R</w:t>
            </w:r>
          </w:p>
        </w:tc>
        <w:tc>
          <w:tcPr>
            <w:tcW w:w="3330" w:type="dxa"/>
            <w:tcBorders>
              <w:top w:val="nil"/>
              <w:left w:val="nil"/>
              <w:bottom w:val="single" w:sz="18" w:space="0" w:color="auto"/>
              <w:right w:val="nil"/>
            </w:tcBorders>
            <w:tcMar>
              <w:top w:w="100" w:type="dxa"/>
              <w:left w:w="100" w:type="dxa"/>
              <w:bottom w:w="100" w:type="dxa"/>
              <w:right w:w="100" w:type="dxa"/>
            </w:tcMar>
          </w:tcPr>
          <w:p w14:paraId="7A41BD9F" w14:textId="77777777" w:rsidR="00466FE6" w:rsidRPr="00822044" w:rsidRDefault="00466FE6" w:rsidP="00466FE6">
            <w:pPr>
              <w:ind w:left="140" w:right="140"/>
              <w:rPr>
                <w:sz w:val="20"/>
              </w:rPr>
            </w:pPr>
            <w:r w:rsidRPr="00F93CCF">
              <w:rPr>
                <w:sz w:val="20"/>
              </w:rPr>
              <w:t>TruSeq Stranded Total RNA</w:t>
            </w:r>
          </w:p>
        </w:tc>
        <w:tc>
          <w:tcPr>
            <w:tcW w:w="2070" w:type="dxa"/>
            <w:tcBorders>
              <w:top w:val="nil"/>
              <w:left w:val="nil"/>
              <w:bottom w:val="single" w:sz="18" w:space="0" w:color="auto"/>
              <w:right w:val="nil"/>
            </w:tcBorders>
            <w:tcMar>
              <w:top w:w="100" w:type="dxa"/>
              <w:left w:w="100" w:type="dxa"/>
              <w:bottom w:w="100" w:type="dxa"/>
              <w:right w:w="100" w:type="dxa"/>
            </w:tcMar>
          </w:tcPr>
          <w:p w14:paraId="471477CB" w14:textId="77777777" w:rsidR="00466FE6" w:rsidRPr="00822044" w:rsidRDefault="00466FE6" w:rsidP="00466FE6">
            <w:pPr>
              <w:ind w:left="140" w:right="140"/>
              <w:rPr>
                <w:sz w:val="20"/>
              </w:rPr>
            </w:pPr>
            <w:r w:rsidRPr="00F93CCF">
              <w:rPr>
                <w:sz w:val="20"/>
              </w:rPr>
              <w:t>NovaSeq S4 PE</w:t>
            </w:r>
          </w:p>
        </w:tc>
        <w:tc>
          <w:tcPr>
            <w:tcW w:w="1530" w:type="dxa"/>
            <w:tcBorders>
              <w:top w:val="nil"/>
              <w:left w:val="nil"/>
              <w:bottom w:val="single" w:sz="18" w:space="0" w:color="auto"/>
              <w:right w:val="nil"/>
            </w:tcBorders>
            <w:tcMar>
              <w:top w:w="100" w:type="dxa"/>
              <w:left w:w="100" w:type="dxa"/>
              <w:bottom w:w="100" w:type="dxa"/>
              <w:right w:w="100" w:type="dxa"/>
            </w:tcMar>
          </w:tcPr>
          <w:p w14:paraId="77448A79" w14:textId="77777777" w:rsidR="00466FE6" w:rsidRPr="00822044" w:rsidRDefault="00466FE6" w:rsidP="00466FE6">
            <w:pPr>
              <w:ind w:left="140" w:right="140"/>
              <w:rPr>
                <w:sz w:val="20"/>
              </w:rPr>
            </w:pPr>
            <w:r w:rsidRPr="00F93CCF">
              <w:rPr>
                <w:sz w:val="20"/>
              </w:rPr>
              <w:t>43,067,125</w:t>
            </w:r>
          </w:p>
        </w:tc>
      </w:tr>
      <w:tr w:rsidR="004D62AD" w14:paraId="5C1EB372" w14:textId="77777777" w:rsidTr="001533AF">
        <w:trPr>
          <w:gridAfter w:val="1"/>
          <w:wAfter w:w="849" w:type="dxa"/>
          <w:trHeight w:val="101"/>
        </w:trPr>
        <w:tc>
          <w:tcPr>
            <w:tcW w:w="1260" w:type="dxa"/>
            <w:tcBorders>
              <w:top w:val="single" w:sz="18" w:space="0" w:color="auto"/>
              <w:left w:val="nil"/>
              <w:bottom w:val="nil"/>
              <w:right w:val="nil"/>
            </w:tcBorders>
            <w:tcMar>
              <w:top w:w="100" w:type="dxa"/>
              <w:left w:w="100" w:type="dxa"/>
              <w:bottom w:w="100" w:type="dxa"/>
              <w:right w:w="100" w:type="dxa"/>
            </w:tcMar>
          </w:tcPr>
          <w:p w14:paraId="47C4DA5D" w14:textId="488B2E2C" w:rsidR="00466FE6" w:rsidRPr="00F93CCF" w:rsidRDefault="00466FE6" w:rsidP="00466FE6">
            <w:pPr>
              <w:ind w:left="-27"/>
              <w:rPr>
                <w:b/>
                <w:sz w:val="20"/>
              </w:rPr>
            </w:pPr>
            <w:r>
              <w:rPr>
                <w:b/>
                <w:sz w:val="20"/>
              </w:rPr>
              <w:t>WIST</w:t>
            </w:r>
          </w:p>
        </w:tc>
        <w:tc>
          <w:tcPr>
            <w:tcW w:w="1260" w:type="dxa"/>
            <w:tcBorders>
              <w:top w:val="single" w:sz="18" w:space="0" w:color="auto"/>
              <w:left w:val="nil"/>
              <w:bottom w:val="nil"/>
              <w:right w:val="nil"/>
            </w:tcBorders>
            <w:tcMar>
              <w:top w:w="100" w:type="dxa"/>
              <w:left w:w="100" w:type="dxa"/>
              <w:bottom w:w="100" w:type="dxa"/>
              <w:right w:w="100" w:type="dxa"/>
            </w:tcMar>
          </w:tcPr>
          <w:p w14:paraId="65FA0909" w14:textId="1E772A00" w:rsidR="00466FE6" w:rsidRPr="00F93CCF" w:rsidRDefault="00466FE6" w:rsidP="00466FE6">
            <w:pPr>
              <w:ind w:left="140" w:right="140"/>
              <w:rPr>
                <w:sz w:val="20"/>
              </w:rPr>
            </w:pPr>
            <w:r w:rsidRPr="00A045C1">
              <w:rPr>
                <w:sz w:val="20"/>
              </w:rPr>
              <w:t>BL0293-F563</w:t>
            </w:r>
          </w:p>
        </w:tc>
        <w:tc>
          <w:tcPr>
            <w:tcW w:w="3330" w:type="dxa"/>
            <w:tcBorders>
              <w:top w:val="single" w:sz="18" w:space="0" w:color="auto"/>
              <w:left w:val="nil"/>
              <w:bottom w:val="nil"/>
              <w:right w:val="nil"/>
            </w:tcBorders>
            <w:tcMar>
              <w:top w:w="100" w:type="dxa"/>
              <w:left w:w="100" w:type="dxa"/>
              <w:bottom w:w="100" w:type="dxa"/>
              <w:right w:w="100" w:type="dxa"/>
            </w:tcMar>
          </w:tcPr>
          <w:p w14:paraId="443983A6" w14:textId="77777777" w:rsidR="00466FE6" w:rsidRPr="00F93CCF" w:rsidRDefault="00466FE6" w:rsidP="00466FE6">
            <w:pPr>
              <w:ind w:left="140" w:right="140"/>
              <w:rPr>
                <w:sz w:val="20"/>
              </w:rPr>
            </w:pPr>
            <w:r w:rsidRPr="00F93CCF">
              <w:rPr>
                <w:sz w:val="20"/>
              </w:rPr>
              <w:t>Lexogen mRNA</w:t>
            </w:r>
          </w:p>
        </w:tc>
        <w:tc>
          <w:tcPr>
            <w:tcW w:w="2070" w:type="dxa"/>
            <w:tcBorders>
              <w:top w:val="single" w:sz="18" w:space="0" w:color="auto"/>
              <w:left w:val="nil"/>
              <w:bottom w:val="nil"/>
              <w:right w:val="nil"/>
            </w:tcBorders>
            <w:tcMar>
              <w:top w:w="100" w:type="dxa"/>
              <w:left w:w="100" w:type="dxa"/>
              <w:bottom w:w="100" w:type="dxa"/>
              <w:right w:w="100" w:type="dxa"/>
            </w:tcMar>
          </w:tcPr>
          <w:p w14:paraId="6D7C47ED" w14:textId="77777777" w:rsidR="00466FE6" w:rsidRPr="00F93CCF" w:rsidRDefault="00466FE6" w:rsidP="00466FE6">
            <w:pPr>
              <w:ind w:left="140" w:right="140"/>
              <w:rPr>
                <w:sz w:val="20"/>
              </w:rPr>
            </w:pPr>
            <w:r w:rsidRPr="00F93CCF">
              <w:rPr>
                <w:sz w:val="20"/>
              </w:rPr>
              <w:t>Illumina PE</w:t>
            </w:r>
          </w:p>
        </w:tc>
        <w:tc>
          <w:tcPr>
            <w:tcW w:w="1530" w:type="dxa"/>
            <w:tcBorders>
              <w:top w:val="single" w:sz="18" w:space="0" w:color="auto"/>
              <w:left w:val="nil"/>
              <w:bottom w:val="nil"/>
              <w:right w:val="nil"/>
            </w:tcBorders>
            <w:tcMar>
              <w:top w:w="100" w:type="dxa"/>
              <w:left w:w="100" w:type="dxa"/>
              <w:bottom w:w="100" w:type="dxa"/>
              <w:right w:w="100" w:type="dxa"/>
            </w:tcMar>
          </w:tcPr>
          <w:p w14:paraId="53E03A05" w14:textId="77777777" w:rsidR="00466FE6" w:rsidRPr="00F93CCF" w:rsidRDefault="00466FE6" w:rsidP="00466FE6">
            <w:pPr>
              <w:ind w:left="140" w:right="140"/>
              <w:rPr>
                <w:sz w:val="20"/>
              </w:rPr>
            </w:pPr>
            <w:r w:rsidRPr="00F93CCF">
              <w:rPr>
                <w:sz w:val="20"/>
              </w:rPr>
              <w:t>51,503,760</w:t>
            </w:r>
          </w:p>
        </w:tc>
      </w:tr>
      <w:tr w:rsidR="004D62AD" w14:paraId="25005BB8" w14:textId="77777777" w:rsidTr="001533AF">
        <w:trPr>
          <w:gridAfter w:val="1"/>
          <w:wAfter w:w="849" w:type="dxa"/>
          <w:trHeight w:val="218"/>
        </w:trPr>
        <w:tc>
          <w:tcPr>
            <w:tcW w:w="1260" w:type="dxa"/>
            <w:tcBorders>
              <w:top w:val="nil"/>
              <w:left w:val="nil"/>
              <w:bottom w:val="nil"/>
              <w:right w:val="nil"/>
            </w:tcBorders>
            <w:tcMar>
              <w:top w:w="100" w:type="dxa"/>
              <w:left w:w="100" w:type="dxa"/>
              <w:bottom w:w="100" w:type="dxa"/>
              <w:right w:w="100" w:type="dxa"/>
            </w:tcMar>
          </w:tcPr>
          <w:p w14:paraId="20D71041" w14:textId="65A61026" w:rsidR="00466FE6" w:rsidRPr="00822044" w:rsidRDefault="00466FE6" w:rsidP="00466FE6">
            <w:pPr>
              <w:ind w:left="-27"/>
              <w:rPr>
                <w:sz w:val="20"/>
              </w:rPr>
            </w:pPr>
          </w:p>
        </w:tc>
        <w:tc>
          <w:tcPr>
            <w:tcW w:w="1260" w:type="dxa"/>
            <w:tcBorders>
              <w:top w:val="nil"/>
              <w:left w:val="nil"/>
              <w:bottom w:val="nil"/>
              <w:right w:val="nil"/>
            </w:tcBorders>
            <w:tcMar>
              <w:top w:w="100" w:type="dxa"/>
              <w:left w:w="100" w:type="dxa"/>
              <w:bottom w:w="100" w:type="dxa"/>
              <w:right w:w="100" w:type="dxa"/>
            </w:tcMar>
          </w:tcPr>
          <w:p w14:paraId="75976068" w14:textId="5C92F793" w:rsidR="00466FE6" w:rsidRPr="00822044" w:rsidRDefault="00466FE6" w:rsidP="00466FE6">
            <w:pPr>
              <w:ind w:left="140" w:right="140"/>
              <w:rPr>
                <w:sz w:val="20"/>
              </w:rPr>
            </w:pPr>
            <w:r w:rsidRPr="00F93CCF">
              <w:rPr>
                <w:sz w:val="20"/>
              </w:rPr>
              <w:t>172845</w:t>
            </w:r>
            <w:r>
              <w:rPr>
                <w:sz w:val="20"/>
              </w:rPr>
              <w:t>-121-T</w:t>
            </w:r>
          </w:p>
        </w:tc>
        <w:tc>
          <w:tcPr>
            <w:tcW w:w="3330" w:type="dxa"/>
            <w:tcBorders>
              <w:top w:val="nil"/>
              <w:left w:val="nil"/>
              <w:bottom w:val="nil"/>
              <w:right w:val="nil"/>
            </w:tcBorders>
            <w:tcMar>
              <w:top w:w="100" w:type="dxa"/>
              <w:left w:w="100" w:type="dxa"/>
              <w:bottom w:w="100" w:type="dxa"/>
              <w:right w:w="100" w:type="dxa"/>
            </w:tcMar>
          </w:tcPr>
          <w:p w14:paraId="4B5A6AF8" w14:textId="77777777" w:rsidR="00466FE6" w:rsidRPr="00822044" w:rsidRDefault="00466FE6" w:rsidP="00466FE6">
            <w:pPr>
              <w:ind w:left="140" w:right="140"/>
              <w:rPr>
                <w:sz w:val="20"/>
              </w:rPr>
            </w:pPr>
            <w:r w:rsidRPr="00F93CCF">
              <w:rPr>
                <w:sz w:val="20"/>
              </w:rPr>
              <w:t>Lexogen mRNA</w:t>
            </w:r>
          </w:p>
        </w:tc>
        <w:tc>
          <w:tcPr>
            <w:tcW w:w="2070" w:type="dxa"/>
            <w:tcBorders>
              <w:top w:val="nil"/>
              <w:left w:val="nil"/>
              <w:bottom w:val="nil"/>
              <w:right w:val="nil"/>
            </w:tcBorders>
            <w:tcMar>
              <w:top w:w="100" w:type="dxa"/>
              <w:left w:w="100" w:type="dxa"/>
              <w:bottom w:w="100" w:type="dxa"/>
              <w:right w:w="100" w:type="dxa"/>
            </w:tcMar>
          </w:tcPr>
          <w:p w14:paraId="66C6893A" w14:textId="77777777" w:rsidR="00466FE6" w:rsidRPr="00822044" w:rsidRDefault="00466FE6" w:rsidP="00466FE6">
            <w:pPr>
              <w:ind w:left="140" w:right="140"/>
              <w:rPr>
                <w:sz w:val="20"/>
              </w:rPr>
            </w:pPr>
            <w:r w:rsidRPr="00F93CCF">
              <w:rPr>
                <w:sz w:val="20"/>
              </w:rPr>
              <w:t>Illumina PE</w:t>
            </w:r>
          </w:p>
        </w:tc>
        <w:tc>
          <w:tcPr>
            <w:tcW w:w="1530" w:type="dxa"/>
            <w:tcBorders>
              <w:top w:val="nil"/>
              <w:left w:val="nil"/>
              <w:bottom w:val="nil"/>
              <w:right w:val="nil"/>
            </w:tcBorders>
            <w:tcMar>
              <w:top w:w="100" w:type="dxa"/>
              <w:left w:w="100" w:type="dxa"/>
              <w:bottom w:w="100" w:type="dxa"/>
              <w:right w:w="100" w:type="dxa"/>
            </w:tcMar>
          </w:tcPr>
          <w:p w14:paraId="698B6DCE" w14:textId="77777777" w:rsidR="00466FE6" w:rsidRPr="00822044" w:rsidRDefault="00466FE6" w:rsidP="00466FE6">
            <w:pPr>
              <w:ind w:left="140" w:right="140"/>
              <w:rPr>
                <w:sz w:val="20"/>
              </w:rPr>
            </w:pPr>
            <w:r w:rsidRPr="00F93CCF">
              <w:rPr>
                <w:sz w:val="20"/>
              </w:rPr>
              <w:t>53,648,665</w:t>
            </w:r>
          </w:p>
        </w:tc>
      </w:tr>
      <w:tr w:rsidR="004D62AD" w14:paraId="42F806B5" w14:textId="77777777" w:rsidTr="004D62AD">
        <w:trPr>
          <w:gridAfter w:val="1"/>
          <w:wAfter w:w="849" w:type="dxa"/>
          <w:trHeight w:val="164"/>
        </w:trPr>
        <w:tc>
          <w:tcPr>
            <w:tcW w:w="1260" w:type="dxa"/>
            <w:tcBorders>
              <w:top w:val="nil"/>
              <w:left w:val="nil"/>
              <w:bottom w:val="single" w:sz="18" w:space="0" w:color="auto"/>
              <w:right w:val="nil"/>
            </w:tcBorders>
            <w:tcMar>
              <w:top w:w="100" w:type="dxa"/>
              <w:left w:w="100" w:type="dxa"/>
              <w:bottom w:w="100" w:type="dxa"/>
              <w:right w:w="100" w:type="dxa"/>
            </w:tcMar>
          </w:tcPr>
          <w:p w14:paraId="19CB5A31" w14:textId="2EC67B7D" w:rsidR="00466FE6" w:rsidRPr="00822044" w:rsidRDefault="00466FE6" w:rsidP="00466FE6">
            <w:pPr>
              <w:ind w:left="-27"/>
              <w:rPr>
                <w:sz w:val="20"/>
              </w:rPr>
            </w:pPr>
          </w:p>
        </w:tc>
        <w:tc>
          <w:tcPr>
            <w:tcW w:w="1260" w:type="dxa"/>
            <w:tcBorders>
              <w:top w:val="nil"/>
              <w:left w:val="nil"/>
              <w:bottom w:val="single" w:sz="18" w:space="0" w:color="auto"/>
              <w:right w:val="nil"/>
            </w:tcBorders>
            <w:tcMar>
              <w:top w:w="100" w:type="dxa"/>
              <w:left w:w="100" w:type="dxa"/>
              <w:bottom w:w="100" w:type="dxa"/>
              <w:right w:w="100" w:type="dxa"/>
            </w:tcMar>
          </w:tcPr>
          <w:p w14:paraId="294FD40E" w14:textId="0D309760" w:rsidR="00466FE6" w:rsidRPr="00822044" w:rsidRDefault="00466FE6" w:rsidP="00466FE6">
            <w:pPr>
              <w:ind w:left="140" w:right="140"/>
              <w:rPr>
                <w:sz w:val="20"/>
              </w:rPr>
            </w:pPr>
            <w:r w:rsidRPr="00F93CCF">
              <w:rPr>
                <w:sz w:val="20"/>
              </w:rPr>
              <w:t>625472</w:t>
            </w:r>
            <w:r>
              <w:rPr>
                <w:sz w:val="20"/>
              </w:rPr>
              <w:t>-104-R</w:t>
            </w:r>
          </w:p>
        </w:tc>
        <w:tc>
          <w:tcPr>
            <w:tcW w:w="3330" w:type="dxa"/>
            <w:tcBorders>
              <w:top w:val="nil"/>
              <w:left w:val="nil"/>
              <w:bottom w:val="single" w:sz="18" w:space="0" w:color="auto"/>
              <w:right w:val="nil"/>
            </w:tcBorders>
            <w:tcMar>
              <w:top w:w="100" w:type="dxa"/>
              <w:left w:w="100" w:type="dxa"/>
              <w:bottom w:w="100" w:type="dxa"/>
              <w:right w:w="100" w:type="dxa"/>
            </w:tcMar>
          </w:tcPr>
          <w:p w14:paraId="7686F726" w14:textId="77777777" w:rsidR="00466FE6" w:rsidRPr="00822044" w:rsidRDefault="00466FE6" w:rsidP="00466FE6">
            <w:pPr>
              <w:ind w:left="140" w:right="140"/>
              <w:rPr>
                <w:sz w:val="20"/>
              </w:rPr>
            </w:pPr>
            <w:r w:rsidRPr="00F93CCF">
              <w:rPr>
                <w:sz w:val="20"/>
              </w:rPr>
              <w:t>Lexogen mRNA</w:t>
            </w:r>
          </w:p>
        </w:tc>
        <w:tc>
          <w:tcPr>
            <w:tcW w:w="2070" w:type="dxa"/>
            <w:tcBorders>
              <w:top w:val="nil"/>
              <w:left w:val="nil"/>
              <w:bottom w:val="single" w:sz="18" w:space="0" w:color="auto"/>
              <w:right w:val="nil"/>
            </w:tcBorders>
            <w:tcMar>
              <w:top w:w="100" w:type="dxa"/>
              <w:left w:w="100" w:type="dxa"/>
              <w:bottom w:w="100" w:type="dxa"/>
              <w:right w:w="100" w:type="dxa"/>
            </w:tcMar>
          </w:tcPr>
          <w:p w14:paraId="32C45362" w14:textId="77777777" w:rsidR="00466FE6" w:rsidRPr="00822044" w:rsidRDefault="00466FE6" w:rsidP="00466FE6">
            <w:pPr>
              <w:ind w:left="140" w:right="140"/>
              <w:rPr>
                <w:sz w:val="20"/>
              </w:rPr>
            </w:pPr>
            <w:r w:rsidRPr="00F93CCF">
              <w:rPr>
                <w:sz w:val="20"/>
              </w:rPr>
              <w:t>Illumina PE</w:t>
            </w:r>
          </w:p>
        </w:tc>
        <w:tc>
          <w:tcPr>
            <w:tcW w:w="1530" w:type="dxa"/>
            <w:tcBorders>
              <w:top w:val="nil"/>
              <w:left w:val="nil"/>
              <w:bottom w:val="single" w:sz="18" w:space="0" w:color="auto"/>
              <w:right w:val="nil"/>
            </w:tcBorders>
            <w:tcMar>
              <w:top w:w="100" w:type="dxa"/>
              <w:left w:w="100" w:type="dxa"/>
              <w:bottom w:w="100" w:type="dxa"/>
              <w:right w:w="100" w:type="dxa"/>
            </w:tcMar>
          </w:tcPr>
          <w:p w14:paraId="30BFA3B4" w14:textId="77777777" w:rsidR="00466FE6" w:rsidRPr="00822044" w:rsidRDefault="00466FE6" w:rsidP="00466FE6">
            <w:pPr>
              <w:ind w:left="140" w:right="140"/>
              <w:rPr>
                <w:sz w:val="20"/>
              </w:rPr>
            </w:pPr>
            <w:r w:rsidRPr="00F93CCF">
              <w:rPr>
                <w:sz w:val="20"/>
              </w:rPr>
              <w:t>52,142,953</w:t>
            </w:r>
          </w:p>
        </w:tc>
      </w:tr>
      <w:tr w:rsidR="00534A04" w14:paraId="7C156427" w14:textId="77777777" w:rsidTr="001533AF">
        <w:trPr>
          <w:trHeight w:val="164"/>
        </w:trPr>
        <w:tc>
          <w:tcPr>
            <w:tcW w:w="10299" w:type="dxa"/>
            <w:gridSpan w:val="6"/>
            <w:tcBorders>
              <w:top w:val="single" w:sz="18" w:space="0" w:color="auto"/>
              <w:left w:val="nil"/>
              <w:bottom w:val="nil"/>
              <w:right w:val="nil"/>
            </w:tcBorders>
            <w:tcMar>
              <w:top w:w="100" w:type="dxa"/>
              <w:left w:w="100" w:type="dxa"/>
              <w:bottom w:w="100" w:type="dxa"/>
              <w:right w:w="100" w:type="dxa"/>
            </w:tcMar>
          </w:tcPr>
          <w:p w14:paraId="1EC80FDD" w14:textId="48AABC3B" w:rsidR="00534A04" w:rsidRPr="001533AF" w:rsidRDefault="00CA6110" w:rsidP="001533AF">
            <w:r>
              <w:rPr>
                <w:rFonts w:ascii="Arial" w:hAnsi="Arial" w:cs="Arial"/>
                <w:sz w:val="15"/>
                <w:szCs w:val="15"/>
                <w:shd w:val="clear" w:color="auto" w:fill="FFFFFF"/>
              </w:rPr>
              <w:t>HCI-BCM - H</w:t>
            </w:r>
            <w:r w:rsidRPr="009958E8">
              <w:rPr>
                <w:rFonts w:ascii="Arial" w:hAnsi="Arial" w:cs="Arial"/>
                <w:sz w:val="15"/>
                <w:szCs w:val="15"/>
                <w:shd w:val="clear" w:color="auto" w:fill="FFFFFF"/>
              </w:rPr>
              <w:t>untsman Cancer Institute/Baylor College of Medicine</w:t>
            </w:r>
            <w:r>
              <w:rPr>
                <w:rFonts w:ascii="Arial" w:hAnsi="Arial" w:cs="Arial"/>
                <w:sz w:val="15"/>
                <w:szCs w:val="15"/>
                <w:shd w:val="clear" w:color="auto" w:fill="FFFFFF"/>
              </w:rPr>
              <w:t xml:space="preserve">, MDACC - </w:t>
            </w:r>
            <w:r w:rsidRPr="009958E8">
              <w:rPr>
                <w:rFonts w:ascii="Arial" w:hAnsi="Arial" w:cs="Arial"/>
                <w:sz w:val="15"/>
                <w:szCs w:val="15"/>
                <w:shd w:val="clear" w:color="auto" w:fill="FFFFFF"/>
              </w:rPr>
              <w:t>MD Anderson Cancer Center</w:t>
            </w:r>
            <w:r>
              <w:rPr>
                <w:rFonts w:ascii="Arial" w:hAnsi="Arial" w:cs="Arial"/>
                <w:sz w:val="15"/>
                <w:szCs w:val="15"/>
                <w:shd w:val="clear" w:color="auto" w:fill="FFFFFF"/>
              </w:rPr>
              <w:t xml:space="preserve">, WUSTL - </w:t>
            </w:r>
            <w:r w:rsidRPr="009958E8">
              <w:rPr>
                <w:rFonts w:ascii="Arial" w:hAnsi="Arial" w:cs="Arial"/>
                <w:sz w:val="15"/>
                <w:szCs w:val="15"/>
                <w:shd w:val="clear" w:color="auto" w:fill="FFFFFF"/>
              </w:rPr>
              <w:t>Washington University-St. Louis, an</w:t>
            </w:r>
            <w:r>
              <w:rPr>
                <w:rFonts w:ascii="Arial" w:hAnsi="Arial" w:cs="Arial"/>
                <w:sz w:val="15"/>
                <w:szCs w:val="15"/>
                <w:shd w:val="clear" w:color="auto" w:fill="FFFFFF"/>
              </w:rPr>
              <w:t xml:space="preserve">d WIST - </w:t>
            </w:r>
            <w:r w:rsidRPr="009958E8">
              <w:rPr>
                <w:rFonts w:ascii="Arial" w:hAnsi="Arial" w:cs="Arial"/>
                <w:sz w:val="15"/>
                <w:szCs w:val="15"/>
                <w:shd w:val="clear" w:color="auto" w:fill="FFFFFF"/>
              </w:rPr>
              <w:t>The Wistar Institute/University of Pennsylvania/MDACC.</w:t>
            </w:r>
            <w:r w:rsidR="00534A04">
              <w:rPr>
                <w:rFonts w:ascii="Arial" w:hAnsi="Arial" w:cs="Arial"/>
                <w:sz w:val="12"/>
                <w:szCs w:val="12"/>
                <w:shd w:val="clear" w:color="auto" w:fill="FFFFFF"/>
              </w:rPr>
              <w:t xml:space="preserve"> </w:t>
            </w:r>
          </w:p>
        </w:tc>
      </w:tr>
    </w:tbl>
    <w:p w14:paraId="48B53E22" w14:textId="1561FA8D" w:rsidR="00925A12" w:rsidRDefault="00925A12" w:rsidP="00540250">
      <w:pPr>
        <w:rPr>
          <w:b/>
          <w:sz w:val="21"/>
          <w:szCs w:val="21"/>
        </w:rPr>
      </w:pPr>
      <w:r>
        <w:rPr>
          <w:b/>
          <w:sz w:val="21"/>
          <w:szCs w:val="21"/>
        </w:rPr>
        <w:br w:type="page"/>
      </w:r>
    </w:p>
    <w:p w14:paraId="723E00B6" w14:textId="77777777" w:rsidR="00044AA7" w:rsidRDefault="00044AA7" w:rsidP="00540250">
      <w:pPr>
        <w:rPr>
          <w:b/>
          <w:sz w:val="21"/>
          <w:szCs w:val="21"/>
        </w:rPr>
      </w:pPr>
    </w:p>
    <w:p w14:paraId="680F54AD" w14:textId="5B17BA27" w:rsidR="00044AA7" w:rsidRPr="002B7BE3" w:rsidRDefault="00044AA7" w:rsidP="00540250">
      <w:pPr>
        <w:pStyle w:val="tableheader"/>
      </w:pPr>
      <w:r w:rsidRPr="002B7BE3">
        <w:t>Supplementary Table 7</w:t>
      </w:r>
      <w:r w:rsidR="002B7BE3">
        <w:t>.</w:t>
      </w:r>
      <w:r w:rsidRPr="002B7BE3">
        <w:t xml:space="preserve"> </w:t>
      </w:r>
      <w:r w:rsidRPr="00EB200F">
        <w:rPr>
          <w:b w:val="0"/>
          <w:bCs/>
        </w:rPr>
        <w:t>Sequencing depth and Mean Target coverage per sample across each center</w:t>
      </w:r>
    </w:p>
    <w:tbl>
      <w:tblPr>
        <w:tblW w:w="7020" w:type="dxa"/>
        <w:jc w:val="center"/>
        <w:tblLayout w:type="fixed"/>
        <w:tblCellMar>
          <w:top w:w="100" w:type="dxa"/>
          <w:left w:w="100" w:type="dxa"/>
          <w:bottom w:w="100" w:type="dxa"/>
          <w:right w:w="100" w:type="dxa"/>
        </w:tblCellMar>
        <w:tblLook w:val="0600" w:firstRow="0" w:lastRow="0" w:firstColumn="0" w:lastColumn="0" w:noHBand="1" w:noVBand="1"/>
      </w:tblPr>
      <w:tblGrid>
        <w:gridCol w:w="1635"/>
        <w:gridCol w:w="1815"/>
        <w:gridCol w:w="1500"/>
        <w:gridCol w:w="2070"/>
      </w:tblGrid>
      <w:tr w:rsidR="00044AA7" w14:paraId="5BC49D2A" w14:textId="77777777" w:rsidTr="00C12C3E">
        <w:trPr>
          <w:trHeight w:val="186"/>
          <w:jc w:val="center"/>
        </w:trPr>
        <w:tc>
          <w:tcPr>
            <w:tcW w:w="1635" w:type="dxa"/>
            <w:tcBorders>
              <w:top w:val="single" w:sz="18" w:space="0" w:color="auto"/>
              <w:bottom w:val="single" w:sz="18" w:space="0" w:color="auto"/>
            </w:tcBorders>
            <w:tcMar>
              <w:top w:w="100" w:type="dxa"/>
              <w:left w:w="100" w:type="dxa"/>
              <w:bottom w:w="100" w:type="dxa"/>
              <w:right w:w="100" w:type="dxa"/>
            </w:tcMar>
          </w:tcPr>
          <w:p w14:paraId="5687302C" w14:textId="7B3560EC" w:rsidR="00044AA7" w:rsidRPr="00925A12" w:rsidRDefault="00044AA7" w:rsidP="00540250">
            <w:pPr>
              <w:widowControl w:val="0"/>
              <w:pBdr>
                <w:top w:val="nil"/>
                <w:left w:val="nil"/>
                <w:bottom w:val="nil"/>
                <w:right w:val="nil"/>
                <w:between w:val="nil"/>
              </w:pBdr>
              <w:rPr>
                <w:b/>
                <w:sz w:val="21"/>
              </w:rPr>
            </w:pPr>
            <w:r>
              <w:rPr>
                <w:sz w:val="21"/>
                <w:szCs w:val="21"/>
              </w:rPr>
              <w:t xml:space="preserve"> </w:t>
            </w:r>
            <w:r w:rsidRPr="00F93CCF">
              <w:rPr>
                <w:b/>
                <w:sz w:val="21"/>
              </w:rPr>
              <w:t>Center</w:t>
            </w:r>
          </w:p>
        </w:tc>
        <w:tc>
          <w:tcPr>
            <w:tcW w:w="1815" w:type="dxa"/>
            <w:tcBorders>
              <w:top w:val="single" w:sz="18" w:space="0" w:color="auto"/>
              <w:bottom w:val="single" w:sz="18" w:space="0" w:color="auto"/>
            </w:tcBorders>
            <w:tcMar>
              <w:top w:w="100" w:type="dxa"/>
              <w:left w:w="100" w:type="dxa"/>
              <w:bottom w:w="100" w:type="dxa"/>
              <w:right w:w="100" w:type="dxa"/>
            </w:tcMar>
          </w:tcPr>
          <w:p w14:paraId="1B4FEDD1" w14:textId="77777777" w:rsidR="00044AA7" w:rsidRPr="00925A12" w:rsidRDefault="00044AA7" w:rsidP="00540250">
            <w:pPr>
              <w:widowControl w:val="0"/>
              <w:pBdr>
                <w:top w:val="nil"/>
                <w:left w:val="nil"/>
                <w:bottom w:val="nil"/>
                <w:right w:val="nil"/>
                <w:between w:val="nil"/>
              </w:pBdr>
              <w:rPr>
                <w:b/>
                <w:sz w:val="21"/>
              </w:rPr>
            </w:pPr>
            <w:r w:rsidRPr="00F93CCF">
              <w:rPr>
                <w:b/>
                <w:sz w:val="21"/>
              </w:rPr>
              <w:t>CaseID</w:t>
            </w:r>
          </w:p>
        </w:tc>
        <w:tc>
          <w:tcPr>
            <w:tcW w:w="1500" w:type="dxa"/>
            <w:tcBorders>
              <w:top w:val="single" w:sz="18" w:space="0" w:color="auto"/>
              <w:bottom w:val="single" w:sz="18" w:space="0" w:color="auto"/>
            </w:tcBorders>
            <w:tcMar>
              <w:top w:w="100" w:type="dxa"/>
              <w:left w:w="100" w:type="dxa"/>
              <w:bottom w:w="100" w:type="dxa"/>
              <w:right w:w="100" w:type="dxa"/>
            </w:tcMar>
          </w:tcPr>
          <w:p w14:paraId="646318A1" w14:textId="77777777" w:rsidR="00044AA7" w:rsidRPr="00925A12" w:rsidRDefault="00044AA7" w:rsidP="00540250">
            <w:pPr>
              <w:widowControl w:val="0"/>
              <w:pBdr>
                <w:top w:val="nil"/>
                <w:left w:val="nil"/>
                <w:bottom w:val="nil"/>
                <w:right w:val="nil"/>
                <w:between w:val="nil"/>
              </w:pBdr>
              <w:rPr>
                <w:b/>
                <w:sz w:val="21"/>
              </w:rPr>
            </w:pPr>
            <w:r w:rsidRPr="00F93CCF">
              <w:rPr>
                <w:b/>
                <w:sz w:val="21"/>
              </w:rPr>
              <w:t>Total Reads</w:t>
            </w:r>
          </w:p>
        </w:tc>
        <w:tc>
          <w:tcPr>
            <w:tcW w:w="2070" w:type="dxa"/>
            <w:tcBorders>
              <w:top w:val="single" w:sz="18" w:space="0" w:color="auto"/>
              <w:bottom w:val="single" w:sz="18" w:space="0" w:color="auto"/>
            </w:tcBorders>
            <w:tcMar>
              <w:top w:w="100" w:type="dxa"/>
              <w:left w:w="100" w:type="dxa"/>
              <w:bottom w:w="100" w:type="dxa"/>
              <w:right w:w="100" w:type="dxa"/>
            </w:tcMar>
            <w:vAlign w:val="center"/>
          </w:tcPr>
          <w:p w14:paraId="48B4D10C" w14:textId="77777777" w:rsidR="00044AA7" w:rsidRDefault="00044AA7" w:rsidP="00540250">
            <w:pPr>
              <w:rPr>
                <w:b/>
                <w:sz w:val="21"/>
                <w:szCs w:val="21"/>
              </w:rPr>
            </w:pPr>
            <w:r>
              <w:rPr>
                <w:b/>
                <w:sz w:val="21"/>
                <w:szCs w:val="21"/>
              </w:rPr>
              <w:t xml:space="preserve">Mean Target </w:t>
            </w:r>
            <w:r>
              <w:rPr>
                <w:b/>
                <w:sz w:val="21"/>
                <w:szCs w:val="21"/>
              </w:rPr>
              <w:br/>
              <w:t>Coverage</w:t>
            </w:r>
          </w:p>
        </w:tc>
      </w:tr>
      <w:tr w:rsidR="00466FE6" w14:paraId="4B3C71C7" w14:textId="77777777" w:rsidTr="00C12C3E">
        <w:trPr>
          <w:trHeight w:val="164"/>
          <w:jc w:val="center"/>
        </w:trPr>
        <w:tc>
          <w:tcPr>
            <w:tcW w:w="1635" w:type="dxa"/>
            <w:tcBorders>
              <w:top w:val="single" w:sz="18" w:space="0" w:color="auto"/>
            </w:tcBorders>
            <w:tcMar>
              <w:top w:w="100" w:type="dxa"/>
              <w:left w:w="100" w:type="dxa"/>
              <w:bottom w:w="100" w:type="dxa"/>
              <w:right w:w="100" w:type="dxa"/>
            </w:tcMar>
          </w:tcPr>
          <w:p w14:paraId="20CE2C00" w14:textId="1C2BF09B" w:rsidR="00466FE6" w:rsidRDefault="00466FE6" w:rsidP="00466FE6">
            <w:pPr>
              <w:rPr>
                <w:sz w:val="21"/>
                <w:szCs w:val="21"/>
              </w:rPr>
            </w:pPr>
            <w:r>
              <w:rPr>
                <w:b/>
                <w:sz w:val="20"/>
              </w:rPr>
              <w:t>HCI-BCM</w:t>
            </w:r>
          </w:p>
        </w:tc>
        <w:tc>
          <w:tcPr>
            <w:tcW w:w="1815" w:type="dxa"/>
            <w:tcBorders>
              <w:top w:val="single" w:sz="18" w:space="0" w:color="auto"/>
            </w:tcBorders>
            <w:tcMar>
              <w:top w:w="100" w:type="dxa"/>
              <w:left w:w="100" w:type="dxa"/>
              <w:bottom w:w="100" w:type="dxa"/>
              <w:right w:w="100" w:type="dxa"/>
            </w:tcMar>
          </w:tcPr>
          <w:p w14:paraId="207ACA61" w14:textId="5CBA1CA9" w:rsidR="00466FE6" w:rsidRDefault="00466FE6" w:rsidP="00466FE6">
            <w:pPr>
              <w:widowControl w:val="0"/>
              <w:pBdr>
                <w:top w:val="nil"/>
                <w:left w:val="nil"/>
                <w:bottom w:val="nil"/>
                <w:right w:val="nil"/>
                <w:between w:val="nil"/>
              </w:pBdr>
              <w:rPr>
                <w:sz w:val="21"/>
                <w:szCs w:val="21"/>
              </w:rPr>
            </w:pPr>
            <w:r w:rsidRPr="00A045C1">
              <w:rPr>
                <w:sz w:val="20"/>
              </w:rPr>
              <w:t>BL0293-F563</w:t>
            </w:r>
          </w:p>
        </w:tc>
        <w:tc>
          <w:tcPr>
            <w:tcW w:w="1500" w:type="dxa"/>
            <w:tcBorders>
              <w:top w:val="single" w:sz="18" w:space="0" w:color="auto"/>
            </w:tcBorders>
            <w:tcMar>
              <w:top w:w="100" w:type="dxa"/>
              <w:left w:w="100" w:type="dxa"/>
              <w:bottom w:w="100" w:type="dxa"/>
              <w:right w:w="100" w:type="dxa"/>
            </w:tcMar>
          </w:tcPr>
          <w:p w14:paraId="21B29E91" w14:textId="77777777" w:rsidR="00466FE6" w:rsidRDefault="00466FE6" w:rsidP="00466FE6">
            <w:pPr>
              <w:rPr>
                <w:sz w:val="21"/>
                <w:szCs w:val="21"/>
              </w:rPr>
            </w:pPr>
            <w:r>
              <w:rPr>
                <w:sz w:val="21"/>
                <w:szCs w:val="21"/>
              </w:rPr>
              <w:t>84306497</w:t>
            </w:r>
          </w:p>
        </w:tc>
        <w:tc>
          <w:tcPr>
            <w:tcW w:w="2070" w:type="dxa"/>
            <w:tcBorders>
              <w:top w:val="single" w:sz="18" w:space="0" w:color="auto"/>
            </w:tcBorders>
            <w:tcMar>
              <w:top w:w="100" w:type="dxa"/>
              <w:left w:w="100" w:type="dxa"/>
              <w:bottom w:w="100" w:type="dxa"/>
              <w:right w:w="100" w:type="dxa"/>
            </w:tcMar>
          </w:tcPr>
          <w:p w14:paraId="5C79E469" w14:textId="77777777" w:rsidR="00466FE6" w:rsidRDefault="00466FE6" w:rsidP="00466FE6">
            <w:pPr>
              <w:rPr>
                <w:sz w:val="21"/>
                <w:szCs w:val="21"/>
              </w:rPr>
            </w:pPr>
            <w:r>
              <w:rPr>
                <w:sz w:val="21"/>
                <w:szCs w:val="21"/>
              </w:rPr>
              <w:t>182.489987</w:t>
            </w:r>
          </w:p>
        </w:tc>
      </w:tr>
      <w:tr w:rsidR="00466FE6" w14:paraId="50F25193" w14:textId="77777777" w:rsidTr="00C12C3E">
        <w:trPr>
          <w:trHeight w:val="209"/>
          <w:jc w:val="center"/>
        </w:trPr>
        <w:tc>
          <w:tcPr>
            <w:tcW w:w="1635" w:type="dxa"/>
            <w:tcMar>
              <w:top w:w="100" w:type="dxa"/>
              <w:left w:w="100" w:type="dxa"/>
              <w:bottom w:w="100" w:type="dxa"/>
              <w:right w:w="100" w:type="dxa"/>
            </w:tcMar>
          </w:tcPr>
          <w:p w14:paraId="68E5ACC4" w14:textId="77777777" w:rsidR="00466FE6" w:rsidRDefault="00466FE6" w:rsidP="00466FE6">
            <w:pPr>
              <w:rPr>
                <w:sz w:val="21"/>
                <w:szCs w:val="21"/>
              </w:rPr>
            </w:pPr>
          </w:p>
        </w:tc>
        <w:tc>
          <w:tcPr>
            <w:tcW w:w="1815" w:type="dxa"/>
            <w:tcMar>
              <w:top w:w="100" w:type="dxa"/>
              <w:left w:w="100" w:type="dxa"/>
              <w:bottom w:w="100" w:type="dxa"/>
              <w:right w:w="100" w:type="dxa"/>
            </w:tcMar>
          </w:tcPr>
          <w:p w14:paraId="4E21D45D" w14:textId="6AEA5BA1" w:rsidR="00466FE6" w:rsidRDefault="00466FE6" w:rsidP="00466FE6">
            <w:pPr>
              <w:widowControl w:val="0"/>
              <w:pBdr>
                <w:top w:val="nil"/>
                <w:left w:val="nil"/>
                <w:bottom w:val="nil"/>
                <w:right w:val="nil"/>
                <w:between w:val="nil"/>
              </w:pBdr>
              <w:rPr>
                <w:sz w:val="21"/>
                <w:szCs w:val="21"/>
              </w:rPr>
            </w:pPr>
            <w:r w:rsidRPr="00F93CCF">
              <w:rPr>
                <w:sz w:val="20"/>
              </w:rPr>
              <w:t>172845</w:t>
            </w:r>
            <w:r>
              <w:rPr>
                <w:sz w:val="20"/>
              </w:rPr>
              <w:t>-121-T</w:t>
            </w:r>
          </w:p>
        </w:tc>
        <w:tc>
          <w:tcPr>
            <w:tcW w:w="1500" w:type="dxa"/>
            <w:tcMar>
              <w:top w:w="100" w:type="dxa"/>
              <w:left w:w="100" w:type="dxa"/>
              <w:bottom w:w="100" w:type="dxa"/>
              <w:right w:w="100" w:type="dxa"/>
            </w:tcMar>
          </w:tcPr>
          <w:p w14:paraId="02DCC29D" w14:textId="77777777" w:rsidR="00466FE6" w:rsidRDefault="00466FE6" w:rsidP="00466FE6">
            <w:pPr>
              <w:rPr>
                <w:sz w:val="21"/>
                <w:szCs w:val="21"/>
              </w:rPr>
            </w:pPr>
            <w:r>
              <w:rPr>
                <w:sz w:val="21"/>
                <w:szCs w:val="21"/>
              </w:rPr>
              <w:t>84500785</w:t>
            </w:r>
          </w:p>
        </w:tc>
        <w:tc>
          <w:tcPr>
            <w:tcW w:w="2070" w:type="dxa"/>
            <w:tcMar>
              <w:top w:w="100" w:type="dxa"/>
              <w:left w:w="100" w:type="dxa"/>
              <w:bottom w:w="100" w:type="dxa"/>
              <w:right w:w="100" w:type="dxa"/>
            </w:tcMar>
          </w:tcPr>
          <w:p w14:paraId="6A22B7CE" w14:textId="77777777" w:rsidR="00466FE6" w:rsidRDefault="00466FE6" w:rsidP="00466FE6">
            <w:pPr>
              <w:rPr>
                <w:sz w:val="21"/>
                <w:szCs w:val="21"/>
              </w:rPr>
            </w:pPr>
            <w:r>
              <w:rPr>
                <w:sz w:val="21"/>
                <w:szCs w:val="21"/>
              </w:rPr>
              <w:t>171.117572</w:t>
            </w:r>
          </w:p>
        </w:tc>
      </w:tr>
      <w:tr w:rsidR="00466FE6" w14:paraId="70A9D001" w14:textId="77777777" w:rsidTr="00C12C3E">
        <w:trPr>
          <w:trHeight w:val="164"/>
          <w:jc w:val="center"/>
        </w:trPr>
        <w:tc>
          <w:tcPr>
            <w:tcW w:w="1635" w:type="dxa"/>
            <w:tcBorders>
              <w:bottom w:val="single" w:sz="18" w:space="0" w:color="auto"/>
            </w:tcBorders>
            <w:tcMar>
              <w:top w:w="100" w:type="dxa"/>
              <w:left w:w="100" w:type="dxa"/>
              <w:bottom w:w="100" w:type="dxa"/>
              <w:right w:w="100" w:type="dxa"/>
            </w:tcMar>
          </w:tcPr>
          <w:p w14:paraId="7B3048EB" w14:textId="77777777" w:rsidR="00466FE6" w:rsidRDefault="00466FE6" w:rsidP="00466FE6">
            <w:pPr>
              <w:rPr>
                <w:sz w:val="21"/>
                <w:szCs w:val="21"/>
              </w:rPr>
            </w:pPr>
          </w:p>
        </w:tc>
        <w:tc>
          <w:tcPr>
            <w:tcW w:w="1815" w:type="dxa"/>
            <w:tcBorders>
              <w:bottom w:val="single" w:sz="18" w:space="0" w:color="auto"/>
            </w:tcBorders>
            <w:tcMar>
              <w:top w:w="100" w:type="dxa"/>
              <w:left w:w="100" w:type="dxa"/>
              <w:bottom w:w="100" w:type="dxa"/>
              <w:right w:w="100" w:type="dxa"/>
            </w:tcMar>
          </w:tcPr>
          <w:p w14:paraId="066A5B62" w14:textId="3BCA2055" w:rsidR="00466FE6" w:rsidRDefault="00466FE6" w:rsidP="00466FE6">
            <w:pPr>
              <w:widowControl w:val="0"/>
              <w:pBdr>
                <w:top w:val="nil"/>
                <w:left w:val="nil"/>
                <w:bottom w:val="nil"/>
                <w:right w:val="nil"/>
                <w:between w:val="nil"/>
              </w:pBdr>
              <w:rPr>
                <w:sz w:val="21"/>
                <w:szCs w:val="21"/>
              </w:rPr>
            </w:pPr>
            <w:r w:rsidRPr="00F93CCF">
              <w:rPr>
                <w:sz w:val="20"/>
              </w:rPr>
              <w:t>625472</w:t>
            </w:r>
            <w:r>
              <w:rPr>
                <w:sz w:val="20"/>
              </w:rPr>
              <w:t>-104-R</w:t>
            </w:r>
          </w:p>
        </w:tc>
        <w:tc>
          <w:tcPr>
            <w:tcW w:w="1500" w:type="dxa"/>
            <w:tcBorders>
              <w:bottom w:val="single" w:sz="18" w:space="0" w:color="auto"/>
            </w:tcBorders>
            <w:tcMar>
              <w:top w:w="100" w:type="dxa"/>
              <w:left w:w="100" w:type="dxa"/>
              <w:bottom w:w="100" w:type="dxa"/>
              <w:right w:w="100" w:type="dxa"/>
            </w:tcMar>
          </w:tcPr>
          <w:p w14:paraId="39406364" w14:textId="77777777" w:rsidR="00466FE6" w:rsidRDefault="00466FE6" w:rsidP="00466FE6">
            <w:pPr>
              <w:rPr>
                <w:sz w:val="21"/>
                <w:szCs w:val="21"/>
              </w:rPr>
            </w:pPr>
            <w:r>
              <w:rPr>
                <w:sz w:val="21"/>
                <w:szCs w:val="21"/>
              </w:rPr>
              <w:t>69122847</w:t>
            </w:r>
          </w:p>
        </w:tc>
        <w:tc>
          <w:tcPr>
            <w:tcW w:w="2070" w:type="dxa"/>
            <w:tcBorders>
              <w:bottom w:val="single" w:sz="18" w:space="0" w:color="auto"/>
            </w:tcBorders>
            <w:tcMar>
              <w:top w:w="100" w:type="dxa"/>
              <w:left w:w="100" w:type="dxa"/>
              <w:bottom w:w="100" w:type="dxa"/>
              <w:right w:w="100" w:type="dxa"/>
            </w:tcMar>
          </w:tcPr>
          <w:p w14:paraId="7631D448" w14:textId="77777777" w:rsidR="00466FE6" w:rsidRDefault="00466FE6" w:rsidP="00466FE6">
            <w:pPr>
              <w:rPr>
                <w:sz w:val="21"/>
                <w:szCs w:val="21"/>
              </w:rPr>
            </w:pPr>
            <w:r>
              <w:rPr>
                <w:sz w:val="21"/>
                <w:szCs w:val="21"/>
              </w:rPr>
              <w:t>144.39062</w:t>
            </w:r>
          </w:p>
        </w:tc>
      </w:tr>
      <w:tr w:rsidR="00466FE6" w14:paraId="3F5A77B1" w14:textId="77777777" w:rsidTr="00C12C3E">
        <w:trPr>
          <w:trHeight w:val="209"/>
          <w:jc w:val="center"/>
        </w:trPr>
        <w:tc>
          <w:tcPr>
            <w:tcW w:w="1635" w:type="dxa"/>
            <w:tcBorders>
              <w:top w:val="single" w:sz="18" w:space="0" w:color="auto"/>
            </w:tcBorders>
            <w:tcMar>
              <w:top w:w="100" w:type="dxa"/>
              <w:left w:w="100" w:type="dxa"/>
              <w:bottom w:w="100" w:type="dxa"/>
              <w:right w:w="100" w:type="dxa"/>
            </w:tcMar>
          </w:tcPr>
          <w:p w14:paraId="3D9DAE53" w14:textId="544725A2" w:rsidR="00466FE6" w:rsidRDefault="00466FE6" w:rsidP="00466FE6">
            <w:pPr>
              <w:rPr>
                <w:sz w:val="21"/>
                <w:szCs w:val="21"/>
              </w:rPr>
            </w:pPr>
            <w:r>
              <w:rPr>
                <w:b/>
                <w:sz w:val="20"/>
              </w:rPr>
              <w:t>MDACC</w:t>
            </w:r>
          </w:p>
        </w:tc>
        <w:tc>
          <w:tcPr>
            <w:tcW w:w="1815" w:type="dxa"/>
            <w:tcBorders>
              <w:top w:val="single" w:sz="18" w:space="0" w:color="auto"/>
            </w:tcBorders>
            <w:tcMar>
              <w:top w:w="100" w:type="dxa"/>
              <w:left w:w="100" w:type="dxa"/>
              <w:bottom w:w="100" w:type="dxa"/>
              <w:right w:w="100" w:type="dxa"/>
            </w:tcMar>
          </w:tcPr>
          <w:p w14:paraId="653578A5" w14:textId="487BA000" w:rsidR="00466FE6" w:rsidRDefault="00466FE6" w:rsidP="00466FE6">
            <w:pPr>
              <w:widowControl w:val="0"/>
              <w:pBdr>
                <w:top w:val="nil"/>
                <w:left w:val="nil"/>
                <w:bottom w:val="nil"/>
                <w:right w:val="nil"/>
                <w:between w:val="nil"/>
              </w:pBdr>
              <w:rPr>
                <w:sz w:val="21"/>
                <w:szCs w:val="21"/>
              </w:rPr>
            </w:pPr>
            <w:r w:rsidRPr="00A045C1">
              <w:rPr>
                <w:sz w:val="20"/>
              </w:rPr>
              <w:t>BL0293-F563</w:t>
            </w:r>
          </w:p>
        </w:tc>
        <w:tc>
          <w:tcPr>
            <w:tcW w:w="1500" w:type="dxa"/>
            <w:tcBorders>
              <w:top w:val="single" w:sz="18" w:space="0" w:color="auto"/>
            </w:tcBorders>
            <w:tcMar>
              <w:top w:w="100" w:type="dxa"/>
              <w:left w:w="100" w:type="dxa"/>
              <w:bottom w:w="100" w:type="dxa"/>
              <w:right w:w="100" w:type="dxa"/>
            </w:tcMar>
          </w:tcPr>
          <w:p w14:paraId="4F62519E" w14:textId="77777777" w:rsidR="00466FE6" w:rsidRDefault="00466FE6" w:rsidP="00466FE6">
            <w:pPr>
              <w:rPr>
                <w:sz w:val="21"/>
                <w:szCs w:val="21"/>
              </w:rPr>
            </w:pPr>
            <w:r>
              <w:rPr>
                <w:sz w:val="21"/>
                <w:szCs w:val="21"/>
              </w:rPr>
              <w:t>24840423</w:t>
            </w:r>
          </w:p>
        </w:tc>
        <w:tc>
          <w:tcPr>
            <w:tcW w:w="2070" w:type="dxa"/>
            <w:tcBorders>
              <w:top w:val="single" w:sz="18" w:space="0" w:color="auto"/>
            </w:tcBorders>
            <w:tcMar>
              <w:top w:w="100" w:type="dxa"/>
              <w:left w:w="100" w:type="dxa"/>
              <w:bottom w:w="100" w:type="dxa"/>
              <w:right w:w="100" w:type="dxa"/>
            </w:tcMar>
          </w:tcPr>
          <w:p w14:paraId="09E20806" w14:textId="77777777" w:rsidR="00466FE6" w:rsidRDefault="00466FE6" w:rsidP="00466FE6">
            <w:pPr>
              <w:rPr>
                <w:sz w:val="21"/>
                <w:szCs w:val="21"/>
              </w:rPr>
            </w:pPr>
            <w:r>
              <w:rPr>
                <w:sz w:val="21"/>
                <w:szCs w:val="21"/>
              </w:rPr>
              <w:t>34.378847</w:t>
            </w:r>
          </w:p>
        </w:tc>
      </w:tr>
      <w:tr w:rsidR="00466FE6" w14:paraId="266C9AFB" w14:textId="77777777" w:rsidTr="00C12C3E">
        <w:trPr>
          <w:trHeight w:val="18"/>
          <w:jc w:val="center"/>
        </w:trPr>
        <w:tc>
          <w:tcPr>
            <w:tcW w:w="1635" w:type="dxa"/>
            <w:tcMar>
              <w:top w:w="100" w:type="dxa"/>
              <w:left w:w="100" w:type="dxa"/>
              <w:bottom w:w="100" w:type="dxa"/>
              <w:right w:w="100" w:type="dxa"/>
            </w:tcMar>
          </w:tcPr>
          <w:p w14:paraId="0CAE8CE8" w14:textId="77777777" w:rsidR="00466FE6" w:rsidRDefault="00466FE6" w:rsidP="00466FE6">
            <w:pPr>
              <w:rPr>
                <w:sz w:val="21"/>
                <w:szCs w:val="21"/>
              </w:rPr>
            </w:pPr>
          </w:p>
        </w:tc>
        <w:tc>
          <w:tcPr>
            <w:tcW w:w="1815" w:type="dxa"/>
            <w:tcMar>
              <w:top w:w="100" w:type="dxa"/>
              <w:left w:w="100" w:type="dxa"/>
              <w:bottom w:w="100" w:type="dxa"/>
              <w:right w:w="100" w:type="dxa"/>
            </w:tcMar>
          </w:tcPr>
          <w:p w14:paraId="1F605E53" w14:textId="49B60C45" w:rsidR="00466FE6" w:rsidRDefault="00466FE6" w:rsidP="00466FE6">
            <w:pPr>
              <w:widowControl w:val="0"/>
              <w:pBdr>
                <w:top w:val="nil"/>
                <w:left w:val="nil"/>
                <w:bottom w:val="nil"/>
                <w:right w:val="nil"/>
                <w:between w:val="nil"/>
              </w:pBdr>
              <w:rPr>
                <w:sz w:val="21"/>
                <w:szCs w:val="21"/>
              </w:rPr>
            </w:pPr>
            <w:r w:rsidRPr="00F93CCF">
              <w:rPr>
                <w:sz w:val="20"/>
              </w:rPr>
              <w:t>172845</w:t>
            </w:r>
            <w:r>
              <w:rPr>
                <w:sz w:val="20"/>
              </w:rPr>
              <w:t>-121-T</w:t>
            </w:r>
          </w:p>
        </w:tc>
        <w:tc>
          <w:tcPr>
            <w:tcW w:w="1500" w:type="dxa"/>
            <w:tcMar>
              <w:top w:w="100" w:type="dxa"/>
              <w:left w:w="100" w:type="dxa"/>
              <w:bottom w:w="100" w:type="dxa"/>
              <w:right w:w="100" w:type="dxa"/>
            </w:tcMar>
          </w:tcPr>
          <w:p w14:paraId="4F0F58EA" w14:textId="77777777" w:rsidR="00466FE6" w:rsidRDefault="00466FE6" w:rsidP="00466FE6">
            <w:pPr>
              <w:rPr>
                <w:sz w:val="21"/>
                <w:szCs w:val="21"/>
              </w:rPr>
            </w:pPr>
            <w:r>
              <w:rPr>
                <w:sz w:val="21"/>
                <w:szCs w:val="21"/>
              </w:rPr>
              <w:t>22722611</w:t>
            </w:r>
          </w:p>
        </w:tc>
        <w:tc>
          <w:tcPr>
            <w:tcW w:w="2070" w:type="dxa"/>
            <w:tcMar>
              <w:top w:w="100" w:type="dxa"/>
              <w:left w:w="100" w:type="dxa"/>
              <w:bottom w:w="100" w:type="dxa"/>
              <w:right w:w="100" w:type="dxa"/>
            </w:tcMar>
          </w:tcPr>
          <w:p w14:paraId="1AD2DCC8" w14:textId="77777777" w:rsidR="00466FE6" w:rsidRDefault="00466FE6" w:rsidP="00466FE6">
            <w:pPr>
              <w:rPr>
                <w:sz w:val="21"/>
                <w:szCs w:val="21"/>
              </w:rPr>
            </w:pPr>
            <w:r>
              <w:rPr>
                <w:sz w:val="21"/>
                <w:szCs w:val="21"/>
              </w:rPr>
              <w:t>25.75321</w:t>
            </w:r>
          </w:p>
        </w:tc>
      </w:tr>
      <w:tr w:rsidR="00466FE6" w14:paraId="77E7B2EC" w14:textId="77777777" w:rsidTr="00C12C3E">
        <w:trPr>
          <w:trHeight w:val="38"/>
          <w:jc w:val="center"/>
        </w:trPr>
        <w:tc>
          <w:tcPr>
            <w:tcW w:w="1635" w:type="dxa"/>
            <w:tcBorders>
              <w:bottom w:val="single" w:sz="18" w:space="0" w:color="auto"/>
            </w:tcBorders>
            <w:tcMar>
              <w:top w:w="100" w:type="dxa"/>
              <w:left w:w="100" w:type="dxa"/>
              <w:bottom w:w="100" w:type="dxa"/>
              <w:right w:w="100" w:type="dxa"/>
            </w:tcMar>
          </w:tcPr>
          <w:p w14:paraId="2F825D1C" w14:textId="77777777" w:rsidR="00466FE6" w:rsidRDefault="00466FE6" w:rsidP="00466FE6">
            <w:pPr>
              <w:rPr>
                <w:sz w:val="21"/>
                <w:szCs w:val="21"/>
              </w:rPr>
            </w:pPr>
          </w:p>
        </w:tc>
        <w:tc>
          <w:tcPr>
            <w:tcW w:w="1815" w:type="dxa"/>
            <w:tcBorders>
              <w:bottom w:val="single" w:sz="18" w:space="0" w:color="auto"/>
            </w:tcBorders>
            <w:tcMar>
              <w:top w:w="100" w:type="dxa"/>
              <w:left w:w="100" w:type="dxa"/>
              <w:bottom w:w="100" w:type="dxa"/>
              <w:right w:w="100" w:type="dxa"/>
            </w:tcMar>
          </w:tcPr>
          <w:p w14:paraId="373AD16A" w14:textId="68019EF6" w:rsidR="00466FE6" w:rsidRDefault="00466FE6" w:rsidP="00466FE6">
            <w:pPr>
              <w:widowControl w:val="0"/>
              <w:pBdr>
                <w:top w:val="nil"/>
                <w:left w:val="nil"/>
                <w:bottom w:val="nil"/>
                <w:right w:val="nil"/>
                <w:between w:val="nil"/>
              </w:pBdr>
              <w:rPr>
                <w:sz w:val="21"/>
                <w:szCs w:val="21"/>
              </w:rPr>
            </w:pPr>
            <w:r w:rsidRPr="00F93CCF">
              <w:rPr>
                <w:sz w:val="20"/>
              </w:rPr>
              <w:t>625472</w:t>
            </w:r>
            <w:r>
              <w:rPr>
                <w:sz w:val="20"/>
              </w:rPr>
              <w:t>-104-R</w:t>
            </w:r>
          </w:p>
        </w:tc>
        <w:tc>
          <w:tcPr>
            <w:tcW w:w="1500" w:type="dxa"/>
            <w:tcBorders>
              <w:bottom w:val="single" w:sz="18" w:space="0" w:color="auto"/>
            </w:tcBorders>
            <w:tcMar>
              <w:top w:w="100" w:type="dxa"/>
              <w:left w:w="100" w:type="dxa"/>
              <w:bottom w:w="100" w:type="dxa"/>
              <w:right w:w="100" w:type="dxa"/>
            </w:tcMar>
          </w:tcPr>
          <w:p w14:paraId="6680ABF8" w14:textId="77777777" w:rsidR="00466FE6" w:rsidRDefault="00466FE6" w:rsidP="00466FE6">
            <w:pPr>
              <w:rPr>
                <w:sz w:val="21"/>
                <w:szCs w:val="21"/>
              </w:rPr>
            </w:pPr>
            <w:r>
              <w:rPr>
                <w:sz w:val="21"/>
                <w:szCs w:val="21"/>
              </w:rPr>
              <w:t>23350341</w:t>
            </w:r>
          </w:p>
        </w:tc>
        <w:tc>
          <w:tcPr>
            <w:tcW w:w="2070" w:type="dxa"/>
            <w:tcBorders>
              <w:bottom w:val="single" w:sz="18" w:space="0" w:color="auto"/>
            </w:tcBorders>
            <w:tcMar>
              <w:top w:w="100" w:type="dxa"/>
              <w:left w:w="100" w:type="dxa"/>
              <w:bottom w:w="100" w:type="dxa"/>
              <w:right w:w="100" w:type="dxa"/>
            </w:tcMar>
          </w:tcPr>
          <w:p w14:paraId="7152287A" w14:textId="77777777" w:rsidR="00466FE6" w:rsidRDefault="00466FE6" w:rsidP="00466FE6">
            <w:pPr>
              <w:rPr>
                <w:sz w:val="21"/>
                <w:szCs w:val="21"/>
              </w:rPr>
            </w:pPr>
            <w:r>
              <w:rPr>
                <w:sz w:val="21"/>
                <w:szCs w:val="21"/>
              </w:rPr>
              <w:t>28.91726</w:t>
            </w:r>
          </w:p>
        </w:tc>
      </w:tr>
      <w:tr w:rsidR="00466FE6" w14:paraId="761D9FB0" w14:textId="77777777" w:rsidTr="00C12C3E">
        <w:trPr>
          <w:trHeight w:val="18"/>
          <w:jc w:val="center"/>
        </w:trPr>
        <w:tc>
          <w:tcPr>
            <w:tcW w:w="1635" w:type="dxa"/>
            <w:vMerge w:val="restart"/>
            <w:tcBorders>
              <w:top w:val="single" w:sz="18" w:space="0" w:color="auto"/>
            </w:tcBorders>
            <w:tcMar>
              <w:top w:w="100" w:type="dxa"/>
              <w:left w:w="100" w:type="dxa"/>
              <w:bottom w:w="100" w:type="dxa"/>
              <w:right w:w="100" w:type="dxa"/>
            </w:tcMar>
          </w:tcPr>
          <w:p w14:paraId="506A4BEC" w14:textId="3259BD00" w:rsidR="00466FE6" w:rsidRDefault="00466FE6" w:rsidP="00466FE6">
            <w:pPr>
              <w:rPr>
                <w:sz w:val="21"/>
                <w:szCs w:val="21"/>
              </w:rPr>
            </w:pPr>
            <w:r>
              <w:rPr>
                <w:b/>
                <w:bCs/>
                <w:sz w:val="20"/>
                <w:szCs w:val="20"/>
              </w:rPr>
              <w:t>WUSTL</w:t>
            </w:r>
          </w:p>
          <w:p w14:paraId="2B1ED159" w14:textId="7CC298BB" w:rsidR="00466FE6" w:rsidRDefault="00466FE6" w:rsidP="00466FE6">
            <w:pPr>
              <w:rPr>
                <w:sz w:val="21"/>
                <w:szCs w:val="21"/>
              </w:rPr>
            </w:pPr>
          </w:p>
        </w:tc>
        <w:tc>
          <w:tcPr>
            <w:tcW w:w="1815" w:type="dxa"/>
            <w:tcBorders>
              <w:top w:val="single" w:sz="18" w:space="0" w:color="auto"/>
            </w:tcBorders>
            <w:tcMar>
              <w:top w:w="100" w:type="dxa"/>
              <w:left w:w="100" w:type="dxa"/>
              <w:bottom w:w="100" w:type="dxa"/>
              <w:right w:w="100" w:type="dxa"/>
            </w:tcMar>
          </w:tcPr>
          <w:p w14:paraId="58521DFE" w14:textId="37B47008" w:rsidR="00466FE6" w:rsidRDefault="00466FE6" w:rsidP="00466FE6">
            <w:pPr>
              <w:widowControl w:val="0"/>
              <w:pBdr>
                <w:top w:val="nil"/>
                <w:left w:val="nil"/>
                <w:bottom w:val="nil"/>
                <w:right w:val="nil"/>
                <w:between w:val="nil"/>
              </w:pBdr>
              <w:rPr>
                <w:sz w:val="21"/>
                <w:szCs w:val="21"/>
              </w:rPr>
            </w:pPr>
            <w:r w:rsidRPr="00A045C1">
              <w:rPr>
                <w:sz w:val="20"/>
              </w:rPr>
              <w:t>BL0293-F563</w:t>
            </w:r>
          </w:p>
        </w:tc>
        <w:tc>
          <w:tcPr>
            <w:tcW w:w="1500" w:type="dxa"/>
            <w:tcBorders>
              <w:top w:val="single" w:sz="18" w:space="0" w:color="auto"/>
            </w:tcBorders>
            <w:tcMar>
              <w:top w:w="100" w:type="dxa"/>
              <w:left w:w="100" w:type="dxa"/>
              <w:bottom w:w="100" w:type="dxa"/>
              <w:right w:w="100" w:type="dxa"/>
            </w:tcMar>
          </w:tcPr>
          <w:p w14:paraId="6155913B" w14:textId="77777777" w:rsidR="00466FE6" w:rsidRDefault="00466FE6" w:rsidP="00466FE6">
            <w:pPr>
              <w:rPr>
                <w:sz w:val="21"/>
                <w:szCs w:val="21"/>
              </w:rPr>
            </w:pPr>
            <w:r>
              <w:rPr>
                <w:sz w:val="21"/>
                <w:szCs w:val="21"/>
              </w:rPr>
              <w:t>63360889</w:t>
            </w:r>
          </w:p>
        </w:tc>
        <w:tc>
          <w:tcPr>
            <w:tcW w:w="2070" w:type="dxa"/>
            <w:tcBorders>
              <w:top w:val="single" w:sz="18" w:space="0" w:color="auto"/>
            </w:tcBorders>
            <w:tcMar>
              <w:top w:w="100" w:type="dxa"/>
              <w:left w:w="100" w:type="dxa"/>
              <w:bottom w:w="100" w:type="dxa"/>
              <w:right w:w="100" w:type="dxa"/>
            </w:tcMar>
          </w:tcPr>
          <w:p w14:paraId="2AB17D38" w14:textId="77777777" w:rsidR="00466FE6" w:rsidRDefault="00466FE6" w:rsidP="00466FE6">
            <w:pPr>
              <w:rPr>
                <w:sz w:val="21"/>
                <w:szCs w:val="21"/>
              </w:rPr>
            </w:pPr>
            <w:r>
              <w:rPr>
                <w:sz w:val="21"/>
                <w:szCs w:val="21"/>
              </w:rPr>
              <w:t>225.221598</w:t>
            </w:r>
          </w:p>
        </w:tc>
      </w:tr>
      <w:tr w:rsidR="00466FE6" w14:paraId="4D2EBD47" w14:textId="77777777" w:rsidTr="00C12C3E">
        <w:trPr>
          <w:trHeight w:val="38"/>
          <w:jc w:val="center"/>
        </w:trPr>
        <w:tc>
          <w:tcPr>
            <w:tcW w:w="1635" w:type="dxa"/>
            <w:vMerge/>
            <w:tcMar>
              <w:top w:w="100" w:type="dxa"/>
              <w:left w:w="100" w:type="dxa"/>
              <w:bottom w:w="100" w:type="dxa"/>
              <w:right w:w="100" w:type="dxa"/>
            </w:tcMar>
          </w:tcPr>
          <w:p w14:paraId="698414AD" w14:textId="77777777" w:rsidR="00466FE6" w:rsidRDefault="00466FE6" w:rsidP="00466FE6">
            <w:pPr>
              <w:rPr>
                <w:sz w:val="21"/>
                <w:szCs w:val="21"/>
              </w:rPr>
            </w:pPr>
          </w:p>
        </w:tc>
        <w:tc>
          <w:tcPr>
            <w:tcW w:w="1815" w:type="dxa"/>
            <w:tcMar>
              <w:top w:w="100" w:type="dxa"/>
              <w:left w:w="100" w:type="dxa"/>
              <w:bottom w:w="100" w:type="dxa"/>
              <w:right w:w="100" w:type="dxa"/>
            </w:tcMar>
          </w:tcPr>
          <w:p w14:paraId="0B1A26DD" w14:textId="203AC43E" w:rsidR="00466FE6" w:rsidRDefault="00466FE6" w:rsidP="00466FE6">
            <w:pPr>
              <w:widowControl w:val="0"/>
              <w:pBdr>
                <w:top w:val="nil"/>
                <w:left w:val="nil"/>
                <w:bottom w:val="nil"/>
                <w:right w:val="nil"/>
                <w:between w:val="nil"/>
              </w:pBdr>
              <w:rPr>
                <w:sz w:val="21"/>
                <w:szCs w:val="21"/>
              </w:rPr>
            </w:pPr>
            <w:r w:rsidRPr="00F93CCF">
              <w:rPr>
                <w:sz w:val="20"/>
              </w:rPr>
              <w:t>172845</w:t>
            </w:r>
            <w:r>
              <w:rPr>
                <w:sz w:val="20"/>
              </w:rPr>
              <w:t>-121-T</w:t>
            </w:r>
          </w:p>
        </w:tc>
        <w:tc>
          <w:tcPr>
            <w:tcW w:w="1500" w:type="dxa"/>
            <w:tcMar>
              <w:top w:w="100" w:type="dxa"/>
              <w:left w:w="100" w:type="dxa"/>
              <w:bottom w:w="100" w:type="dxa"/>
              <w:right w:w="100" w:type="dxa"/>
            </w:tcMar>
          </w:tcPr>
          <w:p w14:paraId="0551A2FD" w14:textId="77777777" w:rsidR="00466FE6" w:rsidRDefault="00466FE6" w:rsidP="00466FE6">
            <w:pPr>
              <w:rPr>
                <w:sz w:val="21"/>
                <w:szCs w:val="21"/>
              </w:rPr>
            </w:pPr>
            <w:r>
              <w:rPr>
                <w:sz w:val="21"/>
                <w:szCs w:val="21"/>
              </w:rPr>
              <w:t>47171801</w:t>
            </w:r>
          </w:p>
        </w:tc>
        <w:tc>
          <w:tcPr>
            <w:tcW w:w="2070" w:type="dxa"/>
            <w:tcMar>
              <w:top w:w="100" w:type="dxa"/>
              <w:left w:w="100" w:type="dxa"/>
              <w:bottom w:w="100" w:type="dxa"/>
              <w:right w:w="100" w:type="dxa"/>
            </w:tcMar>
          </w:tcPr>
          <w:p w14:paraId="27E667F4" w14:textId="77777777" w:rsidR="00466FE6" w:rsidRDefault="00466FE6" w:rsidP="00466FE6">
            <w:pPr>
              <w:rPr>
                <w:sz w:val="21"/>
                <w:szCs w:val="21"/>
              </w:rPr>
            </w:pPr>
            <w:r>
              <w:rPr>
                <w:sz w:val="21"/>
                <w:szCs w:val="21"/>
              </w:rPr>
              <w:t>163.915966</w:t>
            </w:r>
          </w:p>
        </w:tc>
      </w:tr>
      <w:tr w:rsidR="00466FE6" w14:paraId="32118119" w14:textId="77777777" w:rsidTr="00C12C3E">
        <w:trPr>
          <w:trHeight w:val="18"/>
          <w:jc w:val="center"/>
        </w:trPr>
        <w:tc>
          <w:tcPr>
            <w:tcW w:w="1635" w:type="dxa"/>
            <w:tcBorders>
              <w:bottom w:val="single" w:sz="18" w:space="0" w:color="auto"/>
            </w:tcBorders>
            <w:tcMar>
              <w:top w:w="100" w:type="dxa"/>
              <w:left w:w="100" w:type="dxa"/>
              <w:bottom w:w="100" w:type="dxa"/>
              <w:right w:w="100" w:type="dxa"/>
            </w:tcMar>
          </w:tcPr>
          <w:p w14:paraId="15202B21" w14:textId="77777777" w:rsidR="00466FE6" w:rsidRDefault="00466FE6" w:rsidP="00466FE6">
            <w:pPr>
              <w:rPr>
                <w:sz w:val="21"/>
                <w:szCs w:val="21"/>
              </w:rPr>
            </w:pPr>
          </w:p>
        </w:tc>
        <w:tc>
          <w:tcPr>
            <w:tcW w:w="1815" w:type="dxa"/>
            <w:tcBorders>
              <w:bottom w:val="single" w:sz="18" w:space="0" w:color="auto"/>
            </w:tcBorders>
            <w:tcMar>
              <w:top w:w="100" w:type="dxa"/>
              <w:left w:w="100" w:type="dxa"/>
              <w:bottom w:w="100" w:type="dxa"/>
              <w:right w:w="100" w:type="dxa"/>
            </w:tcMar>
          </w:tcPr>
          <w:p w14:paraId="0E235EC4" w14:textId="09873021" w:rsidR="00466FE6" w:rsidRDefault="00466FE6" w:rsidP="00466FE6">
            <w:pPr>
              <w:widowControl w:val="0"/>
              <w:pBdr>
                <w:top w:val="nil"/>
                <w:left w:val="nil"/>
                <w:bottom w:val="nil"/>
                <w:right w:val="nil"/>
                <w:between w:val="nil"/>
              </w:pBdr>
              <w:rPr>
                <w:sz w:val="21"/>
                <w:szCs w:val="21"/>
              </w:rPr>
            </w:pPr>
            <w:r w:rsidRPr="00F93CCF">
              <w:rPr>
                <w:sz w:val="20"/>
              </w:rPr>
              <w:t>625472</w:t>
            </w:r>
            <w:r>
              <w:rPr>
                <w:sz w:val="20"/>
              </w:rPr>
              <w:t>-104-R</w:t>
            </w:r>
          </w:p>
        </w:tc>
        <w:tc>
          <w:tcPr>
            <w:tcW w:w="1500" w:type="dxa"/>
            <w:tcBorders>
              <w:bottom w:val="single" w:sz="18" w:space="0" w:color="auto"/>
            </w:tcBorders>
            <w:tcMar>
              <w:top w:w="100" w:type="dxa"/>
              <w:left w:w="100" w:type="dxa"/>
              <w:bottom w:w="100" w:type="dxa"/>
              <w:right w:w="100" w:type="dxa"/>
            </w:tcMar>
          </w:tcPr>
          <w:p w14:paraId="7DF74D81" w14:textId="77777777" w:rsidR="00466FE6" w:rsidRDefault="00466FE6" w:rsidP="00466FE6">
            <w:pPr>
              <w:rPr>
                <w:sz w:val="21"/>
                <w:szCs w:val="21"/>
              </w:rPr>
            </w:pPr>
            <w:r>
              <w:rPr>
                <w:sz w:val="21"/>
                <w:szCs w:val="21"/>
              </w:rPr>
              <w:t>36508439</w:t>
            </w:r>
          </w:p>
        </w:tc>
        <w:tc>
          <w:tcPr>
            <w:tcW w:w="2070" w:type="dxa"/>
            <w:tcBorders>
              <w:bottom w:val="single" w:sz="18" w:space="0" w:color="auto"/>
            </w:tcBorders>
            <w:tcMar>
              <w:top w:w="100" w:type="dxa"/>
              <w:left w:w="100" w:type="dxa"/>
              <w:bottom w:w="100" w:type="dxa"/>
              <w:right w:w="100" w:type="dxa"/>
            </w:tcMar>
          </w:tcPr>
          <w:p w14:paraId="136558EF" w14:textId="77777777" w:rsidR="00466FE6" w:rsidRDefault="00466FE6" w:rsidP="00466FE6">
            <w:pPr>
              <w:rPr>
                <w:sz w:val="21"/>
                <w:szCs w:val="21"/>
              </w:rPr>
            </w:pPr>
            <w:r>
              <w:rPr>
                <w:sz w:val="21"/>
                <w:szCs w:val="21"/>
              </w:rPr>
              <w:t>131.624613</w:t>
            </w:r>
          </w:p>
        </w:tc>
      </w:tr>
      <w:tr w:rsidR="00466FE6" w14:paraId="31BB4E4E" w14:textId="77777777" w:rsidTr="00C12C3E">
        <w:trPr>
          <w:trHeight w:val="146"/>
          <w:jc w:val="center"/>
        </w:trPr>
        <w:tc>
          <w:tcPr>
            <w:tcW w:w="1635" w:type="dxa"/>
            <w:tcBorders>
              <w:top w:val="single" w:sz="18" w:space="0" w:color="auto"/>
            </w:tcBorders>
            <w:tcMar>
              <w:top w:w="100" w:type="dxa"/>
              <w:left w:w="100" w:type="dxa"/>
              <w:bottom w:w="100" w:type="dxa"/>
              <w:right w:w="100" w:type="dxa"/>
            </w:tcMar>
          </w:tcPr>
          <w:p w14:paraId="64925F5E" w14:textId="224E1EE8" w:rsidR="00466FE6" w:rsidRDefault="00466FE6" w:rsidP="00466FE6">
            <w:pPr>
              <w:rPr>
                <w:sz w:val="21"/>
                <w:szCs w:val="21"/>
              </w:rPr>
            </w:pPr>
            <w:r>
              <w:rPr>
                <w:b/>
                <w:sz w:val="20"/>
              </w:rPr>
              <w:t>WIST</w:t>
            </w:r>
          </w:p>
        </w:tc>
        <w:tc>
          <w:tcPr>
            <w:tcW w:w="1815" w:type="dxa"/>
            <w:tcBorders>
              <w:top w:val="single" w:sz="18" w:space="0" w:color="auto"/>
            </w:tcBorders>
            <w:tcMar>
              <w:top w:w="100" w:type="dxa"/>
              <w:left w:w="100" w:type="dxa"/>
              <w:bottom w:w="100" w:type="dxa"/>
              <w:right w:w="100" w:type="dxa"/>
            </w:tcMar>
          </w:tcPr>
          <w:p w14:paraId="5E617755" w14:textId="2A04779C" w:rsidR="00466FE6" w:rsidRDefault="00466FE6" w:rsidP="00466FE6">
            <w:pPr>
              <w:widowControl w:val="0"/>
              <w:pBdr>
                <w:top w:val="nil"/>
                <w:left w:val="nil"/>
                <w:bottom w:val="nil"/>
                <w:right w:val="nil"/>
                <w:between w:val="nil"/>
              </w:pBdr>
              <w:rPr>
                <w:sz w:val="21"/>
                <w:szCs w:val="21"/>
              </w:rPr>
            </w:pPr>
            <w:r w:rsidRPr="00A045C1">
              <w:rPr>
                <w:sz w:val="20"/>
              </w:rPr>
              <w:t>BL0293-F563</w:t>
            </w:r>
          </w:p>
        </w:tc>
        <w:tc>
          <w:tcPr>
            <w:tcW w:w="1500" w:type="dxa"/>
            <w:tcBorders>
              <w:top w:val="single" w:sz="18" w:space="0" w:color="auto"/>
            </w:tcBorders>
            <w:tcMar>
              <w:top w:w="100" w:type="dxa"/>
              <w:left w:w="100" w:type="dxa"/>
              <w:bottom w:w="100" w:type="dxa"/>
              <w:right w:w="100" w:type="dxa"/>
            </w:tcMar>
          </w:tcPr>
          <w:p w14:paraId="5C2BDE14" w14:textId="77777777" w:rsidR="00466FE6" w:rsidRDefault="00466FE6" w:rsidP="00466FE6">
            <w:pPr>
              <w:rPr>
                <w:sz w:val="21"/>
                <w:szCs w:val="21"/>
              </w:rPr>
            </w:pPr>
            <w:r>
              <w:rPr>
                <w:sz w:val="21"/>
                <w:szCs w:val="21"/>
              </w:rPr>
              <w:t>249671426</w:t>
            </w:r>
          </w:p>
        </w:tc>
        <w:tc>
          <w:tcPr>
            <w:tcW w:w="2070" w:type="dxa"/>
            <w:tcBorders>
              <w:top w:val="single" w:sz="18" w:space="0" w:color="auto"/>
            </w:tcBorders>
            <w:tcMar>
              <w:top w:w="100" w:type="dxa"/>
              <w:left w:w="100" w:type="dxa"/>
              <w:bottom w:w="100" w:type="dxa"/>
              <w:right w:w="100" w:type="dxa"/>
            </w:tcMar>
          </w:tcPr>
          <w:p w14:paraId="19F39C2E" w14:textId="77777777" w:rsidR="00466FE6" w:rsidRDefault="00466FE6" w:rsidP="00466FE6">
            <w:pPr>
              <w:rPr>
                <w:sz w:val="21"/>
                <w:szCs w:val="21"/>
              </w:rPr>
            </w:pPr>
            <w:r>
              <w:rPr>
                <w:sz w:val="21"/>
                <w:szCs w:val="21"/>
              </w:rPr>
              <w:t>192.639997</w:t>
            </w:r>
          </w:p>
        </w:tc>
      </w:tr>
      <w:tr w:rsidR="00466FE6" w14:paraId="245A9DD0" w14:textId="77777777" w:rsidTr="00C12C3E">
        <w:trPr>
          <w:trHeight w:val="101"/>
          <w:jc w:val="center"/>
        </w:trPr>
        <w:tc>
          <w:tcPr>
            <w:tcW w:w="1635" w:type="dxa"/>
            <w:tcMar>
              <w:top w:w="100" w:type="dxa"/>
              <w:left w:w="100" w:type="dxa"/>
              <w:bottom w:w="100" w:type="dxa"/>
              <w:right w:w="100" w:type="dxa"/>
            </w:tcMar>
          </w:tcPr>
          <w:p w14:paraId="79B7C5A6" w14:textId="77777777" w:rsidR="00466FE6" w:rsidRDefault="00466FE6" w:rsidP="00466FE6">
            <w:pPr>
              <w:rPr>
                <w:sz w:val="21"/>
                <w:szCs w:val="21"/>
              </w:rPr>
            </w:pPr>
          </w:p>
        </w:tc>
        <w:tc>
          <w:tcPr>
            <w:tcW w:w="1815" w:type="dxa"/>
            <w:tcMar>
              <w:top w:w="100" w:type="dxa"/>
              <w:left w:w="100" w:type="dxa"/>
              <w:bottom w:w="100" w:type="dxa"/>
              <w:right w:w="100" w:type="dxa"/>
            </w:tcMar>
          </w:tcPr>
          <w:p w14:paraId="1A265DCE" w14:textId="086D6089" w:rsidR="00466FE6" w:rsidRDefault="00466FE6" w:rsidP="00466FE6">
            <w:pPr>
              <w:widowControl w:val="0"/>
              <w:pBdr>
                <w:top w:val="nil"/>
                <w:left w:val="nil"/>
                <w:bottom w:val="nil"/>
                <w:right w:val="nil"/>
                <w:between w:val="nil"/>
              </w:pBdr>
              <w:rPr>
                <w:sz w:val="21"/>
                <w:szCs w:val="21"/>
              </w:rPr>
            </w:pPr>
            <w:r w:rsidRPr="00F93CCF">
              <w:rPr>
                <w:sz w:val="20"/>
              </w:rPr>
              <w:t>172845</w:t>
            </w:r>
            <w:r>
              <w:rPr>
                <w:sz w:val="20"/>
              </w:rPr>
              <w:t>-121-T</w:t>
            </w:r>
          </w:p>
        </w:tc>
        <w:tc>
          <w:tcPr>
            <w:tcW w:w="1500" w:type="dxa"/>
            <w:tcMar>
              <w:top w:w="100" w:type="dxa"/>
              <w:left w:w="100" w:type="dxa"/>
              <w:bottom w:w="100" w:type="dxa"/>
              <w:right w:w="100" w:type="dxa"/>
            </w:tcMar>
          </w:tcPr>
          <w:p w14:paraId="4CE95BE9" w14:textId="77777777" w:rsidR="00466FE6" w:rsidRDefault="00466FE6" w:rsidP="00466FE6">
            <w:pPr>
              <w:rPr>
                <w:sz w:val="21"/>
                <w:szCs w:val="21"/>
              </w:rPr>
            </w:pPr>
            <w:r>
              <w:rPr>
                <w:sz w:val="21"/>
                <w:szCs w:val="21"/>
              </w:rPr>
              <w:t>114733973</w:t>
            </w:r>
          </w:p>
        </w:tc>
        <w:tc>
          <w:tcPr>
            <w:tcW w:w="2070" w:type="dxa"/>
            <w:tcMar>
              <w:top w:w="100" w:type="dxa"/>
              <w:left w:w="100" w:type="dxa"/>
              <w:bottom w:w="100" w:type="dxa"/>
              <w:right w:w="100" w:type="dxa"/>
            </w:tcMar>
          </w:tcPr>
          <w:p w14:paraId="2F77DCB3" w14:textId="77777777" w:rsidR="00466FE6" w:rsidRDefault="00466FE6" w:rsidP="00466FE6">
            <w:pPr>
              <w:rPr>
                <w:sz w:val="21"/>
                <w:szCs w:val="21"/>
              </w:rPr>
            </w:pPr>
            <w:r>
              <w:rPr>
                <w:sz w:val="21"/>
                <w:szCs w:val="21"/>
              </w:rPr>
              <w:t>122.825594</w:t>
            </w:r>
          </w:p>
        </w:tc>
      </w:tr>
      <w:tr w:rsidR="00466FE6" w14:paraId="7CBFC25A" w14:textId="77777777" w:rsidTr="001533AF">
        <w:trPr>
          <w:trHeight w:val="146"/>
          <w:jc w:val="center"/>
        </w:trPr>
        <w:tc>
          <w:tcPr>
            <w:tcW w:w="1635" w:type="dxa"/>
            <w:tcBorders>
              <w:bottom w:val="single" w:sz="18" w:space="0" w:color="auto"/>
            </w:tcBorders>
            <w:tcMar>
              <w:top w:w="100" w:type="dxa"/>
              <w:left w:w="100" w:type="dxa"/>
              <w:bottom w:w="100" w:type="dxa"/>
              <w:right w:w="100" w:type="dxa"/>
            </w:tcMar>
          </w:tcPr>
          <w:p w14:paraId="436505C9" w14:textId="77777777" w:rsidR="00466FE6" w:rsidRDefault="00466FE6" w:rsidP="00466FE6">
            <w:pPr>
              <w:rPr>
                <w:sz w:val="21"/>
                <w:szCs w:val="21"/>
              </w:rPr>
            </w:pPr>
          </w:p>
        </w:tc>
        <w:tc>
          <w:tcPr>
            <w:tcW w:w="1815" w:type="dxa"/>
            <w:tcBorders>
              <w:bottom w:val="single" w:sz="18" w:space="0" w:color="auto"/>
            </w:tcBorders>
            <w:tcMar>
              <w:top w:w="100" w:type="dxa"/>
              <w:left w:w="100" w:type="dxa"/>
              <w:bottom w:w="100" w:type="dxa"/>
              <w:right w:w="100" w:type="dxa"/>
            </w:tcMar>
          </w:tcPr>
          <w:p w14:paraId="159BC5F7" w14:textId="671D1879" w:rsidR="00466FE6" w:rsidRDefault="00466FE6" w:rsidP="00466FE6">
            <w:pPr>
              <w:widowControl w:val="0"/>
              <w:pBdr>
                <w:top w:val="nil"/>
                <w:left w:val="nil"/>
                <w:bottom w:val="nil"/>
                <w:right w:val="nil"/>
                <w:between w:val="nil"/>
              </w:pBdr>
              <w:rPr>
                <w:sz w:val="21"/>
                <w:szCs w:val="21"/>
              </w:rPr>
            </w:pPr>
            <w:r w:rsidRPr="00F93CCF">
              <w:rPr>
                <w:sz w:val="20"/>
              </w:rPr>
              <w:t>625472</w:t>
            </w:r>
            <w:r>
              <w:rPr>
                <w:sz w:val="20"/>
              </w:rPr>
              <w:t>-104-R</w:t>
            </w:r>
          </w:p>
        </w:tc>
        <w:tc>
          <w:tcPr>
            <w:tcW w:w="1500" w:type="dxa"/>
            <w:tcBorders>
              <w:bottom w:val="single" w:sz="18" w:space="0" w:color="auto"/>
            </w:tcBorders>
            <w:tcMar>
              <w:top w:w="100" w:type="dxa"/>
              <w:left w:w="100" w:type="dxa"/>
              <w:bottom w:w="100" w:type="dxa"/>
              <w:right w:w="100" w:type="dxa"/>
            </w:tcMar>
          </w:tcPr>
          <w:p w14:paraId="14065552" w14:textId="77777777" w:rsidR="00466FE6" w:rsidRDefault="00466FE6" w:rsidP="00466FE6">
            <w:pPr>
              <w:rPr>
                <w:sz w:val="21"/>
                <w:szCs w:val="21"/>
              </w:rPr>
            </w:pPr>
            <w:r>
              <w:rPr>
                <w:sz w:val="21"/>
                <w:szCs w:val="21"/>
              </w:rPr>
              <w:t>129198866</w:t>
            </w:r>
          </w:p>
        </w:tc>
        <w:tc>
          <w:tcPr>
            <w:tcW w:w="2070" w:type="dxa"/>
            <w:tcBorders>
              <w:bottom w:val="single" w:sz="18" w:space="0" w:color="auto"/>
            </w:tcBorders>
            <w:tcMar>
              <w:top w:w="100" w:type="dxa"/>
              <w:left w:w="100" w:type="dxa"/>
              <w:bottom w:w="100" w:type="dxa"/>
              <w:right w:w="100" w:type="dxa"/>
            </w:tcMar>
          </w:tcPr>
          <w:p w14:paraId="5203F44B" w14:textId="77777777" w:rsidR="00466FE6" w:rsidRDefault="00466FE6" w:rsidP="00466FE6">
            <w:pPr>
              <w:rPr>
                <w:sz w:val="21"/>
                <w:szCs w:val="21"/>
              </w:rPr>
            </w:pPr>
            <w:r>
              <w:rPr>
                <w:sz w:val="21"/>
                <w:szCs w:val="21"/>
              </w:rPr>
              <w:t>133.174483</w:t>
            </w:r>
          </w:p>
        </w:tc>
      </w:tr>
      <w:tr w:rsidR="00534A04" w14:paraId="49DC6349" w14:textId="77777777" w:rsidTr="00CA6110">
        <w:trPr>
          <w:trHeight w:val="146"/>
          <w:jc w:val="center"/>
        </w:trPr>
        <w:tc>
          <w:tcPr>
            <w:tcW w:w="7020" w:type="dxa"/>
            <w:gridSpan w:val="4"/>
            <w:tcBorders>
              <w:top w:val="single" w:sz="18" w:space="0" w:color="auto"/>
            </w:tcBorders>
            <w:tcMar>
              <w:top w:w="100" w:type="dxa"/>
              <w:left w:w="100" w:type="dxa"/>
              <w:bottom w:w="100" w:type="dxa"/>
              <w:right w:w="100" w:type="dxa"/>
            </w:tcMar>
          </w:tcPr>
          <w:p w14:paraId="7010A6D0" w14:textId="3E265112" w:rsidR="00534A04" w:rsidRPr="001533AF" w:rsidRDefault="00CA6110" w:rsidP="00466FE6">
            <w:r>
              <w:rPr>
                <w:rFonts w:ascii="Arial" w:hAnsi="Arial" w:cs="Arial"/>
                <w:sz w:val="15"/>
                <w:szCs w:val="15"/>
                <w:shd w:val="clear" w:color="auto" w:fill="FFFFFF"/>
              </w:rPr>
              <w:t>HCI-BCM - H</w:t>
            </w:r>
            <w:r w:rsidRPr="009958E8">
              <w:rPr>
                <w:rFonts w:ascii="Arial" w:hAnsi="Arial" w:cs="Arial"/>
                <w:sz w:val="15"/>
                <w:szCs w:val="15"/>
                <w:shd w:val="clear" w:color="auto" w:fill="FFFFFF"/>
              </w:rPr>
              <w:t>untsman Cancer Institute/Baylor College of Medicine</w:t>
            </w:r>
            <w:r>
              <w:rPr>
                <w:rFonts w:ascii="Arial" w:hAnsi="Arial" w:cs="Arial"/>
                <w:sz w:val="15"/>
                <w:szCs w:val="15"/>
                <w:shd w:val="clear" w:color="auto" w:fill="FFFFFF"/>
              </w:rPr>
              <w:t xml:space="preserve">, MDACC - </w:t>
            </w:r>
            <w:r w:rsidRPr="009958E8">
              <w:rPr>
                <w:rFonts w:ascii="Arial" w:hAnsi="Arial" w:cs="Arial"/>
                <w:sz w:val="15"/>
                <w:szCs w:val="15"/>
                <w:shd w:val="clear" w:color="auto" w:fill="FFFFFF"/>
              </w:rPr>
              <w:t>MD Anderson Cancer Center</w:t>
            </w:r>
            <w:r>
              <w:rPr>
                <w:rFonts w:ascii="Arial" w:hAnsi="Arial" w:cs="Arial"/>
                <w:sz w:val="15"/>
                <w:szCs w:val="15"/>
                <w:shd w:val="clear" w:color="auto" w:fill="FFFFFF"/>
              </w:rPr>
              <w:t xml:space="preserve">, WUSTL - </w:t>
            </w:r>
            <w:r w:rsidRPr="009958E8">
              <w:rPr>
                <w:rFonts w:ascii="Arial" w:hAnsi="Arial" w:cs="Arial"/>
                <w:sz w:val="15"/>
                <w:szCs w:val="15"/>
                <w:shd w:val="clear" w:color="auto" w:fill="FFFFFF"/>
              </w:rPr>
              <w:t>Washington University-St. Louis, an</w:t>
            </w:r>
            <w:r>
              <w:rPr>
                <w:rFonts w:ascii="Arial" w:hAnsi="Arial" w:cs="Arial"/>
                <w:sz w:val="15"/>
                <w:szCs w:val="15"/>
                <w:shd w:val="clear" w:color="auto" w:fill="FFFFFF"/>
              </w:rPr>
              <w:t xml:space="preserve">d WIST - </w:t>
            </w:r>
            <w:r w:rsidRPr="009958E8">
              <w:rPr>
                <w:rFonts w:ascii="Arial" w:hAnsi="Arial" w:cs="Arial"/>
                <w:sz w:val="15"/>
                <w:szCs w:val="15"/>
                <w:shd w:val="clear" w:color="auto" w:fill="FFFFFF"/>
              </w:rPr>
              <w:t>The Wistar Institute/University of Pennsylvania/MDACC.</w:t>
            </w:r>
          </w:p>
        </w:tc>
      </w:tr>
    </w:tbl>
    <w:p w14:paraId="638FE01E" w14:textId="77777777" w:rsidR="00044AA7" w:rsidRDefault="00044AA7" w:rsidP="00540250">
      <w:pPr>
        <w:rPr>
          <w:sz w:val="21"/>
          <w:szCs w:val="21"/>
        </w:rPr>
      </w:pPr>
      <w:r>
        <w:rPr>
          <w:sz w:val="21"/>
          <w:szCs w:val="21"/>
        </w:rPr>
        <w:t xml:space="preserve"> </w:t>
      </w:r>
    </w:p>
    <w:p w14:paraId="598FC329" w14:textId="720903C3" w:rsidR="002B7BE3" w:rsidRDefault="003B2267" w:rsidP="00EE466A">
      <w:pPr>
        <w:pStyle w:val="figure"/>
      </w:pPr>
      <w:r>
        <w:rPr>
          <w:lang w:eastAsia="zh-CN"/>
        </w:rPr>
        <w:lastRenderedPageBreak/>
        <w:drawing>
          <wp:inline distT="0" distB="0" distL="0" distR="0" wp14:anchorId="22413C29" wp14:editId="1328186A">
            <wp:extent cx="3746500" cy="5969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15.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46500" cy="5969000"/>
                    </a:xfrm>
                    <a:prstGeom prst="rect">
                      <a:avLst/>
                    </a:prstGeom>
                  </pic:spPr>
                </pic:pic>
              </a:graphicData>
            </a:graphic>
          </wp:inline>
        </w:drawing>
      </w:r>
    </w:p>
    <w:p w14:paraId="5C5977F1" w14:textId="17E71BA5" w:rsidR="00672690" w:rsidRPr="00F6464B" w:rsidRDefault="002B7BE3" w:rsidP="00540250">
      <w:pPr>
        <w:pStyle w:val="FigureLegend"/>
        <w:jc w:val="left"/>
        <w:rPr>
          <w:sz w:val="21"/>
          <w:szCs w:val="21"/>
        </w:rPr>
      </w:pPr>
      <w:r w:rsidRPr="00C12C3E">
        <w:t>Supplementary Figure 15.</w:t>
      </w:r>
      <w:r w:rsidRPr="00F93CCF">
        <w:t xml:space="preserve"> </w:t>
      </w:r>
      <w:r w:rsidRPr="00043989">
        <w:rPr>
          <w:b w:val="0"/>
          <w:bCs w:val="0"/>
        </w:rPr>
        <w:t>A Venn diagram showing the overlap in high-quality variant calls among centers by model using intersected array and removing lower allele frequency (AF</w:t>
      </w:r>
      <w:r w:rsidR="00D30627">
        <w:rPr>
          <w:b w:val="0"/>
          <w:bCs w:val="0"/>
        </w:rPr>
        <w:t xml:space="preserve"> </w:t>
      </w:r>
      <w:r w:rsidR="00FC778D">
        <w:rPr>
          <w:b w:val="0"/>
          <w:bCs w:val="0"/>
        </w:rPr>
        <w:t>&lt;5%</w:t>
      </w:r>
      <w:r w:rsidRPr="00043989">
        <w:rPr>
          <w:b w:val="0"/>
          <w:bCs w:val="0"/>
        </w:rPr>
        <w:t xml:space="preserve"> calls.</w:t>
      </w:r>
      <w:r w:rsidR="0082679C">
        <w:rPr>
          <w:b w:val="0"/>
          <w:bCs w:val="0"/>
        </w:rPr>
        <w:t xml:space="preserve"> </w:t>
      </w:r>
      <w:r w:rsidR="00A82C4C">
        <w:t>a</w:t>
      </w:r>
      <w:r w:rsidR="0082679C" w:rsidRPr="0082679C">
        <w:t>)</w:t>
      </w:r>
      <w:r w:rsidR="0082679C">
        <w:rPr>
          <w:b w:val="0"/>
          <w:bCs w:val="0"/>
        </w:rPr>
        <w:t xml:space="preserve"> Pass variant calls for 172845</w:t>
      </w:r>
      <w:r w:rsidR="00466FE6">
        <w:rPr>
          <w:b w:val="0"/>
          <w:bCs w:val="0"/>
        </w:rPr>
        <w:t>-121-T</w:t>
      </w:r>
      <w:r w:rsidR="0082679C">
        <w:rPr>
          <w:b w:val="0"/>
          <w:bCs w:val="0"/>
        </w:rPr>
        <w:t xml:space="preserve">, </w:t>
      </w:r>
      <w:r w:rsidR="00A82C4C">
        <w:t>b</w:t>
      </w:r>
      <w:r w:rsidR="0082679C" w:rsidRPr="0082679C">
        <w:t>)</w:t>
      </w:r>
      <w:r w:rsidR="0082679C">
        <w:rPr>
          <w:b w:val="0"/>
          <w:bCs w:val="0"/>
        </w:rPr>
        <w:t xml:space="preserve"> Pa</w:t>
      </w:r>
      <w:r w:rsidR="002E0829">
        <w:rPr>
          <w:b w:val="0"/>
          <w:bCs w:val="0"/>
        </w:rPr>
        <w:t>ss variant calls for 625472</w:t>
      </w:r>
      <w:r w:rsidR="00466FE6">
        <w:rPr>
          <w:b w:val="0"/>
          <w:bCs w:val="0"/>
        </w:rPr>
        <w:t>-104-R</w:t>
      </w:r>
      <w:r w:rsidR="0082679C">
        <w:rPr>
          <w:b w:val="0"/>
          <w:bCs w:val="0"/>
        </w:rPr>
        <w:t>.</w:t>
      </w:r>
      <w:r w:rsidR="00CA6110">
        <w:rPr>
          <w:b w:val="0"/>
          <w:bCs w:val="0"/>
        </w:rPr>
        <w:t xml:space="preserve"> </w:t>
      </w:r>
      <w:r w:rsidR="00CA6110">
        <w:rPr>
          <w:rFonts w:eastAsia="Calibri"/>
          <w:b w:val="0"/>
        </w:rPr>
        <w:t>(</w:t>
      </w:r>
      <w:r w:rsidR="00CA6110" w:rsidRPr="00B50D27">
        <w:rPr>
          <w:rFonts w:eastAsia="Calibri"/>
          <w:b w:val="0"/>
        </w:rPr>
        <w:t>HCI-BCM - Huntsman Cancer Institute/Baylor College of Medicine, MDACC - MD Anderson Cancer Center, WUSTL - Washington University-St. Louis, and WIST - The Wistar Institute/University of Pennsylvania/MDACC</w:t>
      </w:r>
      <w:r w:rsidR="00CA6110">
        <w:rPr>
          <w:rFonts w:eastAsia="Calibri"/>
          <w:b w:val="0"/>
        </w:rPr>
        <w:t>).</w:t>
      </w:r>
      <w:r w:rsidR="00CA6110">
        <w:rPr>
          <w:rFonts w:ascii="Arial" w:hAnsi="Arial" w:cs="Arial"/>
          <w:sz w:val="15"/>
          <w:szCs w:val="15"/>
          <w:shd w:val="clear" w:color="auto" w:fill="FFFFFF"/>
        </w:rPr>
        <w:t xml:space="preserve"> </w:t>
      </w:r>
      <w:r w:rsidR="00672690">
        <w:rPr>
          <w:sz w:val="21"/>
          <w:szCs w:val="21"/>
        </w:rPr>
        <w:br w:type="page"/>
      </w:r>
    </w:p>
    <w:p w14:paraId="671A5148" w14:textId="7606A107" w:rsidR="00C12C3E" w:rsidRDefault="006238EB" w:rsidP="00540250">
      <w:pPr>
        <w:pStyle w:val="figure"/>
        <w:jc w:val="left"/>
      </w:pPr>
      <w:r>
        <w:rPr>
          <w:lang w:eastAsia="zh-CN"/>
        </w:rPr>
        <w:lastRenderedPageBreak/>
        <w:drawing>
          <wp:inline distT="0" distB="0" distL="0" distR="0" wp14:anchorId="17EB094F" wp14:editId="798532BD">
            <wp:extent cx="5715000" cy="42862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16-supp.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14:paraId="4B236D8E" w14:textId="683DAD95" w:rsidR="007B2DE2" w:rsidRPr="00043989" w:rsidRDefault="00133674" w:rsidP="00540250">
      <w:pPr>
        <w:pStyle w:val="FigureLegend"/>
        <w:jc w:val="left"/>
        <w:rPr>
          <w:b w:val="0"/>
          <w:bCs w:val="0"/>
        </w:rPr>
      </w:pPr>
      <w:r w:rsidRPr="00043989">
        <w:t xml:space="preserve">Supplementary Figure </w:t>
      </w:r>
      <w:r w:rsidR="00146C7D" w:rsidRPr="00043989">
        <w:t>16</w:t>
      </w:r>
      <w:r w:rsidR="002B7BE3" w:rsidRPr="00043989">
        <w:t>.</w:t>
      </w:r>
      <w:r w:rsidRPr="00043989">
        <w:t xml:space="preserve"> </w:t>
      </w:r>
      <w:r w:rsidRPr="00043989">
        <w:rPr>
          <w:rFonts w:eastAsia="Arial Unicode MS"/>
          <w:b w:val="0"/>
          <w:bCs w:val="0"/>
        </w:rPr>
        <w:t>Raw allele frequency for high-quality variants filtered to intersected array at allele frequency ≥ 0.2</w:t>
      </w:r>
      <w:r w:rsidR="00CA6110">
        <w:rPr>
          <w:rFonts w:eastAsia="Arial Unicode MS"/>
          <w:b w:val="0"/>
          <w:bCs w:val="0"/>
        </w:rPr>
        <w:t xml:space="preserve">. </w:t>
      </w:r>
      <w:r w:rsidR="00CA6110">
        <w:rPr>
          <w:rFonts w:eastAsia="Calibri"/>
          <w:b w:val="0"/>
        </w:rPr>
        <w:t>(</w:t>
      </w:r>
      <w:r w:rsidR="00CA6110" w:rsidRPr="00B50D27">
        <w:rPr>
          <w:rFonts w:eastAsia="Calibri"/>
          <w:b w:val="0"/>
        </w:rPr>
        <w:t>HCI-BCM - Huntsman Cancer Institute/Baylor College of Medicine, MDACC - MD Anderson Cancer Center, WUSTL - Washington University-St. Louis, and WIST - The Wistar Institute/University of Pennsylvania/MDACC</w:t>
      </w:r>
      <w:r w:rsidR="00CA6110">
        <w:rPr>
          <w:rFonts w:eastAsia="Calibri"/>
          <w:b w:val="0"/>
        </w:rPr>
        <w:t>.)</w:t>
      </w:r>
    </w:p>
    <w:p w14:paraId="03FA1383" w14:textId="2E97C58D" w:rsidR="007B2DE2" w:rsidRDefault="006238EB" w:rsidP="00237A2A">
      <w:pPr>
        <w:spacing w:after="100"/>
        <w:jc w:val="center"/>
        <w:rPr>
          <w:b/>
          <w:sz w:val="21"/>
          <w:szCs w:val="21"/>
        </w:rPr>
      </w:pPr>
      <w:r>
        <w:rPr>
          <w:b/>
          <w:noProof/>
          <w:sz w:val="21"/>
          <w:szCs w:val="21"/>
          <w:lang w:eastAsia="zh-CN"/>
        </w:rPr>
        <w:drawing>
          <wp:inline distT="0" distB="0" distL="0" distR="0" wp14:anchorId="0F8288B1" wp14:editId="02F44C3F">
            <wp:extent cx="4271647" cy="65555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17-supp.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95183" cy="6591665"/>
                    </a:xfrm>
                    <a:prstGeom prst="rect">
                      <a:avLst/>
                    </a:prstGeom>
                  </pic:spPr>
                </pic:pic>
              </a:graphicData>
            </a:graphic>
          </wp:inline>
        </w:drawing>
      </w:r>
    </w:p>
    <w:p w14:paraId="14CE345D" w14:textId="01D320CB" w:rsidR="003864CF" w:rsidRPr="00043989" w:rsidRDefault="003864CF" w:rsidP="00237A2A">
      <w:pPr>
        <w:pStyle w:val="figure"/>
        <w:jc w:val="left"/>
        <w:rPr>
          <w:b w:val="0"/>
          <w:bCs w:val="0"/>
        </w:rPr>
      </w:pPr>
      <w:r w:rsidRPr="00043989">
        <w:t>Supplementary Figure 1</w:t>
      </w:r>
      <w:r>
        <w:t>7</w:t>
      </w:r>
      <w:r w:rsidRPr="00043989">
        <w:t xml:space="preserve">. </w:t>
      </w:r>
      <w:r w:rsidR="00100108">
        <w:rPr>
          <w:b w:val="0"/>
          <w:bCs w:val="0"/>
        </w:rPr>
        <w:t xml:space="preserve">Comparison of mutations in cancer-related genes for </w:t>
      </w:r>
      <w:r w:rsidR="00317B0B">
        <w:rPr>
          <w:b w:val="0"/>
          <w:bCs w:val="0"/>
        </w:rPr>
        <w:t>JAX-BL029. (left) Mutations called in cancer genes at each center. Colors visually indicate the fraction of centers observing each mutation.</w:t>
      </w:r>
      <w:r w:rsidR="009A7668">
        <w:rPr>
          <w:b w:val="0"/>
          <w:bCs w:val="0"/>
        </w:rPr>
        <w:t xml:space="preserve"> (right). Allele frequencies observed for called cancer gene mutations at each center.</w:t>
      </w:r>
      <w:r w:rsidR="00C977D5">
        <w:rPr>
          <w:b w:val="0"/>
          <w:bCs w:val="0"/>
        </w:rPr>
        <w:t xml:space="preserve"> (</w:t>
      </w:r>
      <w:r w:rsidR="00C977D5" w:rsidRPr="00B50D27">
        <w:rPr>
          <w:b w:val="0"/>
        </w:rPr>
        <w:t>HCI-BCM - Huntsman Cancer Institute/Baylor College of Medicine, MDACC - MD Anderson Cancer Center, WUSTL - Washington University-St. Louis, and WIST - The Wistar Institute/University of Pennsylvania/MDACC</w:t>
      </w:r>
      <w:r w:rsidR="00BB2076">
        <w:rPr>
          <w:b w:val="0"/>
        </w:rPr>
        <w:t>)</w:t>
      </w:r>
    </w:p>
    <w:p w14:paraId="485A6ED4" w14:textId="77777777" w:rsidR="003864CF" w:rsidRDefault="003864CF" w:rsidP="003864CF">
      <w:pPr>
        <w:rPr>
          <w:b/>
        </w:rPr>
      </w:pPr>
      <w:r>
        <w:rPr>
          <w:b/>
        </w:rPr>
        <w:br w:type="page"/>
      </w:r>
    </w:p>
    <w:p w14:paraId="788A4189" w14:textId="58223304" w:rsidR="003864CF" w:rsidRDefault="006238EB" w:rsidP="00237A2A">
      <w:pPr>
        <w:pStyle w:val="figure"/>
      </w:pPr>
      <w:r>
        <w:rPr>
          <w:lang w:eastAsia="zh-CN"/>
        </w:rPr>
        <w:drawing>
          <wp:inline distT="0" distB="0" distL="0" distR="0" wp14:anchorId="6A7F9712" wp14:editId="65A7C8F0">
            <wp:extent cx="4063793" cy="6590714"/>
            <wp:effectExtent l="0" t="0" r="63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18-supp.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80105" cy="6617169"/>
                    </a:xfrm>
                    <a:prstGeom prst="rect">
                      <a:avLst/>
                    </a:prstGeom>
                  </pic:spPr>
                </pic:pic>
              </a:graphicData>
            </a:graphic>
          </wp:inline>
        </w:drawing>
      </w:r>
    </w:p>
    <w:p w14:paraId="22034386" w14:textId="6CAAD225" w:rsidR="003864CF" w:rsidRDefault="003864CF" w:rsidP="009A7668">
      <w:pPr>
        <w:pStyle w:val="FigureLegend"/>
        <w:jc w:val="left"/>
        <w:rPr>
          <w:b w:val="0"/>
          <w:sz w:val="21"/>
          <w:szCs w:val="21"/>
        </w:rPr>
      </w:pPr>
      <w:r w:rsidRPr="00043989">
        <w:t>Supplementary Figure 1</w:t>
      </w:r>
      <w:r>
        <w:t>8</w:t>
      </w:r>
      <w:r w:rsidRPr="00043989">
        <w:t xml:space="preserve">. </w:t>
      </w:r>
      <w:r w:rsidR="009A7668">
        <w:rPr>
          <w:b w:val="0"/>
          <w:bCs w:val="0"/>
        </w:rPr>
        <w:t>Comparison of mutations in cancer-related genes for PDMR-172845. (left) Mutations called in cancer genes at each center. Colors visually indicate the fraction of centers observing each mutation. (right). Allele frequencies observed for called cancer gene mutations at each center.</w:t>
      </w:r>
      <w:r w:rsidR="003734B3">
        <w:rPr>
          <w:b w:val="0"/>
          <w:bCs w:val="0"/>
        </w:rPr>
        <w:t xml:space="preserve"> </w:t>
      </w:r>
      <w:r w:rsidR="00C977D5">
        <w:rPr>
          <w:rFonts w:eastAsia="Calibri"/>
          <w:b w:val="0"/>
        </w:rPr>
        <w:t>(</w:t>
      </w:r>
      <w:r w:rsidR="00C977D5" w:rsidRPr="00B50D27">
        <w:rPr>
          <w:rFonts w:eastAsia="Calibri"/>
          <w:b w:val="0"/>
        </w:rPr>
        <w:t>HCI-BCM - Huntsman Cancer Institute/Baylor College of Medicine, MDACC - MD Anderson Cancer Center, WUSTL - Washington University-St. Louis, and WIST - The Wistar Institute/University of Pennsylvania/MDACC</w:t>
      </w:r>
      <w:r w:rsidR="00BB2076">
        <w:rPr>
          <w:rFonts w:eastAsia="Calibri"/>
          <w:b w:val="0"/>
        </w:rPr>
        <w:t>)</w:t>
      </w:r>
    </w:p>
    <w:p w14:paraId="724239D4" w14:textId="77777777" w:rsidR="003864CF" w:rsidRDefault="003864CF" w:rsidP="003864CF">
      <w:pPr>
        <w:rPr>
          <w:b/>
        </w:rPr>
      </w:pPr>
      <w:r>
        <w:rPr>
          <w:b/>
        </w:rPr>
        <w:br w:type="page"/>
      </w:r>
    </w:p>
    <w:p w14:paraId="5014095E" w14:textId="184FFB6C" w:rsidR="003864CF" w:rsidRDefault="00EF1610" w:rsidP="00237A2A">
      <w:pPr>
        <w:jc w:val="center"/>
      </w:pPr>
      <w:r>
        <w:rPr>
          <w:noProof/>
          <w:lang w:eastAsia="zh-CN"/>
        </w:rPr>
        <w:drawing>
          <wp:inline distT="0" distB="0" distL="0" distR="0" wp14:anchorId="11CD002C" wp14:editId="467D60E6">
            <wp:extent cx="5130518" cy="6899977"/>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19.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35405" cy="6906550"/>
                    </a:xfrm>
                    <a:prstGeom prst="rect">
                      <a:avLst/>
                    </a:prstGeom>
                  </pic:spPr>
                </pic:pic>
              </a:graphicData>
            </a:graphic>
          </wp:inline>
        </w:drawing>
      </w:r>
      <w:r w:rsidR="00EC5A24" w:rsidRPr="00EC5A24">
        <w:fldChar w:fldCharType="begin"/>
      </w:r>
      <w:r w:rsidR="00EC5A24" w:rsidRPr="00EC5A24">
        <w:instrText xml:space="preserve"> INCLUDEPICTURE "https://files.slack.com/files-pri/T025Y5VUJ-FS7LR5MSL/fig19-update-020120.jpg" \* MERGEFORMATINET </w:instrText>
      </w:r>
      <w:r w:rsidR="00EC5A24" w:rsidRPr="00EC5A24">
        <w:fldChar w:fldCharType="separate"/>
      </w:r>
      <w:r w:rsidR="00EC5A24" w:rsidRPr="00EC5A24">
        <w:rPr>
          <w:noProof/>
          <w:lang w:eastAsia="zh-CN"/>
        </w:rPr>
        <mc:AlternateContent>
          <mc:Choice Requires="wps">
            <w:drawing>
              <wp:inline distT="0" distB="0" distL="0" distR="0" wp14:anchorId="7AD722B1" wp14:editId="0B000193">
                <wp:extent cx="304800" cy="304800"/>
                <wp:effectExtent l="0" t="0" r="0" b="0"/>
                <wp:docPr id="51" name="Rectangle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45F202" id="Rectangle 5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" filled="f" stroked="f">
                <o:lock v:ext="edit" aspectratio="t"/>
                <w10:anchorlock/>
              </v:rect>
            </w:pict>
          </mc:Fallback>
        </mc:AlternateContent>
      </w:r>
      <w:r w:rsidR="00EC5A24" w:rsidRPr="00EC5A24">
        <w:fldChar w:fldCharType="end"/>
      </w:r>
    </w:p>
    <w:p w14:paraId="5259CD2C" w14:textId="4DE0D5CB" w:rsidR="00995267" w:rsidRPr="00B801C1" w:rsidRDefault="003864CF" w:rsidP="00B801C1">
      <w:pPr>
        <w:pStyle w:val="FigureLegend"/>
        <w:jc w:val="left"/>
        <w:rPr>
          <w:rFonts w:eastAsia="Calibri"/>
          <w:b w:val="0"/>
        </w:rPr>
      </w:pPr>
      <w:r w:rsidRPr="00043989">
        <w:t>Supplementary Figure 1</w:t>
      </w:r>
      <w:r>
        <w:t>9</w:t>
      </w:r>
      <w:r w:rsidRPr="00043989">
        <w:t xml:space="preserve">. </w:t>
      </w:r>
      <w:r w:rsidR="000670D7">
        <w:rPr>
          <w:b w:val="0"/>
          <w:bCs w:val="0"/>
        </w:rPr>
        <w:t>Comparison of mutations in cancer-related genes for PDMR-625473. (</w:t>
      </w:r>
      <w:r w:rsidR="00EC5A24">
        <w:rPr>
          <w:b w:val="0"/>
          <w:bCs w:val="0"/>
        </w:rPr>
        <w:t>top</w:t>
      </w:r>
      <w:r w:rsidR="000670D7">
        <w:rPr>
          <w:b w:val="0"/>
          <w:bCs w:val="0"/>
        </w:rPr>
        <w:t>) Mutations called in cancer genes at each center. Colors visually indicate the fraction of centers observing each mutation. (</w:t>
      </w:r>
      <w:r w:rsidR="00EC5A24">
        <w:rPr>
          <w:b w:val="0"/>
          <w:bCs w:val="0"/>
        </w:rPr>
        <w:t>bottom</w:t>
      </w:r>
      <w:r w:rsidR="000670D7">
        <w:rPr>
          <w:b w:val="0"/>
          <w:bCs w:val="0"/>
        </w:rPr>
        <w:t>). Allele frequencies observed for called cancer gene mutations at each center.</w:t>
      </w:r>
      <w:r w:rsidR="00C977D5" w:rsidRPr="00C977D5">
        <w:rPr>
          <w:rFonts w:eastAsia="Calibri"/>
          <w:b w:val="0"/>
        </w:rPr>
        <w:t xml:space="preserve"> </w:t>
      </w:r>
      <w:r w:rsidR="00C977D5">
        <w:rPr>
          <w:rFonts w:eastAsia="Calibri"/>
          <w:b w:val="0"/>
        </w:rPr>
        <w:t>(</w:t>
      </w:r>
      <w:r w:rsidR="00C977D5" w:rsidRPr="00B50D27">
        <w:rPr>
          <w:rFonts w:eastAsia="Calibri"/>
          <w:b w:val="0"/>
        </w:rPr>
        <w:t>PDMR - NCI Patient-Derived Models Repository, HCI-BCM - Huntsman Cancer Institute/Baylor College of Medicine, MDACC - MD Anderson Cancer Center, WUSTL - Washington University-St. Louis, and WIST - The Wistar Institute/University of Pennsylvania/MDAC</w:t>
      </w:r>
      <w:r w:rsidR="00C977D5">
        <w:rPr>
          <w:rFonts w:eastAsia="Calibri"/>
          <w:b w:val="0"/>
        </w:rPr>
        <w:t>C</w:t>
      </w:r>
      <w:r w:rsidR="00BB2076">
        <w:rPr>
          <w:rFonts w:eastAsia="Calibri"/>
          <w:b w:val="0"/>
        </w:rPr>
        <w:t>)</w:t>
      </w:r>
    </w:p>
    <w:p w14:paraId="5BC9C309" w14:textId="4064C2D8" w:rsidR="00925A12" w:rsidRDefault="00237A2A" w:rsidP="00995267">
      <w:pPr>
        <w:rPr>
          <w:b/>
        </w:rPr>
      </w:pPr>
      <w:r>
        <w:rPr>
          <w:b/>
          <w:noProof/>
          <w:lang w:eastAsia="zh-CN"/>
        </w:rPr>
        <w:drawing>
          <wp:inline distT="0" distB="0" distL="0" distR="0" wp14:anchorId="7493C03E" wp14:editId="63E324D3">
            <wp:extent cx="5715000" cy="24955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20.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15000" cy="2495550"/>
                    </a:xfrm>
                    <a:prstGeom prst="rect">
                      <a:avLst/>
                    </a:prstGeom>
                  </pic:spPr>
                </pic:pic>
              </a:graphicData>
            </a:graphic>
          </wp:inline>
        </w:drawing>
      </w:r>
    </w:p>
    <w:p w14:paraId="18F57D82" w14:textId="776DF14B" w:rsidR="001D6D4B" w:rsidRPr="00AC5537" w:rsidRDefault="001D6D4B" w:rsidP="00AC5537">
      <w:pPr>
        <w:autoSpaceDE w:val="0"/>
        <w:autoSpaceDN w:val="0"/>
        <w:adjustRightInd w:val="0"/>
        <w:rPr>
          <w:rFonts w:eastAsia="Arial"/>
          <w:b/>
          <w:bCs/>
        </w:rPr>
      </w:pPr>
      <w:r w:rsidRPr="001D6D4B">
        <w:rPr>
          <w:b/>
          <w:bCs/>
        </w:rPr>
        <w:t>Supplementary Figure 20.</w:t>
      </w:r>
      <w:r w:rsidRPr="00043989">
        <w:t xml:space="preserve"> </w:t>
      </w:r>
      <w:r>
        <w:rPr>
          <w:rFonts w:eastAsia="Arial"/>
        </w:rPr>
        <w:t>A genome-wide view of median-centered copy number alteration (CNA) segments. The samples are labelled as “Center | CaseID” as shown in Supplementary Table 7. “droplowcov” indicates that the “drop low coverage” option in CNVKIT was used. The green brackets group the samples from the same model (CaseID) generated by the different centers.</w:t>
      </w:r>
      <w:r w:rsidR="00C977D5" w:rsidRPr="00C977D5">
        <w:rPr>
          <w:rFonts w:eastAsia="Calibri"/>
          <w:b/>
        </w:rPr>
        <w:t xml:space="preserve"> </w:t>
      </w:r>
      <w:r w:rsidR="00C977D5" w:rsidRPr="00C977D5">
        <w:rPr>
          <w:rFonts w:eastAsia="Calibri"/>
          <w:bCs/>
        </w:rPr>
        <w:t>(HCI-BCM - Huntsman Cancer Institute/Baylor College of Medicine, MDACC - MD Anderson Cancer Center, WUSTL - Washington University-St. Louis, and WIST - The Wistar Institute/University of Pennsylvania/MDACC</w:t>
      </w:r>
      <w:r w:rsidR="00BB2076">
        <w:rPr>
          <w:rFonts w:eastAsia="Calibri"/>
          <w:bCs/>
        </w:rPr>
        <w:t>)</w:t>
      </w:r>
    </w:p>
    <w:p w14:paraId="64700BA8" w14:textId="55233C6A" w:rsidR="001956EA" w:rsidRDefault="001956EA" w:rsidP="001956EA">
      <w:pPr>
        <w:pStyle w:val="figure"/>
        <w:jc w:val="left"/>
      </w:pPr>
    </w:p>
    <w:p w14:paraId="218A4C5D" w14:textId="51A0591C" w:rsidR="001D6D4B" w:rsidRDefault="001D6D4B" w:rsidP="001956EA">
      <w:pPr>
        <w:pStyle w:val="figure"/>
        <w:jc w:val="left"/>
      </w:pPr>
    </w:p>
    <w:p w14:paraId="0F877266" w14:textId="5A3C63C2" w:rsidR="001D6D4B" w:rsidRDefault="001D6D4B">
      <w:pPr>
        <w:spacing w:line="276" w:lineRule="auto"/>
        <w:rPr>
          <w:rFonts w:eastAsia="Calibri"/>
          <w:b/>
          <w:bCs/>
          <w:noProof/>
        </w:rPr>
      </w:pPr>
      <w:r>
        <w:br w:type="page"/>
      </w:r>
    </w:p>
    <w:p w14:paraId="59CBE5DD" w14:textId="0AB4989C" w:rsidR="001D6D4B" w:rsidRDefault="00237A2A" w:rsidP="001956EA">
      <w:pPr>
        <w:pStyle w:val="figure"/>
        <w:jc w:val="left"/>
        <w:rPr>
          <w:rFonts w:eastAsia="Times New Roman"/>
          <w:noProof w:val="0"/>
        </w:rPr>
      </w:pPr>
      <w:r>
        <w:rPr>
          <w:rFonts w:eastAsia="Times New Roman"/>
          <w:lang w:eastAsia="zh-CN"/>
        </w:rPr>
        <w:drawing>
          <wp:inline distT="0" distB="0" distL="0" distR="0" wp14:anchorId="41143DC1" wp14:editId="34611021">
            <wp:extent cx="5715000" cy="4406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2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15000" cy="4406900"/>
                    </a:xfrm>
                    <a:prstGeom prst="rect">
                      <a:avLst/>
                    </a:prstGeom>
                  </pic:spPr>
                </pic:pic>
              </a:graphicData>
            </a:graphic>
          </wp:inline>
        </w:drawing>
      </w:r>
    </w:p>
    <w:p w14:paraId="728FE28D" w14:textId="4B78ACAE" w:rsidR="001D6D4B" w:rsidRPr="001D6D4B" w:rsidRDefault="001D6D4B" w:rsidP="00AC5537">
      <w:pPr>
        <w:pStyle w:val="FigureLegend"/>
        <w:rPr>
          <w:b w:val="0"/>
          <w:bCs w:val="0"/>
        </w:rPr>
      </w:pPr>
      <w:r w:rsidRPr="00043989">
        <w:t xml:space="preserve">Supplementary Figure </w:t>
      </w:r>
      <w:r>
        <w:t>21</w:t>
      </w:r>
      <w:r w:rsidRPr="00043989">
        <w:t xml:space="preserve">. </w:t>
      </w:r>
      <w:r w:rsidRPr="00AC5537">
        <w:rPr>
          <w:b w:val="0"/>
          <w:bCs w:val="0"/>
        </w:rPr>
        <w:t>A Pearson correlation coefficient based heatmap for the segmented log2 copy number ratio binned across 100kb-windows for each pair of samples. The samples are labelled as “Center | CaseID” as shown in Supplementary Table 7. “droplowcov” indicates that the “drop low coverage” option in CNVKIT was used. The green boxes group the samples from the same model (CaseID) generated by the different centers.</w:t>
      </w:r>
      <w:r w:rsidR="00C977D5" w:rsidRPr="00C977D5">
        <w:rPr>
          <w:rFonts w:eastAsia="Calibri"/>
          <w:b w:val="0"/>
        </w:rPr>
        <w:t xml:space="preserve"> </w:t>
      </w:r>
      <w:r w:rsidR="00C977D5" w:rsidRPr="00B50D27">
        <w:rPr>
          <w:rFonts w:eastAsia="Calibri"/>
          <w:b w:val="0"/>
        </w:rPr>
        <w:t>(HCI-BCM - Huntsman Cancer Institute/Baylor College of Medicine, MDACC - MD Anderson Cancer Center, WUSTL - Washington University-St. Louis, and WIST - The Wistar Institute/University of Pennsylvania/MDACC</w:t>
      </w:r>
      <w:r w:rsidR="00BB2076">
        <w:rPr>
          <w:rFonts w:eastAsia="Calibri"/>
          <w:b w:val="0"/>
        </w:rPr>
        <w:t>)</w:t>
      </w:r>
    </w:p>
    <w:p w14:paraId="29CF6F01" w14:textId="39709DA5" w:rsidR="001D6D4B" w:rsidRDefault="001D6D4B" w:rsidP="001956EA">
      <w:pPr>
        <w:pStyle w:val="figure"/>
        <w:jc w:val="left"/>
        <w:rPr>
          <w:rFonts w:eastAsia="Times New Roman"/>
          <w:noProof w:val="0"/>
        </w:rPr>
      </w:pPr>
    </w:p>
    <w:p w14:paraId="305C91D8" w14:textId="77777777" w:rsidR="001D6D4B" w:rsidRDefault="001D6D4B" w:rsidP="001956EA">
      <w:pPr>
        <w:pStyle w:val="figure"/>
        <w:jc w:val="left"/>
        <w:rPr>
          <w:rFonts w:eastAsia="Times New Roman"/>
          <w:noProof w:val="0"/>
        </w:rPr>
      </w:pPr>
    </w:p>
    <w:p w14:paraId="672D9FD8" w14:textId="77777777" w:rsidR="001956EA" w:rsidRDefault="001956EA">
      <w:pPr>
        <w:spacing w:line="276" w:lineRule="auto"/>
        <w:rPr>
          <w:b/>
          <w:bCs/>
        </w:rPr>
      </w:pPr>
      <w:r>
        <w:br w:type="page"/>
      </w:r>
    </w:p>
    <w:p w14:paraId="3BD5C596" w14:textId="1C7B9CF6" w:rsidR="00925A12" w:rsidRDefault="00925A12" w:rsidP="00AC5537">
      <w:pPr>
        <w:pStyle w:val="figure"/>
        <w:jc w:val="left"/>
      </w:pPr>
    </w:p>
    <w:p w14:paraId="3E4DA2A6" w14:textId="4D4F4B3F" w:rsidR="00C12C3E" w:rsidRDefault="006238EB" w:rsidP="00540250">
      <w:pPr>
        <w:pStyle w:val="figure"/>
        <w:jc w:val="left"/>
      </w:pPr>
      <w:r>
        <w:rPr>
          <w:lang w:eastAsia="zh-CN"/>
        </w:rPr>
        <w:drawing>
          <wp:inline distT="0" distB="0" distL="0" distR="0" wp14:anchorId="04F01792" wp14:editId="44AB264D">
            <wp:extent cx="5715000" cy="597789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22-supp.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15000" cy="5977890"/>
                    </a:xfrm>
                    <a:prstGeom prst="rect">
                      <a:avLst/>
                    </a:prstGeom>
                  </pic:spPr>
                </pic:pic>
              </a:graphicData>
            </a:graphic>
          </wp:inline>
        </w:drawing>
      </w:r>
    </w:p>
    <w:p w14:paraId="03C589DE" w14:textId="6AFF5632" w:rsidR="007B2DE2" w:rsidRPr="00043989" w:rsidRDefault="00133674" w:rsidP="00540250">
      <w:pPr>
        <w:pStyle w:val="FigureLegend"/>
        <w:jc w:val="left"/>
      </w:pPr>
      <w:r w:rsidRPr="00043989">
        <w:t xml:space="preserve">Supplementary Figure </w:t>
      </w:r>
      <w:r w:rsidR="002428F0">
        <w:t>22</w:t>
      </w:r>
      <w:r w:rsidR="002B7BE3" w:rsidRPr="00043989">
        <w:t>.</w:t>
      </w:r>
      <w:r w:rsidRPr="00043989">
        <w:t xml:space="preserve"> </w:t>
      </w:r>
      <w:r w:rsidRPr="009C0AD1">
        <w:rPr>
          <w:b w:val="0"/>
          <w:bCs w:val="0"/>
        </w:rPr>
        <w:t>Dendrogram of TMM normalized count per million values</w:t>
      </w:r>
      <w:r w:rsidR="00C977D5">
        <w:rPr>
          <w:b w:val="0"/>
          <w:bCs w:val="0"/>
        </w:rPr>
        <w:t xml:space="preserve">. </w:t>
      </w:r>
      <w:r w:rsidR="00C977D5" w:rsidRPr="00B50D27">
        <w:rPr>
          <w:rFonts w:eastAsia="Calibri"/>
          <w:b w:val="0"/>
        </w:rPr>
        <w:t>(PDMR - NCI Patient-Derived Models Repository, HCI-BCM - Huntsman Cancer Institute/Baylor College of Medicine, MDACC - MD Anderson Cancer Center, WUSTL - Washington University-St. Louis, and WIST - The Wistar Institute/University of Pennsylvania/MDACC</w:t>
      </w:r>
      <w:r w:rsidR="00BB2076">
        <w:rPr>
          <w:rFonts w:eastAsia="Calibri"/>
          <w:b w:val="0"/>
        </w:rPr>
        <w:t>)</w:t>
      </w:r>
    </w:p>
    <w:p w14:paraId="11C1BA93" w14:textId="532E0AB8" w:rsidR="00E44816" w:rsidRPr="002E0829" w:rsidRDefault="00E44816" w:rsidP="00540250">
      <w:pPr>
        <w:spacing w:line="276" w:lineRule="auto"/>
        <w:rPr>
          <w:b/>
        </w:rPr>
      </w:pPr>
    </w:p>
    <w:sectPr w:rsidR="00E44816" w:rsidRPr="002E0829" w:rsidSect="007F5325">
      <w:headerReference w:type="default" r:id="rId42"/>
      <w:footerReference w:type="even" r:id="rId43"/>
      <w:footerReference w:type="default" r:id="rId44"/>
      <w:headerReference w:type="first" r:id="rId45"/>
      <w:pgSz w:w="12240" w:h="15840"/>
      <w:pgMar w:top="1080" w:right="1080" w:bottom="1080" w:left="1080" w:header="0" w:footer="720" w:gutter="72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510F44" w14:textId="77777777" w:rsidR="0085341E" w:rsidRDefault="0085341E" w:rsidP="00800239">
      <w:r>
        <w:separator/>
      </w:r>
    </w:p>
    <w:p w14:paraId="0FC3516A" w14:textId="77777777" w:rsidR="0085341E" w:rsidRDefault="0085341E"/>
    <w:p w14:paraId="531706D7" w14:textId="77777777" w:rsidR="0085341E" w:rsidRDefault="0085341E"/>
  </w:endnote>
  <w:endnote w:type="continuationSeparator" w:id="0">
    <w:p w14:paraId="65483E10" w14:textId="77777777" w:rsidR="0085341E" w:rsidRDefault="0085341E" w:rsidP="00800239">
      <w:r>
        <w:continuationSeparator/>
      </w:r>
    </w:p>
    <w:p w14:paraId="1F81DD08" w14:textId="77777777" w:rsidR="0085341E" w:rsidRDefault="0085341E"/>
    <w:p w14:paraId="540940FD" w14:textId="77777777" w:rsidR="0085341E" w:rsidRDefault="0085341E"/>
  </w:endnote>
  <w:endnote w:type="continuationNotice" w:id="1">
    <w:p w14:paraId="17C74F21" w14:textId="77777777" w:rsidR="0085341E" w:rsidRDefault="0085341E"/>
    <w:p w14:paraId="5433582A" w14:textId="77777777" w:rsidR="0085341E" w:rsidRDefault="0085341E"/>
    <w:p w14:paraId="50CA366C" w14:textId="77777777" w:rsidR="0085341E" w:rsidRDefault="008534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宋体">
    <w:charset w:val="86"/>
    <w:family w:val="auto"/>
    <w:pitch w:val="variable"/>
    <w:sig w:usb0="00000003" w:usb1="288F0000" w:usb2="00000016" w:usb3="00000000" w:csb0="00040001" w:csb1="00000000"/>
  </w:font>
  <w:font w:name="Lora">
    <w:altName w:val="Calibri"/>
    <w:panose1 w:val="020B0604020202020204"/>
    <w:charset w:val="00"/>
    <w:family w:val="auto"/>
    <w:pitch w:val="default"/>
  </w:font>
  <w:font w:name="Liberation Sans">
    <w:altName w:val="Arial"/>
    <w:panose1 w:val="020B0604020202020204"/>
    <w:charset w:val="00"/>
    <w:family w:val="auto"/>
    <w:pitch w:val="default"/>
  </w:font>
  <w:font w:name="Arial Unicode MS">
    <w:panose1 w:val="020B0604020202020204"/>
    <w:charset w:val="00"/>
    <w:family w:val="swiss"/>
    <w:pitch w:val="variable"/>
    <w:sig w:usb0="F7FFAFFF" w:usb1="E9DFFFFF" w:usb2="0000003F" w:usb3="00000000" w:csb0="003F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508E5F" w14:textId="77777777" w:rsidR="00237A2A" w:rsidRDefault="00237A2A" w:rsidP="009748B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472C167" w14:textId="77777777" w:rsidR="00237A2A" w:rsidRDefault="00237A2A" w:rsidP="00800239">
    <w:pPr>
      <w:pStyle w:val="Footer"/>
      <w:ind w:right="360"/>
    </w:pPr>
  </w:p>
  <w:p w14:paraId="0DCB2F2A" w14:textId="77777777" w:rsidR="00237A2A" w:rsidRDefault="00237A2A"/>
  <w:p w14:paraId="5D0FD525" w14:textId="77777777" w:rsidR="00237A2A" w:rsidRDefault="00237A2A"/>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8C8CE3" w14:textId="77777777" w:rsidR="00237A2A" w:rsidRDefault="00237A2A" w:rsidP="009748B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A3808">
      <w:rPr>
        <w:rStyle w:val="PageNumber"/>
        <w:noProof/>
      </w:rPr>
      <w:t>2</w:t>
    </w:r>
    <w:r>
      <w:rPr>
        <w:rStyle w:val="PageNumber"/>
      </w:rPr>
      <w:fldChar w:fldCharType="end"/>
    </w:r>
  </w:p>
  <w:p w14:paraId="1805D249" w14:textId="77777777" w:rsidR="00237A2A" w:rsidRDefault="00237A2A" w:rsidP="00800239">
    <w:pPr>
      <w:pStyle w:val="Footer"/>
      <w:ind w:right="360"/>
    </w:pPr>
  </w:p>
  <w:p w14:paraId="59F0025F" w14:textId="77777777" w:rsidR="00237A2A" w:rsidRDefault="00237A2A"/>
  <w:p w14:paraId="50F228E6" w14:textId="77777777" w:rsidR="00237A2A" w:rsidRDefault="00237A2A"/>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6CB97A" w14:textId="77777777" w:rsidR="0085341E" w:rsidRDefault="0085341E" w:rsidP="00800239">
      <w:r>
        <w:separator/>
      </w:r>
    </w:p>
    <w:p w14:paraId="29142F00" w14:textId="77777777" w:rsidR="0085341E" w:rsidRDefault="0085341E"/>
    <w:p w14:paraId="065BD6E4" w14:textId="77777777" w:rsidR="0085341E" w:rsidRDefault="0085341E"/>
  </w:footnote>
  <w:footnote w:type="continuationSeparator" w:id="0">
    <w:p w14:paraId="62AE0AB7" w14:textId="77777777" w:rsidR="0085341E" w:rsidRDefault="0085341E" w:rsidP="00800239">
      <w:r>
        <w:continuationSeparator/>
      </w:r>
    </w:p>
    <w:p w14:paraId="49DE0863" w14:textId="77777777" w:rsidR="0085341E" w:rsidRDefault="0085341E"/>
    <w:p w14:paraId="65F4AC1C" w14:textId="77777777" w:rsidR="0085341E" w:rsidRDefault="0085341E"/>
  </w:footnote>
  <w:footnote w:type="continuationNotice" w:id="1">
    <w:p w14:paraId="7C2EEBFB" w14:textId="77777777" w:rsidR="0085341E" w:rsidRDefault="0085341E"/>
    <w:p w14:paraId="2F200993" w14:textId="77777777" w:rsidR="0085341E" w:rsidRDefault="0085341E"/>
    <w:p w14:paraId="7B1C1CF2" w14:textId="77777777" w:rsidR="0085341E" w:rsidRDefault="0085341E"/>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E332F9" w14:textId="26D1A9C5" w:rsidR="00237A2A" w:rsidRDefault="00237A2A">
    <w:pPr>
      <w:pStyle w:val="Header"/>
    </w:pPr>
  </w:p>
  <w:p w14:paraId="3F792C49" w14:textId="4CF8F183" w:rsidR="00237A2A" w:rsidRDefault="00237A2A" w:rsidP="007543A9">
    <w:pPr>
      <w:pStyle w:val="Header"/>
    </w:pPr>
  </w:p>
  <w:p w14:paraId="321C6935" w14:textId="21D4A9EA" w:rsidR="00237A2A" w:rsidRDefault="00237A2A" w:rsidP="0040564D">
    <w:pPr>
      <w:spacing w:after="400"/>
      <w:jc w:val="right"/>
    </w:pPr>
    <w:r w:rsidRPr="002620C6">
      <w:t>Standards in Patient-Derived Xenograft Experiments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70783C" w14:textId="0FC185F8" w:rsidR="00237A2A" w:rsidRDefault="00237A2A" w:rsidP="004E71D1">
    <w:pPr>
      <w:spacing w:after="400"/>
      <w:jc w:val="right"/>
    </w:pPr>
    <w:r>
      <w:br/>
    </w:r>
    <w:r w:rsidRPr="002620C6">
      <w:t>Standards in Patient-Derived Xenograft Experiments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8E467E36"/>
    <w:lvl w:ilvl="0">
      <w:start w:val="1"/>
      <w:numFmt w:val="decimal"/>
      <w:lvlText w:val="%1."/>
      <w:lvlJc w:val="left"/>
      <w:pPr>
        <w:tabs>
          <w:tab w:val="num" w:pos="1800"/>
        </w:tabs>
        <w:ind w:left="1800" w:hanging="360"/>
      </w:pPr>
    </w:lvl>
  </w:abstractNum>
  <w:abstractNum w:abstractNumId="1">
    <w:nsid w:val="FFFFFF7D"/>
    <w:multiLevelType w:val="singleLevel"/>
    <w:tmpl w:val="7FCEA4DE"/>
    <w:lvl w:ilvl="0">
      <w:start w:val="1"/>
      <w:numFmt w:val="decimal"/>
      <w:lvlText w:val="%1."/>
      <w:lvlJc w:val="left"/>
      <w:pPr>
        <w:tabs>
          <w:tab w:val="num" w:pos="1440"/>
        </w:tabs>
        <w:ind w:left="1440" w:hanging="360"/>
      </w:pPr>
    </w:lvl>
  </w:abstractNum>
  <w:abstractNum w:abstractNumId="2">
    <w:nsid w:val="FFFFFF7E"/>
    <w:multiLevelType w:val="singleLevel"/>
    <w:tmpl w:val="499A244C"/>
    <w:lvl w:ilvl="0">
      <w:start w:val="1"/>
      <w:numFmt w:val="decimal"/>
      <w:lvlText w:val="%1."/>
      <w:lvlJc w:val="left"/>
      <w:pPr>
        <w:tabs>
          <w:tab w:val="num" w:pos="1080"/>
        </w:tabs>
        <w:ind w:left="1080" w:hanging="360"/>
      </w:pPr>
    </w:lvl>
  </w:abstractNum>
  <w:abstractNum w:abstractNumId="3">
    <w:nsid w:val="FFFFFF7F"/>
    <w:multiLevelType w:val="singleLevel"/>
    <w:tmpl w:val="C29A20A4"/>
    <w:lvl w:ilvl="0">
      <w:start w:val="1"/>
      <w:numFmt w:val="decimal"/>
      <w:lvlText w:val="%1."/>
      <w:lvlJc w:val="left"/>
      <w:pPr>
        <w:tabs>
          <w:tab w:val="num" w:pos="720"/>
        </w:tabs>
        <w:ind w:left="720" w:hanging="360"/>
      </w:pPr>
    </w:lvl>
  </w:abstractNum>
  <w:abstractNum w:abstractNumId="4">
    <w:nsid w:val="FFFFFF80"/>
    <w:multiLevelType w:val="singleLevel"/>
    <w:tmpl w:val="10A6EED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C5609AB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88EC17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912D2E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D9C2A88"/>
    <w:lvl w:ilvl="0">
      <w:start w:val="1"/>
      <w:numFmt w:val="decimal"/>
      <w:lvlText w:val="%1."/>
      <w:lvlJc w:val="left"/>
      <w:pPr>
        <w:tabs>
          <w:tab w:val="num" w:pos="360"/>
        </w:tabs>
        <w:ind w:left="360" w:hanging="360"/>
      </w:pPr>
    </w:lvl>
  </w:abstractNum>
  <w:abstractNum w:abstractNumId="9">
    <w:nsid w:val="FFFFFF89"/>
    <w:multiLevelType w:val="singleLevel"/>
    <w:tmpl w:val="91ACE55C"/>
    <w:lvl w:ilvl="0">
      <w:start w:val="1"/>
      <w:numFmt w:val="bullet"/>
      <w:lvlText w:val=""/>
      <w:lvlJc w:val="left"/>
      <w:pPr>
        <w:tabs>
          <w:tab w:val="num" w:pos="360"/>
        </w:tabs>
        <w:ind w:left="360" w:hanging="360"/>
      </w:pPr>
      <w:rPr>
        <w:rFonts w:ascii="Symbol" w:hAnsi="Symbol" w:hint="default"/>
      </w:rPr>
    </w:lvl>
  </w:abstractNum>
  <w:abstractNum w:abstractNumId="10">
    <w:nsid w:val="0EF04504"/>
    <w:multiLevelType w:val="hybridMultilevel"/>
    <w:tmpl w:val="6E0C1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D478A6"/>
    <w:multiLevelType w:val="multilevel"/>
    <w:tmpl w:val="841A646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21F857BC"/>
    <w:multiLevelType w:val="multilevel"/>
    <w:tmpl w:val="05446E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22E14E81"/>
    <w:multiLevelType w:val="hybridMultilevel"/>
    <w:tmpl w:val="E78EDA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E36D65"/>
    <w:multiLevelType w:val="multilevel"/>
    <w:tmpl w:val="23B09C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2C5A23B2"/>
    <w:multiLevelType w:val="hybridMultilevel"/>
    <w:tmpl w:val="221CDD6A"/>
    <w:lvl w:ilvl="0" w:tplc="DDE079D2">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E46E60"/>
    <w:multiLevelType w:val="multilevel"/>
    <w:tmpl w:val="5A280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35397AC9"/>
    <w:multiLevelType w:val="hybridMultilevel"/>
    <w:tmpl w:val="62586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DA44C5"/>
    <w:multiLevelType w:val="multilevel"/>
    <w:tmpl w:val="09FA1234"/>
    <w:lvl w:ilvl="0">
      <w:start w:val="1"/>
      <w:numFmt w:val="decimal"/>
      <w:lvlText w:val="%1."/>
      <w:lvlJc w:val="left"/>
      <w:pPr>
        <w:ind w:left="720" w:hanging="360"/>
      </w:pPr>
      <w:rPr>
        <w:rFonts w:ascii="Arial" w:eastAsia="Arial" w:hAnsi="Arial" w:cs="Arial"/>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nsid w:val="3A3F3DAE"/>
    <w:multiLevelType w:val="multilevel"/>
    <w:tmpl w:val="0980C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D327441"/>
    <w:multiLevelType w:val="hybridMultilevel"/>
    <w:tmpl w:val="E7985C00"/>
    <w:lvl w:ilvl="0" w:tplc="DDE079D2">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8F54C0"/>
    <w:multiLevelType w:val="multilevel"/>
    <w:tmpl w:val="3CC22C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3E7D7864"/>
    <w:multiLevelType w:val="multilevel"/>
    <w:tmpl w:val="D012D4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4B541477"/>
    <w:multiLevelType w:val="hybridMultilevel"/>
    <w:tmpl w:val="C9488BAC"/>
    <w:lvl w:ilvl="0" w:tplc="944C9A40">
      <w:start w:val="3"/>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F885002"/>
    <w:multiLevelType w:val="multilevel"/>
    <w:tmpl w:val="4AF2AF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522B7DE6"/>
    <w:multiLevelType w:val="hybridMultilevel"/>
    <w:tmpl w:val="5FF22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DF54415"/>
    <w:multiLevelType w:val="hybridMultilevel"/>
    <w:tmpl w:val="2AEA9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BD4825"/>
    <w:multiLevelType w:val="multilevel"/>
    <w:tmpl w:val="FF90E8EE"/>
    <w:lvl w:ilvl="0">
      <w:start w:val="1"/>
      <w:numFmt w:val="decimal"/>
      <w:lvlText w:val="%1."/>
      <w:lvlJc w:val="left"/>
      <w:pPr>
        <w:ind w:left="720" w:hanging="360"/>
      </w:pPr>
      <w:rPr>
        <w:rFonts w:ascii="Arial" w:eastAsia="Arial" w:hAnsi="Arial" w:cs="Arial"/>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nsid w:val="62D1403F"/>
    <w:multiLevelType w:val="hybridMultilevel"/>
    <w:tmpl w:val="8496D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46A7228"/>
    <w:multiLevelType w:val="hybridMultilevel"/>
    <w:tmpl w:val="EA6007C0"/>
    <w:lvl w:ilvl="0" w:tplc="753E4B08">
      <w:start w:val="7"/>
      <w:numFmt w:val="bullet"/>
      <w:lvlText w:val="-"/>
      <w:lvlJc w:val="left"/>
      <w:pPr>
        <w:ind w:left="820" w:hanging="4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81053E6"/>
    <w:multiLevelType w:val="multilevel"/>
    <w:tmpl w:val="C8E453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79F503BC"/>
    <w:multiLevelType w:val="hybridMultilevel"/>
    <w:tmpl w:val="BE08DA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4"/>
  </w:num>
  <w:num w:numId="3">
    <w:abstractNumId w:val="14"/>
  </w:num>
  <w:num w:numId="4">
    <w:abstractNumId w:val="30"/>
  </w:num>
  <w:num w:numId="5">
    <w:abstractNumId w:val="12"/>
  </w:num>
  <w:num w:numId="6">
    <w:abstractNumId w:val="16"/>
  </w:num>
  <w:num w:numId="7">
    <w:abstractNumId w:val="21"/>
  </w:num>
  <w:num w:numId="8">
    <w:abstractNumId w:val="27"/>
  </w:num>
  <w:num w:numId="9">
    <w:abstractNumId w:val="22"/>
  </w:num>
  <w:num w:numId="10">
    <w:abstractNumId w:val="11"/>
  </w:num>
  <w:num w:numId="11">
    <w:abstractNumId w:val="13"/>
  </w:num>
  <w:num w:numId="12">
    <w:abstractNumId w:val="20"/>
  </w:num>
  <w:num w:numId="13">
    <w:abstractNumId w:val="23"/>
  </w:num>
  <w:num w:numId="14">
    <w:abstractNumId w:val="15"/>
  </w:num>
  <w:num w:numId="15">
    <w:abstractNumId w:val="17"/>
  </w:num>
  <w:num w:numId="16">
    <w:abstractNumId w:val="29"/>
  </w:num>
  <w:num w:numId="17">
    <w:abstractNumId w:val="25"/>
  </w:num>
  <w:num w:numId="18">
    <w:abstractNumId w:val="19"/>
  </w:num>
  <w:num w:numId="19">
    <w:abstractNumId w:val="31"/>
  </w:num>
  <w:num w:numId="20">
    <w:abstractNumId w:val="28"/>
  </w:num>
  <w:num w:numId="21">
    <w:abstractNumId w:val="10"/>
  </w:num>
  <w:num w:numId="22">
    <w:abstractNumId w:val="26"/>
  </w:num>
  <w:num w:numId="23">
    <w:abstractNumId w:val="0"/>
  </w:num>
  <w:num w:numId="24">
    <w:abstractNumId w:val="1"/>
  </w:num>
  <w:num w:numId="25">
    <w:abstractNumId w:val="2"/>
  </w:num>
  <w:num w:numId="26">
    <w:abstractNumId w:val="3"/>
  </w:num>
  <w:num w:numId="27">
    <w:abstractNumId w:val="8"/>
  </w:num>
  <w:num w:numId="28">
    <w:abstractNumId w:val="4"/>
  </w:num>
  <w:num w:numId="29">
    <w:abstractNumId w:val="5"/>
  </w:num>
  <w:num w:numId="30">
    <w:abstractNumId w:val="6"/>
  </w:num>
  <w:num w:numId="31">
    <w:abstractNumId w:val="7"/>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DE2"/>
    <w:rsid w:val="00014C62"/>
    <w:rsid w:val="00014EB0"/>
    <w:rsid w:val="00017FC7"/>
    <w:rsid w:val="00022214"/>
    <w:rsid w:val="00030D9A"/>
    <w:rsid w:val="0003160C"/>
    <w:rsid w:val="0003270B"/>
    <w:rsid w:val="00041CC5"/>
    <w:rsid w:val="00043989"/>
    <w:rsid w:val="00044AA7"/>
    <w:rsid w:val="0005066E"/>
    <w:rsid w:val="000528D1"/>
    <w:rsid w:val="00054DD2"/>
    <w:rsid w:val="0005533F"/>
    <w:rsid w:val="000559D0"/>
    <w:rsid w:val="00055C9B"/>
    <w:rsid w:val="00062DB8"/>
    <w:rsid w:val="00063A33"/>
    <w:rsid w:val="00063C92"/>
    <w:rsid w:val="000670D7"/>
    <w:rsid w:val="000726D6"/>
    <w:rsid w:val="0007354B"/>
    <w:rsid w:val="00074093"/>
    <w:rsid w:val="00074554"/>
    <w:rsid w:val="00075308"/>
    <w:rsid w:val="00075B72"/>
    <w:rsid w:val="00081F41"/>
    <w:rsid w:val="00082BBE"/>
    <w:rsid w:val="00084956"/>
    <w:rsid w:val="000928A1"/>
    <w:rsid w:val="00093F6C"/>
    <w:rsid w:val="0009413E"/>
    <w:rsid w:val="000A1E45"/>
    <w:rsid w:val="000A2F56"/>
    <w:rsid w:val="000A6F14"/>
    <w:rsid w:val="000B098E"/>
    <w:rsid w:val="000B1190"/>
    <w:rsid w:val="000B38D0"/>
    <w:rsid w:val="000B4987"/>
    <w:rsid w:val="000B5659"/>
    <w:rsid w:val="000B62BD"/>
    <w:rsid w:val="000B6B89"/>
    <w:rsid w:val="000B6D5F"/>
    <w:rsid w:val="000C23BC"/>
    <w:rsid w:val="000C3AED"/>
    <w:rsid w:val="000C4118"/>
    <w:rsid w:val="000E142D"/>
    <w:rsid w:val="000E3338"/>
    <w:rsid w:val="000E3F36"/>
    <w:rsid w:val="000E57D7"/>
    <w:rsid w:val="000F0350"/>
    <w:rsid w:val="000F0799"/>
    <w:rsid w:val="000F13EA"/>
    <w:rsid w:val="000F143B"/>
    <w:rsid w:val="00100108"/>
    <w:rsid w:val="001069B8"/>
    <w:rsid w:val="0010711B"/>
    <w:rsid w:val="00113FC0"/>
    <w:rsid w:val="00130163"/>
    <w:rsid w:val="00133674"/>
    <w:rsid w:val="001361DC"/>
    <w:rsid w:val="0014090C"/>
    <w:rsid w:val="00140BDD"/>
    <w:rsid w:val="00141FC5"/>
    <w:rsid w:val="00146C7D"/>
    <w:rsid w:val="001533AF"/>
    <w:rsid w:val="0015778D"/>
    <w:rsid w:val="00160164"/>
    <w:rsid w:val="00162628"/>
    <w:rsid w:val="001638D1"/>
    <w:rsid w:val="0016627A"/>
    <w:rsid w:val="00171F25"/>
    <w:rsid w:val="00172F84"/>
    <w:rsid w:val="00190400"/>
    <w:rsid w:val="00192B7B"/>
    <w:rsid w:val="001940E1"/>
    <w:rsid w:val="001948D0"/>
    <w:rsid w:val="001956EA"/>
    <w:rsid w:val="00195CFD"/>
    <w:rsid w:val="0019721B"/>
    <w:rsid w:val="001A125A"/>
    <w:rsid w:val="001B1CC4"/>
    <w:rsid w:val="001B3794"/>
    <w:rsid w:val="001B50AB"/>
    <w:rsid w:val="001B7563"/>
    <w:rsid w:val="001C034D"/>
    <w:rsid w:val="001D4EF1"/>
    <w:rsid w:val="001D6D4B"/>
    <w:rsid w:val="001E3E3B"/>
    <w:rsid w:val="001E4860"/>
    <w:rsid w:val="001E71CF"/>
    <w:rsid w:val="001E7BED"/>
    <w:rsid w:val="001F1445"/>
    <w:rsid w:val="001F2143"/>
    <w:rsid w:val="001F2ACD"/>
    <w:rsid w:val="001F7A1E"/>
    <w:rsid w:val="002004D7"/>
    <w:rsid w:val="00204D05"/>
    <w:rsid w:val="002053CE"/>
    <w:rsid w:val="002077A6"/>
    <w:rsid w:val="00210061"/>
    <w:rsid w:val="002138C3"/>
    <w:rsid w:val="00214F9B"/>
    <w:rsid w:val="00216F4F"/>
    <w:rsid w:val="00217ACF"/>
    <w:rsid w:val="00222701"/>
    <w:rsid w:val="0022289C"/>
    <w:rsid w:val="00227121"/>
    <w:rsid w:val="00227C71"/>
    <w:rsid w:val="00234381"/>
    <w:rsid w:val="00235E14"/>
    <w:rsid w:val="00236BC9"/>
    <w:rsid w:val="00237A2A"/>
    <w:rsid w:val="002428F0"/>
    <w:rsid w:val="002435D0"/>
    <w:rsid w:val="0024426E"/>
    <w:rsid w:val="00244B38"/>
    <w:rsid w:val="00250313"/>
    <w:rsid w:val="0026034D"/>
    <w:rsid w:val="002620C6"/>
    <w:rsid w:val="002625B1"/>
    <w:rsid w:val="0026386A"/>
    <w:rsid w:val="00265577"/>
    <w:rsid w:val="00265743"/>
    <w:rsid w:val="0026651B"/>
    <w:rsid w:val="00266BEE"/>
    <w:rsid w:val="00266E25"/>
    <w:rsid w:val="002762C0"/>
    <w:rsid w:val="002804E3"/>
    <w:rsid w:val="00281F6B"/>
    <w:rsid w:val="0028682B"/>
    <w:rsid w:val="002873AD"/>
    <w:rsid w:val="00287876"/>
    <w:rsid w:val="002926A1"/>
    <w:rsid w:val="00295A2B"/>
    <w:rsid w:val="002A2F89"/>
    <w:rsid w:val="002A6E50"/>
    <w:rsid w:val="002A7352"/>
    <w:rsid w:val="002B6B5D"/>
    <w:rsid w:val="002B7BE3"/>
    <w:rsid w:val="002C3B91"/>
    <w:rsid w:val="002C5724"/>
    <w:rsid w:val="002C70D4"/>
    <w:rsid w:val="002C75FE"/>
    <w:rsid w:val="002C79E0"/>
    <w:rsid w:val="002D2C2A"/>
    <w:rsid w:val="002D6211"/>
    <w:rsid w:val="002E0829"/>
    <w:rsid w:val="002E2988"/>
    <w:rsid w:val="002E73FE"/>
    <w:rsid w:val="002F051C"/>
    <w:rsid w:val="002F0561"/>
    <w:rsid w:val="002F06CB"/>
    <w:rsid w:val="002F4AFD"/>
    <w:rsid w:val="002F66D7"/>
    <w:rsid w:val="00304DDB"/>
    <w:rsid w:val="003063BB"/>
    <w:rsid w:val="00310374"/>
    <w:rsid w:val="00312C8B"/>
    <w:rsid w:val="003152D5"/>
    <w:rsid w:val="00317B0B"/>
    <w:rsid w:val="003207B0"/>
    <w:rsid w:val="00326064"/>
    <w:rsid w:val="00326CCB"/>
    <w:rsid w:val="00327155"/>
    <w:rsid w:val="00332249"/>
    <w:rsid w:val="00332276"/>
    <w:rsid w:val="00332430"/>
    <w:rsid w:val="003371BD"/>
    <w:rsid w:val="003400AB"/>
    <w:rsid w:val="003403B8"/>
    <w:rsid w:val="00350683"/>
    <w:rsid w:val="003512E2"/>
    <w:rsid w:val="00353DBF"/>
    <w:rsid w:val="003560CA"/>
    <w:rsid w:val="0035794C"/>
    <w:rsid w:val="00363C3D"/>
    <w:rsid w:val="00364467"/>
    <w:rsid w:val="00365611"/>
    <w:rsid w:val="00365E3D"/>
    <w:rsid w:val="003703AF"/>
    <w:rsid w:val="003731E0"/>
    <w:rsid w:val="003734B3"/>
    <w:rsid w:val="00377317"/>
    <w:rsid w:val="003864CF"/>
    <w:rsid w:val="003919E2"/>
    <w:rsid w:val="003940E3"/>
    <w:rsid w:val="00397353"/>
    <w:rsid w:val="003A15B7"/>
    <w:rsid w:val="003A274A"/>
    <w:rsid w:val="003A2A13"/>
    <w:rsid w:val="003A4F48"/>
    <w:rsid w:val="003B2267"/>
    <w:rsid w:val="003B2DA1"/>
    <w:rsid w:val="003B5290"/>
    <w:rsid w:val="003B5CF9"/>
    <w:rsid w:val="003C1117"/>
    <w:rsid w:val="003C376D"/>
    <w:rsid w:val="003C4C7F"/>
    <w:rsid w:val="003D42B4"/>
    <w:rsid w:val="003D48A5"/>
    <w:rsid w:val="003E27E5"/>
    <w:rsid w:val="003E2C11"/>
    <w:rsid w:val="003E5F6B"/>
    <w:rsid w:val="003E68B9"/>
    <w:rsid w:val="003E76F6"/>
    <w:rsid w:val="003F4E21"/>
    <w:rsid w:val="003F5F90"/>
    <w:rsid w:val="0040564D"/>
    <w:rsid w:val="004107A4"/>
    <w:rsid w:val="004109EC"/>
    <w:rsid w:val="00411D03"/>
    <w:rsid w:val="00412300"/>
    <w:rsid w:val="00425228"/>
    <w:rsid w:val="0042563E"/>
    <w:rsid w:val="00425A67"/>
    <w:rsid w:val="00430CEC"/>
    <w:rsid w:val="00431424"/>
    <w:rsid w:val="0043286F"/>
    <w:rsid w:val="004410FE"/>
    <w:rsid w:val="00444DFD"/>
    <w:rsid w:val="00445F47"/>
    <w:rsid w:val="00455261"/>
    <w:rsid w:val="00457C40"/>
    <w:rsid w:val="00462FCD"/>
    <w:rsid w:val="004664B5"/>
    <w:rsid w:val="0046663D"/>
    <w:rsid w:val="00466FE6"/>
    <w:rsid w:val="0047221C"/>
    <w:rsid w:val="00474A25"/>
    <w:rsid w:val="004812D4"/>
    <w:rsid w:val="00481E7B"/>
    <w:rsid w:val="00482970"/>
    <w:rsid w:val="00484221"/>
    <w:rsid w:val="00484B7E"/>
    <w:rsid w:val="00495FEE"/>
    <w:rsid w:val="004A21E9"/>
    <w:rsid w:val="004A7137"/>
    <w:rsid w:val="004A7CD3"/>
    <w:rsid w:val="004B34C3"/>
    <w:rsid w:val="004B67E9"/>
    <w:rsid w:val="004C01BA"/>
    <w:rsid w:val="004C1104"/>
    <w:rsid w:val="004D2DEE"/>
    <w:rsid w:val="004D62AD"/>
    <w:rsid w:val="004D76E3"/>
    <w:rsid w:val="004E17A6"/>
    <w:rsid w:val="004E2596"/>
    <w:rsid w:val="004E4B2B"/>
    <w:rsid w:val="004E71D1"/>
    <w:rsid w:val="004F039C"/>
    <w:rsid w:val="004F0683"/>
    <w:rsid w:val="004F1BB6"/>
    <w:rsid w:val="004F22F3"/>
    <w:rsid w:val="004F23B2"/>
    <w:rsid w:val="005007C6"/>
    <w:rsid w:val="005018B8"/>
    <w:rsid w:val="00504E33"/>
    <w:rsid w:val="00505748"/>
    <w:rsid w:val="00507EE7"/>
    <w:rsid w:val="00520192"/>
    <w:rsid w:val="005226DD"/>
    <w:rsid w:val="00524480"/>
    <w:rsid w:val="00524963"/>
    <w:rsid w:val="005252C3"/>
    <w:rsid w:val="00530694"/>
    <w:rsid w:val="00532195"/>
    <w:rsid w:val="00534A04"/>
    <w:rsid w:val="005378ED"/>
    <w:rsid w:val="00540250"/>
    <w:rsid w:val="00542040"/>
    <w:rsid w:val="00553C20"/>
    <w:rsid w:val="00557392"/>
    <w:rsid w:val="00561F16"/>
    <w:rsid w:val="0056687F"/>
    <w:rsid w:val="00566C6C"/>
    <w:rsid w:val="00572ADD"/>
    <w:rsid w:val="00572F34"/>
    <w:rsid w:val="00581438"/>
    <w:rsid w:val="00581508"/>
    <w:rsid w:val="005822B9"/>
    <w:rsid w:val="00583177"/>
    <w:rsid w:val="00587D20"/>
    <w:rsid w:val="005A3698"/>
    <w:rsid w:val="005A7EAC"/>
    <w:rsid w:val="005B1B19"/>
    <w:rsid w:val="005B2720"/>
    <w:rsid w:val="005B3B33"/>
    <w:rsid w:val="005B3ECD"/>
    <w:rsid w:val="005C039E"/>
    <w:rsid w:val="005C1DAF"/>
    <w:rsid w:val="005C3030"/>
    <w:rsid w:val="005C3EED"/>
    <w:rsid w:val="005C5541"/>
    <w:rsid w:val="005C6C89"/>
    <w:rsid w:val="005C7664"/>
    <w:rsid w:val="005D2A91"/>
    <w:rsid w:val="005D4E7C"/>
    <w:rsid w:val="005D5F53"/>
    <w:rsid w:val="005E2257"/>
    <w:rsid w:val="005E4D9B"/>
    <w:rsid w:val="005F32B2"/>
    <w:rsid w:val="005F48A8"/>
    <w:rsid w:val="005F57CA"/>
    <w:rsid w:val="0060652E"/>
    <w:rsid w:val="00606E50"/>
    <w:rsid w:val="006070CD"/>
    <w:rsid w:val="00607AF5"/>
    <w:rsid w:val="006238EB"/>
    <w:rsid w:val="00623F7A"/>
    <w:rsid w:val="0062469E"/>
    <w:rsid w:val="00625A69"/>
    <w:rsid w:val="00626078"/>
    <w:rsid w:val="00632997"/>
    <w:rsid w:val="00640226"/>
    <w:rsid w:val="006408FB"/>
    <w:rsid w:val="00642249"/>
    <w:rsid w:val="00644414"/>
    <w:rsid w:val="00656921"/>
    <w:rsid w:val="00662807"/>
    <w:rsid w:val="00665016"/>
    <w:rsid w:val="00672690"/>
    <w:rsid w:val="00672A7D"/>
    <w:rsid w:val="00674978"/>
    <w:rsid w:val="00675382"/>
    <w:rsid w:val="00677309"/>
    <w:rsid w:val="00677E85"/>
    <w:rsid w:val="00683BE9"/>
    <w:rsid w:val="00686AC0"/>
    <w:rsid w:val="006953F6"/>
    <w:rsid w:val="006A4563"/>
    <w:rsid w:val="006A7154"/>
    <w:rsid w:val="006A77FA"/>
    <w:rsid w:val="006B3A21"/>
    <w:rsid w:val="006B645B"/>
    <w:rsid w:val="006B6719"/>
    <w:rsid w:val="006C21E5"/>
    <w:rsid w:val="006C4333"/>
    <w:rsid w:val="006C56CC"/>
    <w:rsid w:val="006C67E0"/>
    <w:rsid w:val="006C6A11"/>
    <w:rsid w:val="006D1074"/>
    <w:rsid w:val="006D39D0"/>
    <w:rsid w:val="006D46B1"/>
    <w:rsid w:val="006E19EF"/>
    <w:rsid w:val="006E40A0"/>
    <w:rsid w:val="006E64E1"/>
    <w:rsid w:val="006E7A31"/>
    <w:rsid w:val="006F0AA9"/>
    <w:rsid w:val="006F4133"/>
    <w:rsid w:val="006F5711"/>
    <w:rsid w:val="006F72A3"/>
    <w:rsid w:val="007007ED"/>
    <w:rsid w:val="00700826"/>
    <w:rsid w:val="00707B64"/>
    <w:rsid w:val="007168F2"/>
    <w:rsid w:val="00716ED1"/>
    <w:rsid w:val="00724875"/>
    <w:rsid w:val="00725A46"/>
    <w:rsid w:val="00727523"/>
    <w:rsid w:val="007377E4"/>
    <w:rsid w:val="00741285"/>
    <w:rsid w:val="007422A7"/>
    <w:rsid w:val="007439BD"/>
    <w:rsid w:val="007543A9"/>
    <w:rsid w:val="00754415"/>
    <w:rsid w:val="00756A79"/>
    <w:rsid w:val="00756C11"/>
    <w:rsid w:val="00762208"/>
    <w:rsid w:val="00762B09"/>
    <w:rsid w:val="00765534"/>
    <w:rsid w:val="00773BCE"/>
    <w:rsid w:val="007744EC"/>
    <w:rsid w:val="00780162"/>
    <w:rsid w:val="00795128"/>
    <w:rsid w:val="00795A04"/>
    <w:rsid w:val="00796D35"/>
    <w:rsid w:val="007A105A"/>
    <w:rsid w:val="007A3AA5"/>
    <w:rsid w:val="007A5D1C"/>
    <w:rsid w:val="007B0F8D"/>
    <w:rsid w:val="007B2550"/>
    <w:rsid w:val="007B2DE2"/>
    <w:rsid w:val="007B75F9"/>
    <w:rsid w:val="007C7E99"/>
    <w:rsid w:val="007D32B7"/>
    <w:rsid w:val="007F0240"/>
    <w:rsid w:val="007F07C0"/>
    <w:rsid w:val="007F18EB"/>
    <w:rsid w:val="007F1B27"/>
    <w:rsid w:val="007F1DB7"/>
    <w:rsid w:val="007F3A03"/>
    <w:rsid w:val="007F5325"/>
    <w:rsid w:val="007F72F3"/>
    <w:rsid w:val="00800239"/>
    <w:rsid w:val="008031F0"/>
    <w:rsid w:val="0081198C"/>
    <w:rsid w:val="00813AC0"/>
    <w:rsid w:val="00816A87"/>
    <w:rsid w:val="00816F2B"/>
    <w:rsid w:val="00822044"/>
    <w:rsid w:val="0082679C"/>
    <w:rsid w:val="008350E7"/>
    <w:rsid w:val="008352EE"/>
    <w:rsid w:val="008364EC"/>
    <w:rsid w:val="00837036"/>
    <w:rsid w:val="0083765C"/>
    <w:rsid w:val="00840AAA"/>
    <w:rsid w:val="008525B9"/>
    <w:rsid w:val="0085341E"/>
    <w:rsid w:val="00855C46"/>
    <w:rsid w:val="0086549E"/>
    <w:rsid w:val="008676A0"/>
    <w:rsid w:val="008767D4"/>
    <w:rsid w:val="00880242"/>
    <w:rsid w:val="0088126A"/>
    <w:rsid w:val="00885136"/>
    <w:rsid w:val="008910F0"/>
    <w:rsid w:val="00891302"/>
    <w:rsid w:val="008930DB"/>
    <w:rsid w:val="0089469C"/>
    <w:rsid w:val="00897013"/>
    <w:rsid w:val="008A1C21"/>
    <w:rsid w:val="008A27DE"/>
    <w:rsid w:val="008A49B4"/>
    <w:rsid w:val="008D3FEC"/>
    <w:rsid w:val="008F02EF"/>
    <w:rsid w:val="008F6362"/>
    <w:rsid w:val="008F69B1"/>
    <w:rsid w:val="00901865"/>
    <w:rsid w:val="00901F36"/>
    <w:rsid w:val="009051EB"/>
    <w:rsid w:val="00905482"/>
    <w:rsid w:val="009115DE"/>
    <w:rsid w:val="00915D86"/>
    <w:rsid w:val="00921925"/>
    <w:rsid w:val="00925A12"/>
    <w:rsid w:val="00926068"/>
    <w:rsid w:val="00935DBA"/>
    <w:rsid w:val="00935FEA"/>
    <w:rsid w:val="009412AF"/>
    <w:rsid w:val="0094234A"/>
    <w:rsid w:val="00942B0C"/>
    <w:rsid w:val="00942BAE"/>
    <w:rsid w:val="009432F4"/>
    <w:rsid w:val="00944CC3"/>
    <w:rsid w:val="009471C0"/>
    <w:rsid w:val="00947C47"/>
    <w:rsid w:val="009549F5"/>
    <w:rsid w:val="00955ADC"/>
    <w:rsid w:val="0095789C"/>
    <w:rsid w:val="00960C71"/>
    <w:rsid w:val="0096292A"/>
    <w:rsid w:val="00962F39"/>
    <w:rsid w:val="00964641"/>
    <w:rsid w:val="00965368"/>
    <w:rsid w:val="00965835"/>
    <w:rsid w:val="00967639"/>
    <w:rsid w:val="00970C47"/>
    <w:rsid w:val="009740B2"/>
    <w:rsid w:val="009748BE"/>
    <w:rsid w:val="009749C1"/>
    <w:rsid w:val="009801C8"/>
    <w:rsid w:val="0098221C"/>
    <w:rsid w:val="009838C0"/>
    <w:rsid w:val="00986DA0"/>
    <w:rsid w:val="0099075B"/>
    <w:rsid w:val="009915D3"/>
    <w:rsid w:val="00993CDD"/>
    <w:rsid w:val="00995267"/>
    <w:rsid w:val="00996646"/>
    <w:rsid w:val="009970A9"/>
    <w:rsid w:val="0099722E"/>
    <w:rsid w:val="009A038D"/>
    <w:rsid w:val="009A406B"/>
    <w:rsid w:val="009A57CA"/>
    <w:rsid w:val="009A7668"/>
    <w:rsid w:val="009A7B4B"/>
    <w:rsid w:val="009B4172"/>
    <w:rsid w:val="009C0AD1"/>
    <w:rsid w:val="009C1C69"/>
    <w:rsid w:val="009C2738"/>
    <w:rsid w:val="009C36A8"/>
    <w:rsid w:val="009C4D6D"/>
    <w:rsid w:val="009D23B2"/>
    <w:rsid w:val="009D3109"/>
    <w:rsid w:val="009E01C1"/>
    <w:rsid w:val="009E247E"/>
    <w:rsid w:val="009E3A30"/>
    <w:rsid w:val="009E63B8"/>
    <w:rsid w:val="009E7784"/>
    <w:rsid w:val="009F3A0D"/>
    <w:rsid w:val="009F4476"/>
    <w:rsid w:val="009F63F1"/>
    <w:rsid w:val="009F6D1E"/>
    <w:rsid w:val="00A0254D"/>
    <w:rsid w:val="00A07C3C"/>
    <w:rsid w:val="00A1088F"/>
    <w:rsid w:val="00A1093F"/>
    <w:rsid w:val="00A11CCC"/>
    <w:rsid w:val="00A15850"/>
    <w:rsid w:val="00A2380F"/>
    <w:rsid w:val="00A24577"/>
    <w:rsid w:val="00A277E5"/>
    <w:rsid w:val="00A27AA1"/>
    <w:rsid w:val="00A32B6C"/>
    <w:rsid w:val="00A34B22"/>
    <w:rsid w:val="00A44199"/>
    <w:rsid w:val="00A4611E"/>
    <w:rsid w:val="00A4767F"/>
    <w:rsid w:val="00A5608B"/>
    <w:rsid w:val="00A56C29"/>
    <w:rsid w:val="00A60151"/>
    <w:rsid w:val="00A81BAB"/>
    <w:rsid w:val="00A82715"/>
    <w:rsid w:val="00A82C4C"/>
    <w:rsid w:val="00A91B10"/>
    <w:rsid w:val="00AA0C87"/>
    <w:rsid w:val="00AA33EF"/>
    <w:rsid w:val="00AA5290"/>
    <w:rsid w:val="00AA5E2A"/>
    <w:rsid w:val="00AB41CA"/>
    <w:rsid w:val="00AC42D1"/>
    <w:rsid w:val="00AC5537"/>
    <w:rsid w:val="00AD0F50"/>
    <w:rsid w:val="00AD612D"/>
    <w:rsid w:val="00AE17E9"/>
    <w:rsid w:val="00AE3E35"/>
    <w:rsid w:val="00AE74F2"/>
    <w:rsid w:val="00AF1027"/>
    <w:rsid w:val="00AF4C29"/>
    <w:rsid w:val="00AF6D06"/>
    <w:rsid w:val="00B023CD"/>
    <w:rsid w:val="00B02F3D"/>
    <w:rsid w:val="00B05418"/>
    <w:rsid w:val="00B0679F"/>
    <w:rsid w:val="00B1074B"/>
    <w:rsid w:val="00B119CC"/>
    <w:rsid w:val="00B1500F"/>
    <w:rsid w:val="00B22E52"/>
    <w:rsid w:val="00B27146"/>
    <w:rsid w:val="00B30984"/>
    <w:rsid w:val="00B30AF9"/>
    <w:rsid w:val="00B3106E"/>
    <w:rsid w:val="00B33CFE"/>
    <w:rsid w:val="00B34490"/>
    <w:rsid w:val="00B35778"/>
    <w:rsid w:val="00B40032"/>
    <w:rsid w:val="00B419E0"/>
    <w:rsid w:val="00B41F85"/>
    <w:rsid w:val="00B431F3"/>
    <w:rsid w:val="00B47A91"/>
    <w:rsid w:val="00B47AEB"/>
    <w:rsid w:val="00B515B6"/>
    <w:rsid w:val="00B52C63"/>
    <w:rsid w:val="00B53A7D"/>
    <w:rsid w:val="00B544FD"/>
    <w:rsid w:val="00B5579A"/>
    <w:rsid w:val="00B55B57"/>
    <w:rsid w:val="00B61147"/>
    <w:rsid w:val="00B61283"/>
    <w:rsid w:val="00B65514"/>
    <w:rsid w:val="00B6706E"/>
    <w:rsid w:val="00B67987"/>
    <w:rsid w:val="00B70977"/>
    <w:rsid w:val="00B70D11"/>
    <w:rsid w:val="00B71AFB"/>
    <w:rsid w:val="00B7434B"/>
    <w:rsid w:val="00B76FB4"/>
    <w:rsid w:val="00B801C1"/>
    <w:rsid w:val="00B818E0"/>
    <w:rsid w:val="00B9353C"/>
    <w:rsid w:val="00BA1BD4"/>
    <w:rsid w:val="00BA21DB"/>
    <w:rsid w:val="00BA6137"/>
    <w:rsid w:val="00BA69F2"/>
    <w:rsid w:val="00BB13E3"/>
    <w:rsid w:val="00BB1831"/>
    <w:rsid w:val="00BB1996"/>
    <w:rsid w:val="00BB2076"/>
    <w:rsid w:val="00BB7710"/>
    <w:rsid w:val="00BC045D"/>
    <w:rsid w:val="00BC7272"/>
    <w:rsid w:val="00BD0692"/>
    <w:rsid w:val="00BD5211"/>
    <w:rsid w:val="00BE0817"/>
    <w:rsid w:val="00BE2F1E"/>
    <w:rsid w:val="00BE4CF4"/>
    <w:rsid w:val="00BF0C77"/>
    <w:rsid w:val="00BF257A"/>
    <w:rsid w:val="00C03B1D"/>
    <w:rsid w:val="00C048A5"/>
    <w:rsid w:val="00C05182"/>
    <w:rsid w:val="00C12C3E"/>
    <w:rsid w:val="00C13A1C"/>
    <w:rsid w:val="00C14528"/>
    <w:rsid w:val="00C148E5"/>
    <w:rsid w:val="00C1509A"/>
    <w:rsid w:val="00C1580B"/>
    <w:rsid w:val="00C176AF"/>
    <w:rsid w:val="00C20BF5"/>
    <w:rsid w:val="00C22F56"/>
    <w:rsid w:val="00C275DD"/>
    <w:rsid w:val="00C34C23"/>
    <w:rsid w:val="00C34EE9"/>
    <w:rsid w:val="00C41035"/>
    <w:rsid w:val="00C429C1"/>
    <w:rsid w:val="00C4583A"/>
    <w:rsid w:val="00C50BD7"/>
    <w:rsid w:val="00C532BE"/>
    <w:rsid w:val="00C5355D"/>
    <w:rsid w:val="00C53AC9"/>
    <w:rsid w:val="00C54020"/>
    <w:rsid w:val="00C5772C"/>
    <w:rsid w:val="00C61920"/>
    <w:rsid w:val="00C66C56"/>
    <w:rsid w:val="00C678AC"/>
    <w:rsid w:val="00C67AD5"/>
    <w:rsid w:val="00C7060F"/>
    <w:rsid w:val="00C7269A"/>
    <w:rsid w:val="00C73DB7"/>
    <w:rsid w:val="00C76437"/>
    <w:rsid w:val="00C820F6"/>
    <w:rsid w:val="00C83D49"/>
    <w:rsid w:val="00C90AEE"/>
    <w:rsid w:val="00C91B34"/>
    <w:rsid w:val="00C9262B"/>
    <w:rsid w:val="00C9331D"/>
    <w:rsid w:val="00C93ECC"/>
    <w:rsid w:val="00C9414C"/>
    <w:rsid w:val="00C977D5"/>
    <w:rsid w:val="00CA2CEB"/>
    <w:rsid w:val="00CA4858"/>
    <w:rsid w:val="00CA6110"/>
    <w:rsid w:val="00CA61F7"/>
    <w:rsid w:val="00CA77EB"/>
    <w:rsid w:val="00CB7CBE"/>
    <w:rsid w:val="00CC55D4"/>
    <w:rsid w:val="00CD1865"/>
    <w:rsid w:val="00CD2353"/>
    <w:rsid w:val="00CD253E"/>
    <w:rsid w:val="00CD37DD"/>
    <w:rsid w:val="00CD459C"/>
    <w:rsid w:val="00CE031C"/>
    <w:rsid w:val="00CE0AD0"/>
    <w:rsid w:val="00CE14BF"/>
    <w:rsid w:val="00CF1817"/>
    <w:rsid w:val="00CF2187"/>
    <w:rsid w:val="00CF39F4"/>
    <w:rsid w:val="00D03C6D"/>
    <w:rsid w:val="00D04165"/>
    <w:rsid w:val="00D131FA"/>
    <w:rsid w:val="00D22CCF"/>
    <w:rsid w:val="00D24356"/>
    <w:rsid w:val="00D24BA5"/>
    <w:rsid w:val="00D26BD8"/>
    <w:rsid w:val="00D26E88"/>
    <w:rsid w:val="00D30627"/>
    <w:rsid w:val="00D31A79"/>
    <w:rsid w:val="00D31BF8"/>
    <w:rsid w:val="00D34C78"/>
    <w:rsid w:val="00D35939"/>
    <w:rsid w:val="00D41DFB"/>
    <w:rsid w:val="00D426B2"/>
    <w:rsid w:val="00D447E3"/>
    <w:rsid w:val="00D479B7"/>
    <w:rsid w:val="00D53236"/>
    <w:rsid w:val="00D53A71"/>
    <w:rsid w:val="00D6606A"/>
    <w:rsid w:val="00D70FB1"/>
    <w:rsid w:val="00D73845"/>
    <w:rsid w:val="00D73C22"/>
    <w:rsid w:val="00D749FE"/>
    <w:rsid w:val="00D83ED3"/>
    <w:rsid w:val="00D83EED"/>
    <w:rsid w:val="00D92542"/>
    <w:rsid w:val="00D95044"/>
    <w:rsid w:val="00DA0C2B"/>
    <w:rsid w:val="00DA1794"/>
    <w:rsid w:val="00DA17E7"/>
    <w:rsid w:val="00DA7777"/>
    <w:rsid w:val="00DB2AF5"/>
    <w:rsid w:val="00DB69F4"/>
    <w:rsid w:val="00DC0EC3"/>
    <w:rsid w:val="00DC24A7"/>
    <w:rsid w:val="00DC2502"/>
    <w:rsid w:val="00DC42EF"/>
    <w:rsid w:val="00DC4816"/>
    <w:rsid w:val="00DC5EBD"/>
    <w:rsid w:val="00DD69B8"/>
    <w:rsid w:val="00DE0331"/>
    <w:rsid w:val="00DE2988"/>
    <w:rsid w:val="00DE33EF"/>
    <w:rsid w:val="00DE3ACE"/>
    <w:rsid w:val="00DE53E4"/>
    <w:rsid w:val="00DE69E1"/>
    <w:rsid w:val="00DE7C6E"/>
    <w:rsid w:val="00DF0389"/>
    <w:rsid w:val="00DF04F3"/>
    <w:rsid w:val="00DF0BDD"/>
    <w:rsid w:val="00DF12E1"/>
    <w:rsid w:val="00DF1EBF"/>
    <w:rsid w:val="00DF2145"/>
    <w:rsid w:val="00DF3964"/>
    <w:rsid w:val="00DF62A4"/>
    <w:rsid w:val="00DF6347"/>
    <w:rsid w:val="00DF7147"/>
    <w:rsid w:val="00E14B40"/>
    <w:rsid w:val="00E1530C"/>
    <w:rsid w:val="00E324F6"/>
    <w:rsid w:val="00E32851"/>
    <w:rsid w:val="00E37CE6"/>
    <w:rsid w:val="00E4254C"/>
    <w:rsid w:val="00E42B61"/>
    <w:rsid w:val="00E43065"/>
    <w:rsid w:val="00E44816"/>
    <w:rsid w:val="00E45896"/>
    <w:rsid w:val="00E478BF"/>
    <w:rsid w:val="00E509E4"/>
    <w:rsid w:val="00E55BDB"/>
    <w:rsid w:val="00E562DA"/>
    <w:rsid w:val="00E57552"/>
    <w:rsid w:val="00E6513B"/>
    <w:rsid w:val="00E72D84"/>
    <w:rsid w:val="00E74361"/>
    <w:rsid w:val="00E76D24"/>
    <w:rsid w:val="00E77241"/>
    <w:rsid w:val="00E8210A"/>
    <w:rsid w:val="00E837AD"/>
    <w:rsid w:val="00E83B97"/>
    <w:rsid w:val="00E85175"/>
    <w:rsid w:val="00E8576E"/>
    <w:rsid w:val="00E95D6E"/>
    <w:rsid w:val="00EA15AB"/>
    <w:rsid w:val="00EA3808"/>
    <w:rsid w:val="00EA6923"/>
    <w:rsid w:val="00EB200F"/>
    <w:rsid w:val="00EB438D"/>
    <w:rsid w:val="00EC2FD1"/>
    <w:rsid w:val="00EC5A24"/>
    <w:rsid w:val="00EC7EE9"/>
    <w:rsid w:val="00EE27E7"/>
    <w:rsid w:val="00EE3294"/>
    <w:rsid w:val="00EE44F5"/>
    <w:rsid w:val="00EE466A"/>
    <w:rsid w:val="00EF1610"/>
    <w:rsid w:val="00EF71A2"/>
    <w:rsid w:val="00F015F6"/>
    <w:rsid w:val="00F10E76"/>
    <w:rsid w:val="00F139EE"/>
    <w:rsid w:val="00F13C7C"/>
    <w:rsid w:val="00F145B3"/>
    <w:rsid w:val="00F14A99"/>
    <w:rsid w:val="00F17E63"/>
    <w:rsid w:val="00F2056C"/>
    <w:rsid w:val="00F2558B"/>
    <w:rsid w:val="00F32DD4"/>
    <w:rsid w:val="00F35A10"/>
    <w:rsid w:val="00F41D2C"/>
    <w:rsid w:val="00F454CD"/>
    <w:rsid w:val="00F5402B"/>
    <w:rsid w:val="00F57044"/>
    <w:rsid w:val="00F57E57"/>
    <w:rsid w:val="00F60B55"/>
    <w:rsid w:val="00F62792"/>
    <w:rsid w:val="00F6464B"/>
    <w:rsid w:val="00F67105"/>
    <w:rsid w:val="00F73C9F"/>
    <w:rsid w:val="00F863C3"/>
    <w:rsid w:val="00F865D5"/>
    <w:rsid w:val="00F93CCF"/>
    <w:rsid w:val="00FA165C"/>
    <w:rsid w:val="00FA28F2"/>
    <w:rsid w:val="00FA71A3"/>
    <w:rsid w:val="00FB22D0"/>
    <w:rsid w:val="00FB30A2"/>
    <w:rsid w:val="00FB59E2"/>
    <w:rsid w:val="00FB6D99"/>
    <w:rsid w:val="00FB76C0"/>
    <w:rsid w:val="00FC4A46"/>
    <w:rsid w:val="00FC778D"/>
    <w:rsid w:val="00FD18F3"/>
    <w:rsid w:val="00FE1B23"/>
    <w:rsid w:val="00FE1D94"/>
    <w:rsid w:val="00FE1FBD"/>
    <w:rsid w:val="00FE281A"/>
    <w:rsid w:val="00FE6CC4"/>
    <w:rsid w:val="00FF30CF"/>
    <w:rsid w:val="00FF612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A2AAEE"/>
  <w15:docId w15:val="{2E08B3AE-A567-354B-A6EE-3C366E478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D6D4B"/>
    <w:pPr>
      <w:spacing w:line="240" w:lineRule="auto"/>
    </w:pPr>
    <w:rPr>
      <w:rFonts w:ascii="Times New Roman" w:eastAsia="Times New Roman" w:hAnsi="Times New Roman" w:cs="Times New Roman"/>
      <w:sz w:val="24"/>
      <w:szCs w:val="24"/>
      <w:lang w:val="en-US"/>
    </w:rPr>
  </w:style>
  <w:style w:type="paragraph" w:styleId="Heading1">
    <w:name w:val="heading 1"/>
    <w:basedOn w:val="Normal"/>
    <w:next w:val="Normal"/>
    <w:rsid w:val="00FC4A46"/>
    <w:pPr>
      <w:keepNext/>
      <w:keepLines/>
      <w:spacing w:before="400" w:after="120"/>
      <w:outlineLvl w:val="0"/>
    </w:pPr>
    <w:rPr>
      <w:b/>
      <w:bCs/>
      <w:sz w:val="32"/>
      <w:szCs w:val="32"/>
    </w:rPr>
  </w:style>
  <w:style w:type="paragraph" w:styleId="Heading2">
    <w:name w:val="heading 2"/>
    <w:basedOn w:val="Normal"/>
    <w:next w:val="Normal"/>
    <w:rsid w:val="00FC4A46"/>
    <w:pPr>
      <w:keepNext/>
      <w:keepLines/>
      <w:spacing w:before="360" w:after="120"/>
      <w:outlineLvl w:val="1"/>
    </w:pPr>
    <w:rPr>
      <w:b/>
      <w:bCs/>
      <w:sz w:val="30"/>
      <w:szCs w:val="30"/>
    </w:rPr>
  </w:style>
  <w:style w:type="paragraph" w:styleId="Heading3">
    <w:name w:val="heading 3"/>
    <w:basedOn w:val="Normal"/>
    <w:next w:val="Normal"/>
    <w:link w:val="Heading3Char"/>
    <w:uiPriority w:val="9"/>
    <w:qFormat/>
    <w:rsid w:val="00FC4A46"/>
    <w:pPr>
      <w:keepNext/>
      <w:keepLines/>
      <w:spacing w:before="300" w:after="120"/>
      <w:outlineLvl w:val="2"/>
    </w:pPr>
    <w:rPr>
      <w:b/>
      <w:bCs/>
      <w:color w:val="000000" w:themeColor="text1"/>
    </w:rPr>
  </w:style>
  <w:style w:type="paragraph" w:styleId="Heading4">
    <w:name w:val="heading 4"/>
    <w:basedOn w:val="Normal"/>
    <w:next w:val="Normal"/>
    <w:rsid w:val="00350683"/>
    <w:pPr>
      <w:keepNext/>
      <w:keepLines/>
      <w:spacing w:before="280" w:after="80"/>
      <w:outlineLvl w:val="3"/>
    </w:pPr>
    <w:rPr>
      <w:color w:val="000000" w:themeColor="text1"/>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6C4333"/>
    <w:pPr>
      <w:keepNext/>
      <w:keepLines/>
      <w:spacing w:after="300" w:line="276" w:lineRule="auto"/>
      <w:jc w:val="both"/>
    </w:pPr>
    <w:rPr>
      <w:rFonts w:eastAsia="Arial"/>
      <w:b/>
      <w:bCs/>
      <w:sz w:val="28"/>
      <w:szCs w:val="28"/>
      <w:lang w:val="en"/>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table" w:customStyle="1" w:styleId="a7">
    <w:basedOn w:val="TableNormal"/>
    <w:tblPr>
      <w:tblStyleRowBandSize w:val="1"/>
      <w:tblStyleColBandSize w:val="1"/>
      <w:tblInd w:w="0" w:type="dxa"/>
      <w:tblCellMar>
        <w:top w:w="100" w:type="dxa"/>
        <w:left w:w="100" w:type="dxa"/>
        <w:bottom w:w="100" w:type="dxa"/>
        <w:right w:w="100"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paragraph" w:styleId="CommentText">
    <w:name w:val="annotation text"/>
    <w:basedOn w:val="Normal"/>
    <w:link w:val="CommentTextChar"/>
    <w:semiHidden/>
    <w:unhideWhenUsed/>
  </w:style>
  <w:style w:type="character" w:customStyle="1" w:styleId="CommentTextChar">
    <w:name w:val="Comment Text Char"/>
    <w:basedOn w:val="DefaultParagraphFont"/>
    <w:link w:val="CommentText"/>
    <w:semiHidden/>
    <w:rPr>
      <w:rFonts w:ascii="Times New Roman" w:eastAsia="Times New Roman" w:hAnsi="Times New Roman" w:cs="Times New Roman"/>
      <w:sz w:val="24"/>
      <w:szCs w:val="24"/>
      <w:lang w:val="en-US"/>
    </w:rPr>
  </w:style>
  <w:style w:type="character" w:styleId="CommentReference">
    <w:name w:val="annotation reference"/>
    <w:basedOn w:val="DefaultParagraphFont"/>
    <w:semiHidden/>
    <w:unhideWhenUsed/>
    <w:rPr>
      <w:sz w:val="18"/>
      <w:szCs w:val="18"/>
    </w:rPr>
  </w:style>
  <w:style w:type="paragraph" w:styleId="BalloonText">
    <w:name w:val="Balloon Text"/>
    <w:basedOn w:val="Normal"/>
    <w:link w:val="BalloonTextChar"/>
    <w:uiPriority w:val="99"/>
    <w:semiHidden/>
    <w:unhideWhenUsed/>
    <w:rsid w:val="00133674"/>
    <w:rPr>
      <w:sz w:val="18"/>
      <w:szCs w:val="18"/>
    </w:rPr>
  </w:style>
  <w:style w:type="character" w:customStyle="1" w:styleId="BalloonTextChar">
    <w:name w:val="Balloon Text Char"/>
    <w:basedOn w:val="DefaultParagraphFont"/>
    <w:link w:val="BalloonText"/>
    <w:uiPriority w:val="99"/>
    <w:semiHidden/>
    <w:rsid w:val="00133674"/>
    <w:rPr>
      <w:rFonts w:ascii="Times New Roman" w:eastAsia="Times New Roman" w:hAnsi="Times New Roman" w:cs="Times New Roman"/>
      <w:sz w:val="18"/>
      <w:szCs w:val="18"/>
      <w:lang w:val="en-US"/>
    </w:rPr>
  </w:style>
  <w:style w:type="paragraph" w:styleId="Footer">
    <w:name w:val="footer"/>
    <w:basedOn w:val="Normal"/>
    <w:link w:val="FooterChar"/>
    <w:uiPriority w:val="99"/>
    <w:unhideWhenUsed/>
    <w:rsid w:val="00800239"/>
    <w:pPr>
      <w:tabs>
        <w:tab w:val="center" w:pos="4680"/>
        <w:tab w:val="right" w:pos="9360"/>
      </w:tabs>
    </w:pPr>
  </w:style>
  <w:style w:type="character" w:customStyle="1" w:styleId="FooterChar">
    <w:name w:val="Footer Char"/>
    <w:basedOn w:val="DefaultParagraphFont"/>
    <w:link w:val="Footer"/>
    <w:uiPriority w:val="99"/>
    <w:rsid w:val="00800239"/>
    <w:rPr>
      <w:rFonts w:ascii="Times New Roman" w:eastAsia="Times New Roman" w:hAnsi="Times New Roman" w:cs="Times New Roman"/>
      <w:sz w:val="24"/>
      <w:szCs w:val="24"/>
      <w:lang w:val="en-US"/>
    </w:rPr>
  </w:style>
  <w:style w:type="character" w:styleId="PageNumber">
    <w:name w:val="page number"/>
    <w:basedOn w:val="DefaultParagraphFont"/>
    <w:uiPriority w:val="99"/>
    <w:semiHidden/>
    <w:unhideWhenUsed/>
    <w:rsid w:val="00800239"/>
  </w:style>
  <w:style w:type="paragraph" w:styleId="CommentSubject">
    <w:name w:val="annotation subject"/>
    <w:basedOn w:val="CommentText"/>
    <w:next w:val="CommentText"/>
    <w:link w:val="CommentSubjectChar"/>
    <w:uiPriority w:val="99"/>
    <w:semiHidden/>
    <w:unhideWhenUsed/>
    <w:rsid w:val="00AC42D1"/>
    <w:rPr>
      <w:b/>
      <w:bCs/>
      <w:sz w:val="20"/>
      <w:szCs w:val="20"/>
    </w:rPr>
  </w:style>
  <w:style w:type="character" w:customStyle="1" w:styleId="CommentSubjectChar">
    <w:name w:val="Comment Subject Char"/>
    <w:basedOn w:val="CommentTextChar"/>
    <w:link w:val="CommentSubject"/>
    <w:uiPriority w:val="99"/>
    <w:semiHidden/>
    <w:rsid w:val="00AC42D1"/>
    <w:rPr>
      <w:rFonts w:ascii="Times New Roman" w:eastAsia="Times New Roman" w:hAnsi="Times New Roman" w:cs="Times New Roman"/>
      <w:b/>
      <w:bCs/>
      <w:sz w:val="20"/>
      <w:szCs w:val="20"/>
      <w:lang w:val="en-US"/>
    </w:rPr>
  </w:style>
  <w:style w:type="paragraph" w:styleId="Header">
    <w:name w:val="header"/>
    <w:basedOn w:val="Normal"/>
    <w:link w:val="HeaderChar"/>
    <w:uiPriority w:val="99"/>
    <w:unhideWhenUsed/>
    <w:rsid w:val="00AC42D1"/>
    <w:pPr>
      <w:tabs>
        <w:tab w:val="center" w:pos="4680"/>
        <w:tab w:val="right" w:pos="9360"/>
      </w:tabs>
    </w:pPr>
  </w:style>
  <w:style w:type="character" w:customStyle="1" w:styleId="HeaderChar">
    <w:name w:val="Header Char"/>
    <w:basedOn w:val="DefaultParagraphFont"/>
    <w:link w:val="Header"/>
    <w:uiPriority w:val="99"/>
    <w:rsid w:val="00AC42D1"/>
  </w:style>
  <w:style w:type="paragraph" w:styleId="ListParagraph">
    <w:name w:val="List Paragraph"/>
    <w:basedOn w:val="Normal"/>
    <w:uiPriority w:val="34"/>
    <w:qFormat/>
    <w:rsid w:val="00CA2CEB"/>
    <w:pPr>
      <w:ind w:left="720"/>
      <w:contextualSpacing/>
    </w:pPr>
  </w:style>
  <w:style w:type="character" w:styleId="Hyperlink">
    <w:name w:val="Hyperlink"/>
    <w:uiPriority w:val="99"/>
    <w:rsid w:val="00F93CCF"/>
    <w:rPr>
      <w:color w:val="0000FF"/>
      <w:u w:val="single"/>
    </w:rPr>
  </w:style>
  <w:style w:type="paragraph" w:customStyle="1" w:styleId="NormalNoJustif">
    <w:name w:val="NormalNoJustif"/>
    <w:basedOn w:val="Normal"/>
    <w:rsid w:val="002A7352"/>
    <w:pPr>
      <w:spacing w:after="120" w:line="360" w:lineRule="auto"/>
    </w:pPr>
  </w:style>
  <w:style w:type="paragraph" w:customStyle="1" w:styleId="Legend">
    <w:name w:val="Legend"/>
    <w:basedOn w:val="Normal"/>
    <w:qFormat/>
    <w:rsid w:val="002A7352"/>
    <w:pPr>
      <w:spacing w:after="120"/>
      <w:jc w:val="both"/>
    </w:pPr>
  </w:style>
  <w:style w:type="character" w:customStyle="1" w:styleId="UnresolvedMention1">
    <w:name w:val="Unresolved Mention1"/>
    <w:basedOn w:val="DefaultParagraphFont"/>
    <w:uiPriority w:val="99"/>
    <w:rsid w:val="00F93CCF"/>
    <w:rPr>
      <w:color w:val="605E5C"/>
      <w:shd w:val="clear" w:color="auto" w:fill="E1DFDD"/>
    </w:rPr>
  </w:style>
  <w:style w:type="paragraph" w:customStyle="1" w:styleId="authors">
    <w:name w:val="authors"/>
    <w:basedOn w:val="Normal"/>
    <w:qFormat/>
    <w:rsid w:val="00FC4A46"/>
    <w:pPr>
      <w:spacing w:after="300" w:line="480" w:lineRule="auto"/>
      <w:jc w:val="both"/>
    </w:pPr>
  </w:style>
  <w:style w:type="paragraph" w:customStyle="1" w:styleId="Paragraph">
    <w:name w:val="Paragraph"/>
    <w:basedOn w:val="Normal"/>
    <w:qFormat/>
    <w:rsid w:val="00FC4A46"/>
    <w:pPr>
      <w:spacing w:after="240" w:line="480" w:lineRule="auto"/>
      <w:jc w:val="both"/>
    </w:pPr>
  </w:style>
  <w:style w:type="paragraph" w:customStyle="1" w:styleId="PaperParagraph">
    <w:name w:val="Paper Paragraph"/>
    <w:basedOn w:val="Normal"/>
    <w:qFormat/>
    <w:rsid w:val="002F051C"/>
    <w:pPr>
      <w:spacing w:after="240" w:line="480" w:lineRule="auto"/>
    </w:pPr>
  </w:style>
  <w:style w:type="paragraph" w:customStyle="1" w:styleId="equation">
    <w:name w:val="equation"/>
    <w:basedOn w:val="Normal"/>
    <w:qFormat/>
    <w:rsid w:val="00E8576E"/>
    <w:pPr>
      <w:spacing w:before="200" w:after="200" w:line="480" w:lineRule="auto"/>
      <w:jc w:val="center"/>
    </w:pPr>
    <w:rPr>
      <w:rFonts w:ascii="Cambria Math" w:hAnsi="Cambria Math"/>
      <w:i/>
    </w:rPr>
  </w:style>
  <w:style w:type="paragraph" w:customStyle="1" w:styleId="FigureLegend">
    <w:name w:val="Figure Legend"/>
    <w:basedOn w:val="Normal"/>
    <w:qFormat/>
    <w:rsid w:val="00F865D5"/>
    <w:pPr>
      <w:spacing w:before="200" w:after="300"/>
      <w:jc w:val="both"/>
    </w:pPr>
    <w:rPr>
      <w:b/>
      <w:bCs/>
    </w:rPr>
  </w:style>
  <w:style w:type="paragraph" w:customStyle="1" w:styleId="figure">
    <w:name w:val="figure"/>
    <w:basedOn w:val="FigureLegend"/>
    <w:qFormat/>
    <w:rsid w:val="00F93CCF"/>
    <w:pPr>
      <w:jc w:val="center"/>
    </w:pPr>
    <w:rPr>
      <w:rFonts w:eastAsia="Calibri"/>
      <w:noProof/>
    </w:rPr>
  </w:style>
  <w:style w:type="paragraph" w:styleId="NormalWeb">
    <w:name w:val="Normal (Web)"/>
    <w:basedOn w:val="Normal"/>
    <w:uiPriority w:val="99"/>
    <w:semiHidden/>
    <w:unhideWhenUsed/>
    <w:rsid w:val="00960C71"/>
    <w:pPr>
      <w:spacing w:before="100" w:beforeAutospacing="1" w:after="100" w:afterAutospacing="1"/>
    </w:pPr>
    <w:rPr>
      <w:rFonts w:eastAsia="Arial"/>
    </w:rPr>
  </w:style>
  <w:style w:type="character" w:customStyle="1" w:styleId="Heading3Char">
    <w:name w:val="Heading 3 Char"/>
    <w:basedOn w:val="DefaultParagraphFont"/>
    <w:link w:val="Heading3"/>
    <w:uiPriority w:val="9"/>
    <w:rsid w:val="00227121"/>
    <w:rPr>
      <w:rFonts w:ascii="Times New Roman" w:eastAsia="Times New Roman" w:hAnsi="Times New Roman" w:cs="Times New Roman"/>
      <w:b/>
      <w:bCs/>
      <w:color w:val="000000" w:themeColor="text1"/>
      <w:sz w:val="24"/>
      <w:szCs w:val="24"/>
      <w:lang w:val="en-US"/>
    </w:rPr>
  </w:style>
  <w:style w:type="character" w:styleId="Emphasis">
    <w:name w:val="Emphasis"/>
    <w:basedOn w:val="DefaultParagraphFont"/>
    <w:uiPriority w:val="20"/>
    <w:qFormat/>
    <w:rsid w:val="00227121"/>
    <w:rPr>
      <w:i/>
      <w:iCs/>
    </w:rPr>
  </w:style>
  <w:style w:type="paragraph" w:customStyle="1" w:styleId="tableheader">
    <w:name w:val="table header"/>
    <w:basedOn w:val="Normal"/>
    <w:qFormat/>
    <w:rsid w:val="009C0AD1"/>
    <w:pPr>
      <w:spacing w:after="200"/>
    </w:pPr>
    <w:rPr>
      <w:rFonts w:eastAsia="Calibri"/>
      <w:b/>
    </w:rPr>
  </w:style>
  <w:style w:type="paragraph" w:customStyle="1" w:styleId="tabledescription">
    <w:name w:val="table description"/>
    <w:basedOn w:val="FigureLegend"/>
    <w:qFormat/>
    <w:rsid w:val="009C0AD1"/>
    <w:rPr>
      <w:rFonts w:eastAsia="Calibri"/>
    </w:rPr>
  </w:style>
  <w:style w:type="paragraph" w:styleId="TOC1">
    <w:name w:val="toc 1"/>
    <w:basedOn w:val="Normal"/>
    <w:next w:val="Normal"/>
    <w:autoRedefine/>
    <w:uiPriority w:val="39"/>
    <w:unhideWhenUsed/>
    <w:rsid w:val="005018B8"/>
    <w:pPr>
      <w:tabs>
        <w:tab w:val="right" w:leader="dot" w:pos="9350"/>
      </w:tabs>
      <w:spacing w:after="100"/>
    </w:pPr>
    <w:rPr>
      <w:rFonts w:eastAsia="Arial"/>
      <w:bCs/>
      <w:noProof/>
    </w:rPr>
  </w:style>
  <w:style w:type="paragraph" w:styleId="TOC2">
    <w:name w:val="toc 2"/>
    <w:basedOn w:val="Normal"/>
    <w:next w:val="Normal"/>
    <w:autoRedefine/>
    <w:uiPriority w:val="39"/>
    <w:unhideWhenUsed/>
    <w:rsid w:val="006408FB"/>
    <w:pPr>
      <w:tabs>
        <w:tab w:val="right" w:leader="dot" w:pos="9350"/>
      </w:tabs>
      <w:spacing w:after="100"/>
      <w:ind w:left="360"/>
    </w:pPr>
    <w:rPr>
      <w:rFonts w:eastAsia="Arial"/>
    </w:rPr>
  </w:style>
  <w:style w:type="paragraph" w:styleId="TOC3">
    <w:name w:val="toc 3"/>
    <w:basedOn w:val="Normal"/>
    <w:next w:val="Normal"/>
    <w:autoRedefine/>
    <w:uiPriority w:val="39"/>
    <w:unhideWhenUsed/>
    <w:rsid w:val="00350683"/>
    <w:pPr>
      <w:spacing w:after="100"/>
      <w:ind w:left="480"/>
    </w:pPr>
    <w:rPr>
      <w:rFonts w:eastAsia="Arial"/>
    </w:rPr>
  </w:style>
  <w:style w:type="paragraph" w:customStyle="1" w:styleId="titlePageSection">
    <w:name w:val="titlePageSection"/>
    <w:basedOn w:val="Normal"/>
    <w:qFormat/>
    <w:rsid w:val="006C4333"/>
    <w:pPr>
      <w:spacing w:before="200"/>
    </w:pPr>
    <w:rPr>
      <w:rFonts w:eastAsia="Arial"/>
      <w:b/>
      <w:bCs/>
    </w:rPr>
  </w:style>
  <w:style w:type="character" w:styleId="FollowedHyperlink">
    <w:name w:val="FollowedHyperlink"/>
    <w:basedOn w:val="DefaultParagraphFont"/>
    <w:uiPriority w:val="99"/>
    <w:semiHidden/>
    <w:unhideWhenUsed/>
    <w:rsid w:val="00141FC5"/>
    <w:rPr>
      <w:color w:val="800080" w:themeColor="followedHyperlink"/>
      <w:u w:val="single"/>
    </w:rPr>
  </w:style>
  <w:style w:type="paragraph" w:customStyle="1" w:styleId="addendumparagraph">
    <w:name w:val="addendum paragraph"/>
    <w:basedOn w:val="PaperParagraph"/>
    <w:qFormat/>
    <w:rsid w:val="00FB22D0"/>
    <w:pPr>
      <w:spacing w:after="100" w:line="240" w:lineRule="auto"/>
    </w:pPr>
    <w:rPr>
      <w:bCs/>
      <w:color w:val="222222"/>
      <w:spacing w:val="3"/>
    </w:rPr>
  </w:style>
  <w:style w:type="table" w:styleId="TableGrid">
    <w:name w:val="Table Grid"/>
    <w:basedOn w:val="TableNormal"/>
    <w:uiPriority w:val="39"/>
    <w:rsid w:val="00901F3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9A40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9A406B"/>
    <w:rPr>
      <w:rFonts w:ascii="Courier New" w:eastAsia="Times New Roman" w:hAnsi="Courier New" w:cs="Courier New"/>
      <w:sz w:val="20"/>
      <w:szCs w:val="20"/>
      <w:lang w:val="en-US"/>
    </w:rPr>
  </w:style>
  <w:style w:type="paragraph" w:styleId="FootnoteText">
    <w:name w:val="footnote text"/>
    <w:basedOn w:val="Normal"/>
    <w:link w:val="FootnoteTextChar"/>
    <w:uiPriority w:val="99"/>
    <w:semiHidden/>
    <w:unhideWhenUsed/>
    <w:rsid w:val="00E85175"/>
    <w:rPr>
      <w:rFonts w:eastAsia="Arial"/>
      <w:sz w:val="20"/>
      <w:szCs w:val="20"/>
    </w:rPr>
  </w:style>
  <w:style w:type="character" w:customStyle="1" w:styleId="FootnoteTextChar">
    <w:name w:val="Footnote Text Char"/>
    <w:basedOn w:val="DefaultParagraphFont"/>
    <w:link w:val="FootnoteText"/>
    <w:uiPriority w:val="99"/>
    <w:semiHidden/>
    <w:rsid w:val="00E85175"/>
    <w:rPr>
      <w:rFonts w:ascii="Times New Roman" w:hAnsi="Times New Roman" w:cs="Times New Roman"/>
      <w:sz w:val="20"/>
      <w:szCs w:val="20"/>
      <w:lang w:val="en-US"/>
    </w:rPr>
  </w:style>
  <w:style w:type="character" w:styleId="FootnoteReference">
    <w:name w:val="footnote reference"/>
    <w:basedOn w:val="DefaultParagraphFont"/>
    <w:uiPriority w:val="99"/>
    <w:semiHidden/>
    <w:unhideWhenUsed/>
    <w:rsid w:val="00E85175"/>
    <w:rPr>
      <w:vertAlign w:val="superscript"/>
    </w:rPr>
  </w:style>
  <w:style w:type="paragraph" w:styleId="Revision">
    <w:name w:val="Revision"/>
    <w:hidden/>
    <w:uiPriority w:val="99"/>
    <w:semiHidden/>
    <w:rsid w:val="00E14B40"/>
    <w:pPr>
      <w:spacing w:line="240" w:lineRule="auto"/>
    </w:pPr>
    <w:rPr>
      <w:rFonts w:ascii="Times New Roman" w:eastAsia="Times New Roman" w:hAnsi="Times New Roman" w:cs="Times New Roman"/>
      <w:sz w:val="24"/>
      <w:szCs w:val="24"/>
      <w:lang w:val="en-US"/>
    </w:rPr>
  </w:style>
  <w:style w:type="character" w:customStyle="1" w:styleId="UnresolvedMention2">
    <w:name w:val="Unresolved Mention2"/>
    <w:basedOn w:val="DefaultParagraphFont"/>
    <w:uiPriority w:val="99"/>
    <w:rsid w:val="00457C40"/>
    <w:rPr>
      <w:color w:val="605E5C"/>
      <w:shd w:val="clear" w:color="auto" w:fill="E1DFDD"/>
    </w:rPr>
  </w:style>
  <w:style w:type="character" w:customStyle="1" w:styleId="UnresolvedMention3">
    <w:name w:val="Unresolved Mention3"/>
    <w:basedOn w:val="DefaultParagraphFont"/>
    <w:uiPriority w:val="99"/>
    <w:rsid w:val="0016627A"/>
    <w:rPr>
      <w:color w:val="605E5C"/>
      <w:shd w:val="clear" w:color="auto" w:fill="E1DFDD"/>
    </w:rPr>
  </w:style>
  <w:style w:type="paragraph" w:customStyle="1" w:styleId="m4463117649237762709gmail-addendumparagraph">
    <w:name w:val="m_4463117649237762709gmail-addendumparagraph"/>
    <w:basedOn w:val="Normal"/>
    <w:rsid w:val="007007ED"/>
    <w:pPr>
      <w:spacing w:before="100" w:beforeAutospacing="1" w:after="100" w:afterAutospacing="1"/>
    </w:pPr>
  </w:style>
  <w:style w:type="character" w:customStyle="1" w:styleId="UnresolvedMention">
    <w:name w:val="Unresolved Mention"/>
    <w:basedOn w:val="DefaultParagraphFont"/>
    <w:uiPriority w:val="99"/>
    <w:semiHidden/>
    <w:unhideWhenUsed/>
    <w:rsid w:val="004056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46667">
      <w:bodyDiv w:val="1"/>
      <w:marLeft w:val="0"/>
      <w:marRight w:val="0"/>
      <w:marTop w:val="0"/>
      <w:marBottom w:val="0"/>
      <w:divBdr>
        <w:top w:val="none" w:sz="0" w:space="0" w:color="auto"/>
        <w:left w:val="none" w:sz="0" w:space="0" w:color="auto"/>
        <w:bottom w:val="none" w:sz="0" w:space="0" w:color="auto"/>
        <w:right w:val="none" w:sz="0" w:space="0" w:color="auto"/>
      </w:divBdr>
    </w:div>
    <w:div w:id="113601968">
      <w:bodyDiv w:val="1"/>
      <w:marLeft w:val="0"/>
      <w:marRight w:val="0"/>
      <w:marTop w:val="0"/>
      <w:marBottom w:val="0"/>
      <w:divBdr>
        <w:top w:val="none" w:sz="0" w:space="0" w:color="auto"/>
        <w:left w:val="none" w:sz="0" w:space="0" w:color="auto"/>
        <w:bottom w:val="none" w:sz="0" w:space="0" w:color="auto"/>
        <w:right w:val="none" w:sz="0" w:space="0" w:color="auto"/>
      </w:divBdr>
    </w:div>
    <w:div w:id="115371672">
      <w:bodyDiv w:val="1"/>
      <w:marLeft w:val="0"/>
      <w:marRight w:val="0"/>
      <w:marTop w:val="0"/>
      <w:marBottom w:val="0"/>
      <w:divBdr>
        <w:top w:val="none" w:sz="0" w:space="0" w:color="auto"/>
        <w:left w:val="none" w:sz="0" w:space="0" w:color="auto"/>
        <w:bottom w:val="none" w:sz="0" w:space="0" w:color="auto"/>
        <w:right w:val="none" w:sz="0" w:space="0" w:color="auto"/>
      </w:divBdr>
    </w:div>
    <w:div w:id="138306986">
      <w:bodyDiv w:val="1"/>
      <w:marLeft w:val="0"/>
      <w:marRight w:val="0"/>
      <w:marTop w:val="0"/>
      <w:marBottom w:val="0"/>
      <w:divBdr>
        <w:top w:val="none" w:sz="0" w:space="0" w:color="auto"/>
        <w:left w:val="none" w:sz="0" w:space="0" w:color="auto"/>
        <w:bottom w:val="none" w:sz="0" w:space="0" w:color="auto"/>
        <w:right w:val="none" w:sz="0" w:space="0" w:color="auto"/>
      </w:divBdr>
    </w:div>
    <w:div w:id="224067990">
      <w:bodyDiv w:val="1"/>
      <w:marLeft w:val="0"/>
      <w:marRight w:val="0"/>
      <w:marTop w:val="0"/>
      <w:marBottom w:val="0"/>
      <w:divBdr>
        <w:top w:val="none" w:sz="0" w:space="0" w:color="auto"/>
        <w:left w:val="none" w:sz="0" w:space="0" w:color="auto"/>
        <w:bottom w:val="none" w:sz="0" w:space="0" w:color="auto"/>
        <w:right w:val="none" w:sz="0" w:space="0" w:color="auto"/>
      </w:divBdr>
    </w:div>
    <w:div w:id="320961701">
      <w:bodyDiv w:val="1"/>
      <w:marLeft w:val="0"/>
      <w:marRight w:val="0"/>
      <w:marTop w:val="0"/>
      <w:marBottom w:val="0"/>
      <w:divBdr>
        <w:top w:val="none" w:sz="0" w:space="0" w:color="auto"/>
        <w:left w:val="none" w:sz="0" w:space="0" w:color="auto"/>
        <w:bottom w:val="none" w:sz="0" w:space="0" w:color="auto"/>
        <w:right w:val="none" w:sz="0" w:space="0" w:color="auto"/>
      </w:divBdr>
    </w:div>
    <w:div w:id="335693172">
      <w:bodyDiv w:val="1"/>
      <w:marLeft w:val="0"/>
      <w:marRight w:val="0"/>
      <w:marTop w:val="0"/>
      <w:marBottom w:val="0"/>
      <w:divBdr>
        <w:top w:val="none" w:sz="0" w:space="0" w:color="auto"/>
        <w:left w:val="none" w:sz="0" w:space="0" w:color="auto"/>
        <w:bottom w:val="none" w:sz="0" w:space="0" w:color="auto"/>
        <w:right w:val="none" w:sz="0" w:space="0" w:color="auto"/>
      </w:divBdr>
    </w:div>
    <w:div w:id="393508807">
      <w:bodyDiv w:val="1"/>
      <w:marLeft w:val="0"/>
      <w:marRight w:val="0"/>
      <w:marTop w:val="0"/>
      <w:marBottom w:val="0"/>
      <w:divBdr>
        <w:top w:val="none" w:sz="0" w:space="0" w:color="auto"/>
        <w:left w:val="none" w:sz="0" w:space="0" w:color="auto"/>
        <w:bottom w:val="none" w:sz="0" w:space="0" w:color="auto"/>
        <w:right w:val="none" w:sz="0" w:space="0" w:color="auto"/>
      </w:divBdr>
    </w:div>
    <w:div w:id="395781910">
      <w:bodyDiv w:val="1"/>
      <w:marLeft w:val="0"/>
      <w:marRight w:val="0"/>
      <w:marTop w:val="0"/>
      <w:marBottom w:val="0"/>
      <w:divBdr>
        <w:top w:val="none" w:sz="0" w:space="0" w:color="auto"/>
        <w:left w:val="none" w:sz="0" w:space="0" w:color="auto"/>
        <w:bottom w:val="none" w:sz="0" w:space="0" w:color="auto"/>
        <w:right w:val="none" w:sz="0" w:space="0" w:color="auto"/>
      </w:divBdr>
    </w:div>
    <w:div w:id="399795721">
      <w:bodyDiv w:val="1"/>
      <w:marLeft w:val="0"/>
      <w:marRight w:val="0"/>
      <w:marTop w:val="0"/>
      <w:marBottom w:val="0"/>
      <w:divBdr>
        <w:top w:val="none" w:sz="0" w:space="0" w:color="auto"/>
        <w:left w:val="none" w:sz="0" w:space="0" w:color="auto"/>
        <w:bottom w:val="none" w:sz="0" w:space="0" w:color="auto"/>
        <w:right w:val="none" w:sz="0" w:space="0" w:color="auto"/>
      </w:divBdr>
    </w:div>
    <w:div w:id="414129952">
      <w:bodyDiv w:val="1"/>
      <w:marLeft w:val="0"/>
      <w:marRight w:val="0"/>
      <w:marTop w:val="0"/>
      <w:marBottom w:val="0"/>
      <w:divBdr>
        <w:top w:val="none" w:sz="0" w:space="0" w:color="auto"/>
        <w:left w:val="none" w:sz="0" w:space="0" w:color="auto"/>
        <w:bottom w:val="none" w:sz="0" w:space="0" w:color="auto"/>
        <w:right w:val="none" w:sz="0" w:space="0" w:color="auto"/>
      </w:divBdr>
    </w:div>
    <w:div w:id="449326538">
      <w:bodyDiv w:val="1"/>
      <w:marLeft w:val="0"/>
      <w:marRight w:val="0"/>
      <w:marTop w:val="0"/>
      <w:marBottom w:val="0"/>
      <w:divBdr>
        <w:top w:val="none" w:sz="0" w:space="0" w:color="auto"/>
        <w:left w:val="none" w:sz="0" w:space="0" w:color="auto"/>
        <w:bottom w:val="none" w:sz="0" w:space="0" w:color="auto"/>
        <w:right w:val="none" w:sz="0" w:space="0" w:color="auto"/>
      </w:divBdr>
    </w:div>
    <w:div w:id="469636254">
      <w:bodyDiv w:val="1"/>
      <w:marLeft w:val="0"/>
      <w:marRight w:val="0"/>
      <w:marTop w:val="0"/>
      <w:marBottom w:val="0"/>
      <w:divBdr>
        <w:top w:val="none" w:sz="0" w:space="0" w:color="auto"/>
        <w:left w:val="none" w:sz="0" w:space="0" w:color="auto"/>
        <w:bottom w:val="none" w:sz="0" w:space="0" w:color="auto"/>
        <w:right w:val="none" w:sz="0" w:space="0" w:color="auto"/>
      </w:divBdr>
    </w:div>
    <w:div w:id="490146562">
      <w:bodyDiv w:val="1"/>
      <w:marLeft w:val="0"/>
      <w:marRight w:val="0"/>
      <w:marTop w:val="0"/>
      <w:marBottom w:val="0"/>
      <w:divBdr>
        <w:top w:val="none" w:sz="0" w:space="0" w:color="auto"/>
        <w:left w:val="none" w:sz="0" w:space="0" w:color="auto"/>
        <w:bottom w:val="none" w:sz="0" w:space="0" w:color="auto"/>
        <w:right w:val="none" w:sz="0" w:space="0" w:color="auto"/>
      </w:divBdr>
    </w:div>
    <w:div w:id="528614611">
      <w:bodyDiv w:val="1"/>
      <w:marLeft w:val="0"/>
      <w:marRight w:val="0"/>
      <w:marTop w:val="0"/>
      <w:marBottom w:val="0"/>
      <w:divBdr>
        <w:top w:val="none" w:sz="0" w:space="0" w:color="auto"/>
        <w:left w:val="none" w:sz="0" w:space="0" w:color="auto"/>
        <w:bottom w:val="none" w:sz="0" w:space="0" w:color="auto"/>
        <w:right w:val="none" w:sz="0" w:space="0" w:color="auto"/>
      </w:divBdr>
    </w:div>
    <w:div w:id="557131937">
      <w:bodyDiv w:val="1"/>
      <w:marLeft w:val="0"/>
      <w:marRight w:val="0"/>
      <w:marTop w:val="0"/>
      <w:marBottom w:val="0"/>
      <w:divBdr>
        <w:top w:val="none" w:sz="0" w:space="0" w:color="auto"/>
        <w:left w:val="none" w:sz="0" w:space="0" w:color="auto"/>
        <w:bottom w:val="none" w:sz="0" w:space="0" w:color="auto"/>
        <w:right w:val="none" w:sz="0" w:space="0" w:color="auto"/>
      </w:divBdr>
      <w:divsChild>
        <w:div w:id="1459301703">
          <w:marLeft w:val="0"/>
          <w:marRight w:val="0"/>
          <w:marTop w:val="0"/>
          <w:marBottom w:val="0"/>
          <w:divBdr>
            <w:top w:val="none" w:sz="0" w:space="0" w:color="auto"/>
            <w:left w:val="none" w:sz="0" w:space="0" w:color="auto"/>
            <w:bottom w:val="none" w:sz="0" w:space="0" w:color="auto"/>
            <w:right w:val="none" w:sz="0" w:space="0" w:color="auto"/>
          </w:divBdr>
          <w:divsChild>
            <w:div w:id="1394542998">
              <w:marLeft w:val="0"/>
              <w:marRight w:val="0"/>
              <w:marTop w:val="0"/>
              <w:marBottom w:val="0"/>
              <w:divBdr>
                <w:top w:val="none" w:sz="0" w:space="0" w:color="auto"/>
                <w:left w:val="none" w:sz="0" w:space="0" w:color="auto"/>
                <w:bottom w:val="none" w:sz="0" w:space="0" w:color="auto"/>
                <w:right w:val="none" w:sz="0" w:space="0" w:color="auto"/>
              </w:divBdr>
              <w:divsChild>
                <w:div w:id="1525481704">
                  <w:marLeft w:val="0"/>
                  <w:marRight w:val="0"/>
                  <w:marTop w:val="0"/>
                  <w:marBottom w:val="0"/>
                  <w:divBdr>
                    <w:top w:val="none" w:sz="0" w:space="0" w:color="auto"/>
                    <w:left w:val="none" w:sz="0" w:space="0" w:color="auto"/>
                    <w:bottom w:val="none" w:sz="0" w:space="0" w:color="auto"/>
                    <w:right w:val="none" w:sz="0" w:space="0" w:color="auto"/>
                  </w:divBdr>
                  <w:divsChild>
                    <w:div w:id="8559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620506">
      <w:bodyDiv w:val="1"/>
      <w:marLeft w:val="0"/>
      <w:marRight w:val="0"/>
      <w:marTop w:val="0"/>
      <w:marBottom w:val="0"/>
      <w:divBdr>
        <w:top w:val="none" w:sz="0" w:space="0" w:color="auto"/>
        <w:left w:val="none" w:sz="0" w:space="0" w:color="auto"/>
        <w:bottom w:val="none" w:sz="0" w:space="0" w:color="auto"/>
        <w:right w:val="none" w:sz="0" w:space="0" w:color="auto"/>
      </w:divBdr>
    </w:div>
    <w:div w:id="770585968">
      <w:bodyDiv w:val="1"/>
      <w:marLeft w:val="0"/>
      <w:marRight w:val="0"/>
      <w:marTop w:val="0"/>
      <w:marBottom w:val="0"/>
      <w:divBdr>
        <w:top w:val="none" w:sz="0" w:space="0" w:color="auto"/>
        <w:left w:val="none" w:sz="0" w:space="0" w:color="auto"/>
        <w:bottom w:val="none" w:sz="0" w:space="0" w:color="auto"/>
        <w:right w:val="none" w:sz="0" w:space="0" w:color="auto"/>
      </w:divBdr>
    </w:div>
    <w:div w:id="837115859">
      <w:bodyDiv w:val="1"/>
      <w:marLeft w:val="0"/>
      <w:marRight w:val="0"/>
      <w:marTop w:val="0"/>
      <w:marBottom w:val="0"/>
      <w:divBdr>
        <w:top w:val="none" w:sz="0" w:space="0" w:color="auto"/>
        <w:left w:val="none" w:sz="0" w:space="0" w:color="auto"/>
        <w:bottom w:val="none" w:sz="0" w:space="0" w:color="auto"/>
        <w:right w:val="none" w:sz="0" w:space="0" w:color="auto"/>
      </w:divBdr>
    </w:div>
    <w:div w:id="859120296">
      <w:bodyDiv w:val="1"/>
      <w:marLeft w:val="0"/>
      <w:marRight w:val="0"/>
      <w:marTop w:val="0"/>
      <w:marBottom w:val="0"/>
      <w:divBdr>
        <w:top w:val="none" w:sz="0" w:space="0" w:color="auto"/>
        <w:left w:val="none" w:sz="0" w:space="0" w:color="auto"/>
        <w:bottom w:val="none" w:sz="0" w:space="0" w:color="auto"/>
        <w:right w:val="none" w:sz="0" w:space="0" w:color="auto"/>
      </w:divBdr>
    </w:div>
    <w:div w:id="863518741">
      <w:bodyDiv w:val="1"/>
      <w:marLeft w:val="0"/>
      <w:marRight w:val="0"/>
      <w:marTop w:val="0"/>
      <w:marBottom w:val="0"/>
      <w:divBdr>
        <w:top w:val="none" w:sz="0" w:space="0" w:color="auto"/>
        <w:left w:val="none" w:sz="0" w:space="0" w:color="auto"/>
        <w:bottom w:val="none" w:sz="0" w:space="0" w:color="auto"/>
        <w:right w:val="none" w:sz="0" w:space="0" w:color="auto"/>
      </w:divBdr>
    </w:div>
    <w:div w:id="879630463">
      <w:bodyDiv w:val="1"/>
      <w:marLeft w:val="0"/>
      <w:marRight w:val="0"/>
      <w:marTop w:val="0"/>
      <w:marBottom w:val="0"/>
      <w:divBdr>
        <w:top w:val="none" w:sz="0" w:space="0" w:color="auto"/>
        <w:left w:val="none" w:sz="0" w:space="0" w:color="auto"/>
        <w:bottom w:val="none" w:sz="0" w:space="0" w:color="auto"/>
        <w:right w:val="none" w:sz="0" w:space="0" w:color="auto"/>
      </w:divBdr>
    </w:div>
    <w:div w:id="896667970">
      <w:bodyDiv w:val="1"/>
      <w:marLeft w:val="0"/>
      <w:marRight w:val="0"/>
      <w:marTop w:val="0"/>
      <w:marBottom w:val="0"/>
      <w:divBdr>
        <w:top w:val="none" w:sz="0" w:space="0" w:color="auto"/>
        <w:left w:val="none" w:sz="0" w:space="0" w:color="auto"/>
        <w:bottom w:val="none" w:sz="0" w:space="0" w:color="auto"/>
        <w:right w:val="none" w:sz="0" w:space="0" w:color="auto"/>
      </w:divBdr>
    </w:div>
    <w:div w:id="942146766">
      <w:bodyDiv w:val="1"/>
      <w:marLeft w:val="0"/>
      <w:marRight w:val="0"/>
      <w:marTop w:val="0"/>
      <w:marBottom w:val="0"/>
      <w:divBdr>
        <w:top w:val="none" w:sz="0" w:space="0" w:color="auto"/>
        <w:left w:val="none" w:sz="0" w:space="0" w:color="auto"/>
        <w:bottom w:val="none" w:sz="0" w:space="0" w:color="auto"/>
        <w:right w:val="none" w:sz="0" w:space="0" w:color="auto"/>
      </w:divBdr>
    </w:div>
    <w:div w:id="964388042">
      <w:bodyDiv w:val="1"/>
      <w:marLeft w:val="0"/>
      <w:marRight w:val="0"/>
      <w:marTop w:val="0"/>
      <w:marBottom w:val="0"/>
      <w:divBdr>
        <w:top w:val="none" w:sz="0" w:space="0" w:color="auto"/>
        <w:left w:val="none" w:sz="0" w:space="0" w:color="auto"/>
        <w:bottom w:val="none" w:sz="0" w:space="0" w:color="auto"/>
        <w:right w:val="none" w:sz="0" w:space="0" w:color="auto"/>
      </w:divBdr>
    </w:div>
    <w:div w:id="1018581312">
      <w:bodyDiv w:val="1"/>
      <w:marLeft w:val="0"/>
      <w:marRight w:val="0"/>
      <w:marTop w:val="0"/>
      <w:marBottom w:val="0"/>
      <w:divBdr>
        <w:top w:val="none" w:sz="0" w:space="0" w:color="auto"/>
        <w:left w:val="none" w:sz="0" w:space="0" w:color="auto"/>
        <w:bottom w:val="none" w:sz="0" w:space="0" w:color="auto"/>
        <w:right w:val="none" w:sz="0" w:space="0" w:color="auto"/>
      </w:divBdr>
    </w:div>
    <w:div w:id="1117067566">
      <w:bodyDiv w:val="1"/>
      <w:marLeft w:val="0"/>
      <w:marRight w:val="0"/>
      <w:marTop w:val="0"/>
      <w:marBottom w:val="0"/>
      <w:divBdr>
        <w:top w:val="none" w:sz="0" w:space="0" w:color="auto"/>
        <w:left w:val="none" w:sz="0" w:space="0" w:color="auto"/>
        <w:bottom w:val="none" w:sz="0" w:space="0" w:color="auto"/>
        <w:right w:val="none" w:sz="0" w:space="0" w:color="auto"/>
      </w:divBdr>
    </w:div>
    <w:div w:id="1124470842">
      <w:bodyDiv w:val="1"/>
      <w:marLeft w:val="0"/>
      <w:marRight w:val="0"/>
      <w:marTop w:val="0"/>
      <w:marBottom w:val="0"/>
      <w:divBdr>
        <w:top w:val="none" w:sz="0" w:space="0" w:color="auto"/>
        <w:left w:val="none" w:sz="0" w:space="0" w:color="auto"/>
        <w:bottom w:val="none" w:sz="0" w:space="0" w:color="auto"/>
        <w:right w:val="none" w:sz="0" w:space="0" w:color="auto"/>
      </w:divBdr>
    </w:div>
    <w:div w:id="1172069117">
      <w:bodyDiv w:val="1"/>
      <w:marLeft w:val="0"/>
      <w:marRight w:val="0"/>
      <w:marTop w:val="0"/>
      <w:marBottom w:val="0"/>
      <w:divBdr>
        <w:top w:val="none" w:sz="0" w:space="0" w:color="auto"/>
        <w:left w:val="none" w:sz="0" w:space="0" w:color="auto"/>
        <w:bottom w:val="none" w:sz="0" w:space="0" w:color="auto"/>
        <w:right w:val="none" w:sz="0" w:space="0" w:color="auto"/>
      </w:divBdr>
    </w:div>
    <w:div w:id="1209534706">
      <w:bodyDiv w:val="1"/>
      <w:marLeft w:val="0"/>
      <w:marRight w:val="0"/>
      <w:marTop w:val="0"/>
      <w:marBottom w:val="0"/>
      <w:divBdr>
        <w:top w:val="none" w:sz="0" w:space="0" w:color="auto"/>
        <w:left w:val="none" w:sz="0" w:space="0" w:color="auto"/>
        <w:bottom w:val="none" w:sz="0" w:space="0" w:color="auto"/>
        <w:right w:val="none" w:sz="0" w:space="0" w:color="auto"/>
      </w:divBdr>
    </w:div>
    <w:div w:id="1262565688">
      <w:bodyDiv w:val="1"/>
      <w:marLeft w:val="0"/>
      <w:marRight w:val="0"/>
      <w:marTop w:val="0"/>
      <w:marBottom w:val="0"/>
      <w:divBdr>
        <w:top w:val="none" w:sz="0" w:space="0" w:color="auto"/>
        <w:left w:val="none" w:sz="0" w:space="0" w:color="auto"/>
        <w:bottom w:val="none" w:sz="0" w:space="0" w:color="auto"/>
        <w:right w:val="none" w:sz="0" w:space="0" w:color="auto"/>
      </w:divBdr>
    </w:div>
    <w:div w:id="1297566135">
      <w:bodyDiv w:val="1"/>
      <w:marLeft w:val="0"/>
      <w:marRight w:val="0"/>
      <w:marTop w:val="0"/>
      <w:marBottom w:val="0"/>
      <w:divBdr>
        <w:top w:val="none" w:sz="0" w:space="0" w:color="auto"/>
        <w:left w:val="none" w:sz="0" w:space="0" w:color="auto"/>
        <w:bottom w:val="none" w:sz="0" w:space="0" w:color="auto"/>
        <w:right w:val="none" w:sz="0" w:space="0" w:color="auto"/>
      </w:divBdr>
    </w:div>
    <w:div w:id="1333028015">
      <w:bodyDiv w:val="1"/>
      <w:marLeft w:val="0"/>
      <w:marRight w:val="0"/>
      <w:marTop w:val="0"/>
      <w:marBottom w:val="0"/>
      <w:divBdr>
        <w:top w:val="none" w:sz="0" w:space="0" w:color="auto"/>
        <w:left w:val="none" w:sz="0" w:space="0" w:color="auto"/>
        <w:bottom w:val="none" w:sz="0" w:space="0" w:color="auto"/>
        <w:right w:val="none" w:sz="0" w:space="0" w:color="auto"/>
      </w:divBdr>
    </w:div>
    <w:div w:id="1340304397">
      <w:bodyDiv w:val="1"/>
      <w:marLeft w:val="0"/>
      <w:marRight w:val="0"/>
      <w:marTop w:val="0"/>
      <w:marBottom w:val="0"/>
      <w:divBdr>
        <w:top w:val="none" w:sz="0" w:space="0" w:color="auto"/>
        <w:left w:val="none" w:sz="0" w:space="0" w:color="auto"/>
        <w:bottom w:val="none" w:sz="0" w:space="0" w:color="auto"/>
        <w:right w:val="none" w:sz="0" w:space="0" w:color="auto"/>
      </w:divBdr>
    </w:div>
    <w:div w:id="1557279573">
      <w:bodyDiv w:val="1"/>
      <w:marLeft w:val="0"/>
      <w:marRight w:val="0"/>
      <w:marTop w:val="0"/>
      <w:marBottom w:val="0"/>
      <w:divBdr>
        <w:top w:val="none" w:sz="0" w:space="0" w:color="auto"/>
        <w:left w:val="none" w:sz="0" w:space="0" w:color="auto"/>
        <w:bottom w:val="none" w:sz="0" w:space="0" w:color="auto"/>
        <w:right w:val="none" w:sz="0" w:space="0" w:color="auto"/>
      </w:divBdr>
    </w:div>
    <w:div w:id="1602833594">
      <w:bodyDiv w:val="1"/>
      <w:marLeft w:val="0"/>
      <w:marRight w:val="0"/>
      <w:marTop w:val="0"/>
      <w:marBottom w:val="0"/>
      <w:divBdr>
        <w:top w:val="none" w:sz="0" w:space="0" w:color="auto"/>
        <w:left w:val="none" w:sz="0" w:space="0" w:color="auto"/>
        <w:bottom w:val="none" w:sz="0" w:space="0" w:color="auto"/>
        <w:right w:val="none" w:sz="0" w:space="0" w:color="auto"/>
      </w:divBdr>
    </w:div>
    <w:div w:id="1616599310">
      <w:bodyDiv w:val="1"/>
      <w:marLeft w:val="0"/>
      <w:marRight w:val="0"/>
      <w:marTop w:val="0"/>
      <w:marBottom w:val="0"/>
      <w:divBdr>
        <w:top w:val="none" w:sz="0" w:space="0" w:color="auto"/>
        <w:left w:val="none" w:sz="0" w:space="0" w:color="auto"/>
        <w:bottom w:val="none" w:sz="0" w:space="0" w:color="auto"/>
        <w:right w:val="none" w:sz="0" w:space="0" w:color="auto"/>
      </w:divBdr>
    </w:div>
    <w:div w:id="1624115683">
      <w:bodyDiv w:val="1"/>
      <w:marLeft w:val="0"/>
      <w:marRight w:val="0"/>
      <w:marTop w:val="0"/>
      <w:marBottom w:val="0"/>
      <w:divBdr>
        <w:top w:val="none" w:sz="0" w:space="0" w:color="auto"/>
        <w:left w:val="none" w:sz="0" w:space="0" w:color="auto"/>
        <w:bottom w:val="none" w:sz="0" w:space="0" w:color="auto"/>
        <w:right w:val="none" w:sz="0" w:space="0" w:color="auto"/>
      </w:divBdr>
    </w:div>
    <w:div w:id="1647272836">
      <w:bodyDiv w:val="1"/>
      <w:marLeft w:val="0"/>
      <w:marRight w:val="0"/>
      <w:marTop w:val="0"/>
      <w:marBottom w:val="0"/>
      <w:divBdr>
        <w:top w:val="none" w:sz="0" w:space="0" w:color="auto"/>
        <w:left w:val="none" w:sz="0" w:space="0" w:color="auto"/>
        <w:bottom w:val="none" w:sz="0" w:space="0" w:color="auto"/>
        <w:right w:val="none" w:sz="0" w:space="0" w:color="auto"/>
      </w:divBdr>
    </w:div>
    <w:div w:id="1772387275">
      <w:bodyDiv w:val="1"/>
      <w:marLeft w:val="0"/>
      <w:marRight w:val="0"/>
      <w:marTop w:val="0"/>
      <w:marBottom w:val="0"/>
      <w:divBdr>
        <w:top w:val="none" w:sz="0" w:space="0" w:color="auto"/>
        <w:left w:val="none" w:sz="0" w:space="0" w:color="auto"/>
        <w:bottom w:val="none" w:sz="0" w:space="0" w:color="auto"/>
        <w:right w:val="none" w:sz="0" w:space="0" w:color="auto"/>
      </w:divBdr>
    </w:div>
    <w:div w:id="1802265162">
      <w:bodyDiv w:val="1"/>
      <w:marLeft w:val="0"/>
      <w:marRight w:val="0"/>
      <w:marTop w:val="0"/>
      <w:marBottom w:val="0"/>
      <w:divBdr>
        <w:top w:val="none" w:sz="0" w:space="0" w:color="auto"/>
        <w:left w:val="none" w:sz="0" w:space="0" w:color="auto"/>
        <w:bottom w:val="none" w:sz="0" w:space="0" w:color="auto"/>
        <w:right w:val="none" w:sz="0" w:space="0" w:color="auto"/>
      </w:divBdr>
    </w:div>
    <w:div w:id="1846477482">
      <w:bodyDiv w:val="1"/>
      <w:marLeft w:val="0"/>
      <w:marRight w:val="0"/>
      <w:marTop w:val="0"/>
      <w:marBottom w:val="0"/>
      <w:divBdr>
        <w:top w:val="none" w:sz="0" w:space="0" w:color="auto"/>
        <w:left w:val="none" w:sz="0" w:space="0" w:color="auto"/>
        <w:bottom w:val="none" w:sz="0" w:space="0" w:color="auto"/>
        <w:right w:val="none" w:sz="0" w:space="0" w:color="auto"/>
      </w:divBdr>
    </w:div>
    <w:div w:id="1865098002">
      <w:bodyDiv w:val="1"/>
      <w:marLeft w:val="0"/>
      <w:marRight w:val="0"/>
      <w:marTop w:val="0"/>
      <w:marBottom w:val="0"/>
      <w:divBdr>
        <w:top w:val="none" w:sz="0" w:space="0" w:color="auto"/>
        <w:left w:val="none" w:sz="0" w:space="0" w:color="auto"/>
        <w:bottom w:val="none" w:sz="0" w:space="0" w:color="auto"/>
        <w:right w:val="none" w:sz="0" w:space="0" w:color="auto"/>
      </w:divBdr>
    </w:div>
    <w:div w:id="1882283699">
      <w:bodyDiv w:val="1"/>
      <w:marLeft w:val="0"/>
      <w:marRight w:val="0"/>
      <w:marTop w:val="0"/>
      <w:marBottom w:val="0"/>
      <w:divBdr>
        <w:top w:val="none" w:sz="0" w:space="0" w:color="auto"/>
        <w:left w:val="none" w:sz="0" w:space="0" w:color="auto"/>
        <w:bottom w:val="none" w:sz="0" w:space="0" w:color="auto"/>
        <w:right w:val="none" w:sz="0" w:space="0" w:color="auto"/>
      </w:divBdr>
      <w:divsChild>
        <w:div w:id="1301838006">
          <w:marLeft w:val="0"/>
          <w:marRight w:val="0"/>
          <w:marTop w:val="0"/>
          <w:marBottom w:val="0"/>
          <w:divBdr>
            <w:top w:val="single" w:sz="6" w:space="4" w:color="ABABAB"/>
            <w:left w:val="single" w:sz="6" w:space="4" w:color="ABABAB"/>
            <w:bottom w:val="single" w:sz="6" w:space="4" w:color="ABABAB"/>
            <w:right w:val="single" w:sz="6" w:space="4" w:color="ABABAB"/>
          </w:divBdr>
          <w:divsChild>
            <w:div w:id="843011637">
              <w:marLeft w:val="0"/>
              <w:marRight w:val="0"/>
              <w:marTop w:val="0"/>
              <w:marBottom w:val="0"/>
              <w:divBdr>
                <w:top w:val="none" w:sz="0" w:space="0" w:color="auto"/>
                <w:left w:val="none" w:sz="0" w:space="0" w:color="auto"/>
                <w:bottom w:val="none" w:sz="0" w:space="0" w:color="auto"/>
                <w:right w:val="none" w:sz="0" w:space="0" w:color="auto"/>
              </w:divBdr>
              <w:divsChild>
                <w:div w:id="1047559495">
                  <w:marLeft w:val="0"/>
                  <w:marRight w:val="0"/>
                  <w:marTop w:val="0"/>
                  <w:marBottom w:val="0"/>
                  <w:divBdr>
                    <w:top w:val="none" w:sz="0" w:space="0" w:color="auto"/>
                    <w:left w:val="none" w:sz="0" w:space="0" w:color="auto"/>
                    <w:bottom w:val="none" w:sz="0" w:space="0" w:color="auto"/>
                    <w:right w:val="none" w:sz="0" w:space="0" w:color="auto"/>
                  </w:divBdr>
                  <w:divsChild>
                    <w:div w:id="211211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322501">
          <w:marLeft w:val="0"/>
          <w:marRight w:val="0"/>
          <w:marTop w:val="0"/>
          <w:marBottom w:val="0"/>
          <w:divBdr>
            <w:top w:val="single" w:sz="6" w:space="4" w:color="auto"/>
            <w:left w:val="single" w:sz="6" w:space="4" w:color="auto"/>
            <w:bottom w:val="single" w:sz="6" w:space="4" w:color="auto"/>
            <w:right w:val="single" w:sz="6" w:space="4" w:color="auto"/>
          </w:divBdr>
          <w:divsChild>
            <w:div w:id="1876698669">
              <w:marLeft w:val="0"/>
              <w:marRight w:val="0"/>
              <w:marTop w:val="0"/>
              <w:marBottom w:val="0"/>
              <w:divBdr>
                <w:top w:val="none" w:sz="0" w:space="0" w:color="auto"/>
                <w:left w:val="none" w:sz="0" w:space="0" w:color="auto"/>
                <w:bottom w:val="none" w:sz="0" w:space="0" w:color="auto"/>
                <w:right w:val="none" w:sz="0" w:space="0" w:color="auto"/>
              </w:divBdr>
              <w:divsChild>
                <w:div w:id="1503661797">
                  <w:marLeft w:val="0"/>
                  <w:marRight w:val="0"/>
                  <w:marTop w:val="0"/>
                  <w:marBottom w:val="0"/>
                  <w:divBdr>
                    <w:top w:val="none" w:sz="0" w:space="0" w:color="auto"/>
                    <w:left w:val="none" w:sz="0" w:space="0" w:color="auto"/>
                    <w:bottom w:val="none" w:sz="0" w:space="0" w:color="auto"/>
                    <w:right w:val="none" w:sz="0" w:space="0" w:color="auto"/>
                  </w:divBdr>
                  <w:divsChild>
                    <w:div w:id="1211499255">
                      <w:marLeft w:val="0"/>
                      <w:marRight w:val="0"/>
                      <w:marTop w:val="0"/>
                      <w:marBottom w:val="0"/>
                      <w:divBdr>
                        <w:top w:val="single" w:sz="6" w:space="0" w:color="CFCFCF"/>
                        <w:left w:val="single" w:sz="6" w:space="0" w:color="CFCFCF"/>
                        <w:bottom w:val="single" w:sz="6" w:space="0" w:color="CFCFCF"/>
                        <w:right w:val="single" w:sz="6" w:space="0" w:color="CFCFCF"/>
                      </w:divBdr>
                      <w:divsChild>
                        <w:div w:id="12682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944106">
      <w:bodyDiv w:val="1"/>
      <w:marLeft w:val="0"/>
      <w:marRight w:val="0"/>
      <w:marTop w:val="0"/>
      <w:marBottom w:val="0"/>
      <w:divBdr>
        <w:top w:val="none" w:sz="0" w:space="0" w:color="auto"/>
        <w:left w:val="none" w:sz="0" w:space="0" w:color="auto"/>
        <w:bottom w:val="none" w:sz="0" w:space="0" w:color="auto"/>
        <w:right w:val="none" w:sz="0" w:space="0" w:color="auto"/>
      </w:divBdr>
    </w:div>
    <w:div w:id="1922762134">
      <w:bodyDiv w:val="1"/>
      <w:marLeft w:val="0"/>
      <w:marRight w:val="0"/>
      <w:marTop w:val="0"/>
      <w:marBottom w:val="0"/>
      <w:divBdr>
        <w:top w:val="none" w:sz="0" w:space="0" w:color="auto"/>
        <w:left w:val="none" w:sz="0" w:space="0" w:color="auto"/>
        <w:bottom w:val="none" w:sz="0" w:space="0" w:color="auto"/>
        <w:right w:val="none" w:sz="0" w:space="0" w:color="auto"/>
      </w:divBdr>
    </w:div>
    <w:div w:id="2008555315">
      <w:bodyDiv w:val="1"/>
      <w:marLeft w:val="0"/>
      <w:marRight w:val="0"/>
      <w:marTop w:val="0"/>
      <w:marBottom w:val="0"/>
      <w:divBdr>
        <w:top w:val="none" w:sz="0" w:space="0" w:color="auto"/>
        <w:left w:val="none" w:sz="0" w:space="0" w:color="auto"/>
        <w:bottom w:val="none" w:sz="0" w:space="0" w:color="auto"/>
        <w:right w:val="none" w:sz="0" w:space="0" w:color="auto"/>
      </w:divBdr>
    </w:div>
    <w:div w:id="2069373382">
      <w:bodyDiv w:val="1"/>
      <w:marLeft w:val="0"/>
      <w:marRight w:val="0"/>
      <w:marTop w:val="0"/>
      <w:marBottom w:val="0"/>
      <w:divBdr>
        <w:top w:val="none" w:sz="0" w:space="0" w:color="auto"/>
        <w:left w:val="none" w:sz="0" w:space="0" w:color="auto"/>
        <w:bottom w:val="none" w:sz="0" w:space="0" w:color="auto"/>
        <w:right w:val="none" w:sz="0" w:space="0" w:color="auto"/>
      </w:divBdr>
    </w:div>
    <w:div w:id="21307754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image" Target="media/image10.png"/><Relationship Id="rId21" Type="http://schemas.openxmlformats.org/officeDocument/2006/relationships/hyperlink" Target="https://paperpile.com/c/x2k6wS/eXsW" TargetMode="External"/><Relationship Id="rId22" Type="http://schemas.openxmlformats.org/officeDocument/2006/relationships/hyperlink" Target="https://paperpile.com/c/x2k6wS/4T2O" TargetMode="External"/><Relationship Id="rId23" Type="http://schemas.openxmlformats.org/officeDocument/2006/relationships/hyperlink" Target="https://paperpile.com/c/x2k6wS/os1D" TargetMode="External"/><Relationship Id="rId24" Type="http://schemas.openxmlformats.org/officeDocument/2006/relationships/hyperlink" Target="https://broadinstitute.github.io/picard/" TargetMode="External"/><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9" Type="http://schemas.openxmlformats.org/officeDocument/2006/relationships/footnotes" Target="footnotes.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33" Type="http://schemas.openxmlformats.org/officeDocument/2006/relationships/hyperlink" Target="https://cgc.sbgenomics.com/u/pdxnet/pdxnet-jax-rna-seq-workflow/apps/" TargetMode="External"/><Relationship Id="rId34" Type="http://schemas.openxmlformats.org/officeDocument/2006/relationships/image" Target="media/image19.png"/><Relationship Id="rId35" Type="http://schemas.openxmlformats.org/officeDocument/2006/relationships/image" Target="media/image20.png"/><Relationship Id="rId36" Type="http://schemas.openxmlformats.org/officeDocument/2006/relationships/image" Target="media/image21.png"/><Relationship Id="rId10" Type="http://schemas.openxmlformats.org/officeDocument/2006/relationships/endnotes" Target="endnotes.xm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37" Type="http://schemas.openxmlformats.org/officeDocument/2006/relationships/image" Target="media/image22.png"/><Relationship Id="rId38" Type="http://schemas.openxmlformats.org/officeDocument/2006/relationships/image" Target="media/image23.png"/><Relationship Id="rId39" Type="http://schemas.openxmlformats.org/officeDocument/2006/relationships/image" Target="media/image24.png"/><Relationship Id="rId40" Type="http://schemas.openxmlformats.org/officeDocument/2006/relationships/image" Target="media/image25.png"/><Relationship Id="rId41" Type="http://schemas.openxmlformats.org/officeDocument/2006/relationships/image" Target="media/image26.png"/><Relationship Id="rId42" Type="http://schemas.openxmlformats.org/officeDocument/2006/relationships/header" Target="header1.xml"/><Relationship Id="rId43" Type="http://schemas.openxmlformats.org/officeDocument/2006/relationships/footer" Target="footer1.xml"/><Relationship Id="rId44" Type="http://schemas.openxmlformats.org/officeDocument/2006/relationships/footer" Target="footer2.xml"/><Relationship Id="rId4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Arv19</b:Tag>
    <b:SourceType>JournalArticle</b:SourceType>
    <b:Guid>{CB351992-423B-1F4F-9537-7CCF3D2CA237}</b:Guid>
    <b:Title>Integrative pharmacogenomics analysis of patient-derived xenografts</b:Title>
    <b:City>Toronto</b:City>
    <b:Publisher>American Association for Cancer Research</b:Publisher>
    <b:Year>2019</b:Year>
    <b:Comments>DOI: 10.1158/0008-5472.CAN-19-0349</b:Comments>
    <b:Author>
      <b:Author>
        <b:NameList>
          <b:Person>
            <b:Last>Arvind Singh Mer</b:Last>
            <b:First>Wail</b:First>
            <b:Middle>Ba-alawi, Petr Smirnov, Yi Xiao Wang, Ben Brew, Janosch Ortmann, Ming-Sound Tsao, David W Cescon, Anna Goldenberg and Benjamin Haibe-Kains</b:Middle>
          </b:Person>
        </b:NameList>
      </b:Author>
    </b:Author>
    <b:RefOrder>1</b:RefOrder>
  </b:Source>
</b:Sources>
</file>

<file path=customXml/item2.xml><?xml version="1.0" encoding="utf-8"?>
<b:Sources xmlns:b="http://schemas.openxmlformats.org/officeDocument/2006/bibliography" xmlns="http://schemas.openxmlformats.org/officeDocument/2006/bibliography" SelectedStyle="/APASixthEditionOfficeOnline.xsl" StyleName="APA">
  <b:Source>
    <b:Tag>Arv19</b:Tag>
    <b:SourceType>JournalArticle</b:SourceType>
    <b:Guid>{CB351992-423B-1F4F-9537-7CCF3D2CA237}</b:Guid>
    <b:Title>Integrative pharmacogenomics analysis of patient-derived xenografts</b:Title>
    <b:City>Toronto</b:City>
    <b:Publisher>American Association for Cancer Research</b:Publisher>
    <b:Year>2019</b:Year>
    <b:Comments>DOI: 10.1158/0008-5472.CAN-19-0349</b:Comments>
    <b:Author>
      <b:Author>
        <b:NameList>
          <b:Person>
            <b:Last>Arvind Singh Mer</b:Last>
            <b:First>Wail</b:First>
            <b:Middle>Ba-alawi, Petr Smirnov, Yi Xiao Wang, Ben Brew, Janosch Ortmann, Ming-Sound Tsao, David W Cescon, Anna Goldenberg and Benjamin Haibe-Kains</b:Middle>
          </b:Person>
        </b:NameList>
      </b:Author>
    </b:Author>
    <b:RefOrder>1</b:RefOrder>
  </b:Source>
</b:Sources>
</file>

<file path=customXml/item3.xml><?xml version="1.0" encoding="utf-8"?>
<b:Sources xmlns:b="http://schemas.openxmlformats.org/officeDocument/2006/bibliography" xmlns="http://schemas.openxmlformats.org/officeDocument/2006/bibliography" SelectedStyle="/APASixthEditionOfficeOnline.xsl" StyleName="APA">
  <b:Source>
    <b:Tag>Arv19</b:Tag>
    <b:SourceType>JournalArticle</b:SourceType>
    <b:Guid>{CB351992-423B-1F4F-9537-7CCF3D2CA237}</b:Guid>
    <b:Title>Integrative pharmacogenomics analysis of patient-derived xenografts</b:Title>
    <b:City>Toronto</b:City>
    <b:Publisher>American Association for Cancer Research</b:Publisher>
    <b:Year>2019</b:Year>
    <b:Comments>DOI: 10.1158/0008-5472.CAN-19-0349</b:Comments>
    <b:Author>
      <b:Author>
        <b:NameList>
          <b:Person>
            <b:Last>Arvind Singh Mer</b:Last>
            <b:First>Wail</b:First>
            <b:Middle>Ba-alawi, Petr Smirnov, Yi Xiao Wang, Ben Brew, Janosch Ortmann, Ming-Sound Tsao, David W Cescon, Anna Goldenberg and Benjamin Haibe-Kains</b:Middle>
          </b:Person>
        </b:NameList>
      </b:Author>
    </b:Author>
    <b:RefOrder>1</b:RefOrder>
  </b:Source>
</b:Sources>
</file>

<file path=customXml/item4.xml><?xml version="1.0" encoding="utf-8"?>
<b:Sources xmlns:b="http://schemas.openxmlformats.org/officeDocument/2006/bibliography" xmlns="http://schemas.openxmlformats.org/officeDocument/2006/bibliography" SelectedStyle="/APASixthEditionOfficeOnline.xsl" StyleName="APA">
  <b:Source>
    <b:Tag>Arv19</b:Tag>
    <b:SourceType>JournalArticle</b:SourceType>
    <b:Guid>{CB351992-423B-1F4F-9537-7CCF3D2CA237}</b:Guid>
    <b:Title>Integrative pharmacogenomics analysis of patient-derived xenografts</b:Title>
    <b:City>Toronto</b:City>
    <b:Publisher>American Association for Cancer Research</b:Publisher>
    <b:Year>2019</b:Year>
    <b:Comments>DOI: 10.1158/0008-5472.CAN-19-0349</b:Comments>
    <b:Author>
      <b:Author>
        <b:NameList>
          <b:Person>
            <b:Last>Arvind Singh Mer</b:Last>
            <b:First>Wail</b:First>
            <b:Middle>Ba-alawi, Petr Smirnov, Yi Xiao Wang, Ben Brew, Janosch Ortmann, Ming-Sound Tsao, David W Cescon, Anna Goldenberg and Benjamin Haibe-Kains</b:Middle>
          </b:Person>
        </b:NameList>
      </b:Author>
    </b:Author>
    <b:RefOrder>1</b:RefOrder>
  </b:Source>
</b:Sources>
</file>

<file path=customXml/itemProps1.xml><?xml version="1.0" encoding="utf-8"?>
<ds:datastoreItem xmlns:ds="http://schemas.openxmlformats.org/officeDocument/2006/customXml" ds:itemID="{E6B1863A-E75F-2D42-8D0A-707194865115}">
  <ds:schemaRefs>
    <ds:schemaRef ds:uri="http://schemas.openxmlformats.org/officeDocument/2006/bibliography"/>
  </ds:schemaRefs>
</ds:datastoreItem>
</file>

<file path=customXml/itemProps2.xml><?xml version="1.0" encoding="utf-8"?>
<ds:datastoreItem xmlns:ds="http://schemas.openxmlformats.org/officeDocument/2006/customXml" ds:itemID="{9F50E11A-DACA-CB4F-AC79-79597DC8784F}">
  <ds:schemaRefs>
    <ds:schemaRef ds:uri="http://schemas.openxmlformats.org/officeDocument/2006/bibliography"/>
  </ds:schemaRefs>
</ds:datastoreItem>
</file>

<file path=customXml/itemProps3.xml><?xml version="1.0" encoding="utf-8"?>
<ds:datastoreItem xmlns:ds="http://schemas.openxmlformats.org/officeDocument/2006/customXml" ds:itemID="{17003DCE-9763-9349-A637-3BBCAEE2C5D1}">
  <ds:schemaRefs>
    <ds:schemaRef ds:uri="http://schemas.openxmlformats.org/officeDocument/2006/bibliography"/>
  </ds:schemaRefs>
</ds:datastoreItem>
</file>

<file path=customXml/itemProps4.xml><?xml version="1.0" encoding="utf-8"?>
<ds:datastoreItem xmlns:ds="http://schemas.openxmlformats.org/officeDocument/2006/customXml" ds:itemID="{B007982E-A26F-1742-B2CA-5D48AC393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16096</Words>
  <Characters>91749</Characters>
  <Application>Microsoft Macintosh Word</Application>
  <DocSecurity>0</DocSecurity>
  <Lines>764</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Evrard, Yvonne (NIH/NCI) [C]</dc:creator>
  <cp:lastModifiedBy>Jeffrey Chuang</cp:lastModifiedBy>
  <cp:revision>2</cp:revision>
  <cp:lastPrinted>2019-12-16T16:39:00Z</cp:lastPrinted>
  <dcterms:created xsi:type="dcterms:W3CDTF">2020-01-14T21:43:00Z</dcterms:created>
  <dcterms:modified xsi:type="dcterms:W3CDTF">2020-01-14T21:43:00Z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http://www.zotero.org/styles/cancer-research</vt:lpwstr>
  </property>
  <property fmtid="{D5CDD505-2E9C-101B-9397-08002B2CF9AE}" pid="11" name="Mendeley Recent Style Name 4_1">
    <vt:lpwstr>Cancer Research</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1fee5c13-557b-3fa3-b71d-60a34259e9fe</vt:lpwstr>
  </property>
  <property fmtid="{D5CDD505-2E9C-101B-9397-08002B2CF9AE}" pid="24" name="Mendeley Citation Style_1">
    <vt:lpwstr>http://www.zotero.org/styles/cancer-research</vt:lpwstr>
  </property>
</Properties>
</file>