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96F0A" w14:textId="6735B2F3" w:rsidR="00C122E2" w:rsidRDefault="00C122E2" w:rsidP="00C122E2">
      <w:pPr>
        <w:rPr>
          <w:b/>
          <w:bCs/>
        </w:rPr>
      </w:pPr>
      <w:r w:rsidRPr="005731B5">
        <w:rPr>
          <w:b/>
          <w:bCs/>
        </w:rPr>
        <w:t xml:space="preserve">Supplemental </w:t>
      </w:r>
      <w:r>
        <w:rPr>
          <w:b/>
          <w:bCs/>
        </w:rPr>
        <w:t>Materials</w:t>
      </w:r>
      <w:r w:rsidRPr="005731B5">
        <w:rPr>
          <w:b/>
          <w:bCs/>
        </w:rPr>
        <w:t>:</w:t>
      </w:r>
    </w:p>
    <w:p w14:paraId="121EEF9E" w14:textId="47DB43FC" w:rsidR="00BB14B2" w:rsidRDefault="00BB14B2" w:rsidP="00C122E2">
      <w:pPr>
        <w:rPr>
          <w:b/>
          <w:bCs/>
        </w:rPr>
      </w:pPr>
    </w:p>
    <w:p w14:paraId="41CBEE3E" w14:textId="1D5F12EA" w:rsidR="00BB14B2" w:rsidRDefault="00BB14B2" w:rsidP="00C122E2">
      <w:pPr>
        <w:rPr>
          <w:b/>
          <w:bCs/>
        </w:rPr>
      </w:pPr>
      <w:r>
        <w:rPr>
          <w:b/>
          <w:bCs/>
        </w:rPr>
        <w:t xml:space="preserve">Supplementary Figure 1. </w:t>
      </w:r>
    </w:p>
    <w:p w14:paraId="0090CC58" w14:textId="4DFBF3FB" w:rsidR="00BB14B2" w:rsidRDefault="00BB14B2" w:rsidP="00C122E2">
      <w:pPr>
        <w:rPr>
          <w:b/>
          <w:bCs/>
        </w:rPr>
      </w:pPr>
    </w:p>
    <w:p w14:paraId="55CBBDDF" w14:textId="708D24A8" w:rsidR="00BB14B2" w:rsidRDefault="00BB14B2" w:rsidP="00C122E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0B4A95" wp14:editId="7DEF7A59">
            <wp:extent cx="323850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 Fig1.0-pSYK blot 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39D0" w14:textId="349B97E3" w:rsidR="00BB14B2" w:rsidRDefault="00BB14B2" w:rsidP="00C122E2">
      <w:pPr>
        <w:rPr>
          <w:b/>
          <w:bCs/>
        </w:rPr>
      </w:pPr>
      <w:r>
        <w:rPr>
          <w:b/>
          <w:bCs/>
        </w:rPr>
        <w:t xml:space="preserve">Supplementary Figure 1. </w:t>
      </w:r>
      <w:r>
        <w:t xml:space="preserve">Immunoblot analysis of </w:t>
      </w:r>
      <w:r>
        <w:t>phosphorylated</w:t>
      </w:r>
      <w:r>
        <w:t xml:space="preserve"> SYK</w:t>
      </w:r>
      <w:r>
        <w:t xml:space="preserve"> (pSYK)</w:t>
      </w:r>
      <w:bookmarkStart w:id="0" w:name="_GoBack"/>
      <w:bookmarkEnd w:id="0"/>
      <w:r>
        <w:t xml:space="preserve"> in HME2 parental, lapatinib resistant (LAPR) and TGF-</w:t>
      </w:r>
      <w:r>
        <w:sym w:font="Symbol" w:char="F062"/>
      </w:r>
      <w:r>
        <w:t xml:space="preserve"> treated cells. </w:t>
      </w:r>
      <w:r w:rsidRPr="00D802E4">
        <w:rPr>
          <w:rFonts w:ascii="Symbol" w:hAnsi="Symbol"/>
        </w:rPr>
        <w:t></w:t>
      </w:r>
      <w:r>
        <w:t>-tubulin was assessed as a loading control.</w:t>
      </w:r>
    </w:p>
    <w:p w14:paraId="59FEC204" w14:textId="1D65E7AD" w:rsidR="00BB14B2" w:rsidRDefault="00BB14B2" w:rsidP="00C122E2">
      <w:pPr>
        <w:rPr>
          <w:b/>
          <w:bCs/>
        </w:rPr>
      </w:pPr>
    </w:p>
    <w:p w14:paraId="6975919D" w14:textId="5E6035F6" w:rsidR="00BB14B2" w:rsidRDefault="00BB14B2">
      <w:pPr>
        <w:rPr>
          <w:b/>
          <w:bCs/>
        </w:rPr>
      </w:pPr>
      <w:r>
        <w:rPr>
          <w:b/>
          <w:bCs/>
        </w:rPr>
        <w:br w:type="page"/>
      </w:r>
    </w:p>
    <w:p w14:paraId="2C02F6DC" w14:textId="77777777" w:rsidR="00BB14B2" w:rsidRDefault="00BB14B2" w:rsidP="00C122E2">
      <w:pPr>
        <w:rPr>
          <w:b/>
          <w:bCs/>
        </w:rPr>
      </w:pPr>
    </w:p>
    <w:p w14:paraId="2C157FD1" w14:textId="77777777" w:rsidR="00C122E2" w:rsidRDefault="00C122E2" w:rsidP="00C122E2">
      <w:pPr>
        <w:rPr>
          <w:b/>
          <w:bCs/>
        </w:rPr>
      </w:pPr>
    </w:p>
    <w:p w14:paraId="4FD53CB5" w14:textId="0D001D75" w:rsidR="00C122E2" w:rsidRPr="0008238C" w:rsidRDefault="00C122E2" w:rsidP="00C122E2">
      <w:pPr>
        <w:rPr>
          <w:b/>
          <w:bCs/>
        </w:rPr>
      </w:pPr>
      <w:r w:rsidRPr="0008238C">
        <w:rPr>
          <w:b/>
          <w:bCs/>
        </w:rPr>
        <w:t xml:space="preserve">Supplementary Figure </w:t>
      </w:r>
      <w:r w:rsidR="00BB14B2">
        <w:rPr>
          <w:b/>
          <w:bCs/>
        </w:rPr>
        <w:t>2</w:t>
      </w:r>
      <w:r w:rsidRPr="0008238C">
        <w:rPr>
          <w:b/>
          <w:bCs/>
        </w:rPr>
        <w:t>.</w:t>
      </w:r>
    </w:p>
    <w:p w14:paraId="4286C60B" w14:textId="77777777" w:rsidR="00C122E2" w:rsidRDefault="00C122E2" w:rsidP="00C122E2">
      <w:pPr>
        <w:rPr>
          <w:b/>
          <w:bCs/>
        </w:rPr>
      </w:pPr>
    </w:p>
    <w:p w14:paraId="4768691D" w14:textId="77777777" w:rsidR="00C122E2" w:rsidRPr="005731B5" w:rsidRDefault="00C122E2" w:rsidP="00C122E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FDF18D" wp14:editId="7D28A248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 Fig1-DCP1A-SYK coloc.ps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6491" w14:textId="626F2053" w:rsidR="00C122E2" w:rsidRDefault="00C122E2" w:rsidP="00C122E2">
      <w:r w:rsidRPr="0008238C">
        <w:rPr>
          <w:b/>
          <w:bCs/>
        </w:rPr>
        <w:t xml:space="preserve">Supplementary Figure </w:t>
      </w:r>
      <w:r w:rsidR="00BB14B2">
        <w:rPr>
          <w:b/>
          <w:bCs/>
        </w:rPr>
        <w:t>2</w:t>
      </w:r>
      <w:r>
        <w:rPr>
          <w:b/>
          <w:bCs/>
        </w:rPr>
        <w:t xml:space="preserve">. </w:t>
      </w:r>
      <w:r>
        <w:rPr>
          <w:rFonts w:eastAsia="Arial"/>
          <w:b/>
          <w:bCs/>
        </w:rPr>
        <w:t>SYK</w:t>
      </w:r>
      <w:r w:rsidRPr="00765E0E">
        <w:rPr>
          <w:rFonts w:eastAsia="Arial"/>
          <w:b/>
          <w:bCs/>
        </w:rPr>
        <w:t xml:space="preserve"> </w:t>
      </w:r>
      <w:r>
        <w:rPr>
          <w:rFonts w:eastAsia="Arial"/>
          <w:b/>
          <w:bCs/>
        </w:rPr>
        <w:t>colocalizes with DCP1A into P-bodies</w:t>
      </w:r>
      <w:r w:rsidRPr="00765E0E">
        <w:rPr>
          <w:rFonts w:eastAsia="Arial"/>
          <w:b/>
          <w:bCs/>
        </w:rPr>
        <w:t>.</w:t>
      </w:r>
      <w:r w:rsidRPr="00910606">
        <w:rPr>
          <w:rFonts w:eastAsia="Arial"/>
        </w:rPr>
        <w:t xml:space="preserve"> HEK293 cells were transiently transfected </w:t>
      </w:r>
      <w:r>
        <w:rPr>
          <w:rFonts w:eastAsia="Arial"/>
        </w:rPr>
        <w:t>with</w:t>
      </w:r>
      <w:r w:rsidRPr="00910606">
        <w:rPr>
          <w:rFonts w:eastAsia="Arial"/>
        </w:rPr>
        <w:t xml:space="preserve"> </w:t>
      </w:r>
      <w:r>
        <w:rPr>
          <w:rFonts w:eastAsia="Arial"/>
        </w:rPr>
        <w:t>SYK</w:t>
      </w:r>
      <w:r w:rsidRPr="00910606">
        <w:rPr>
          <w:rFonts w:eastAsia="Arial"/>
        </w:rPr>
        <w:t>-</w:t>
      </w:r>
      <w:proofErr w:type="spellStart"/>
      <w:r w:rsidRPr="00910606">
        <w:rPr>
          <w:rFonts w:eastAsia="Arial"/>
        </w:rPr>
        <w:t>mCherry</w:t>
      </w:r>
      <w:proofErr w:type="spellEnd"/>
      <w:r w:rsidRPr="00910606">
        <w:rPr>
          <w:rFonts w:eastAsia="Arial"/>
        </w:rPr>
        <w:t xml:space="preserve"> (SYK-</w:t>
      </w:r>
      <w:proofErr w:type="spellStart"/>
      <w:r w:rsidRPr="00910606">
        <w:rPr>
          <w:rFonts w:eastAsia="Arial"/>
        </w:rPr>
        <w:t>mC</w:t>
      </w:r>
      <w:proofErr w:type="spellEnd"/>
      <w:r w:rsidRPr="00910606">
        <w:rPr>
          <w:rFonts w:eastAsia="Arial"/>
        </w:rPr>
        <w:t xml:space="preserve">) </w:t>
      </w:r>
      <w:r>
        <w:rPr>
          <w:rFonts w:eastAsia="Arial"/>
        </w:rPr>
        <w:t>and EGFP as a control or</w:t>
      </w:r>
      <w:r w:rsidRPr="00910606">
        <w:rPr>
          <w:rFonts w:eastAsia="Arial"/>
        </w:rPr>
        <w:t xml:space="preserve"> EGFP-DCP1A </w:t>
      </w:r>
      <w:r>
        <w:rPr>
          <w:rFonts w:eastAsia="Arial"/>
        </w:rPr>
        <w:t>to induce P-body formation</w:t>
      </w:r>
      <w:r w:rsidRPr="00910606">
        <w:rPr>
          <w:rFonts w:eastAsia="Arial"/>
        </w:rPr>
        <w:t xml:space="preserve">. </w:t>
      </w:r>
      <w:r>
        <w:rPr>
          <w:rFonts w:eastAsia="Arial"/>
        </w:rPr>
        <w:t xml:space="preserve">Localization of SYK into P-bodies </w:t>
      </w:r>
      <w:r w:rsidRPr="00910606">
        <w:rPr>
          <w:rFonts w:eastAsia="Arial"/>
        </w:rPr>
        <w:t>w</w:t>
      </w:r>
      <w:r>
        <w:rPr>
          <w:rFonts w:eastAsia="Arial"/>
        </w:rPr>
        <w:t>as</w:t>
      </w:r>
      <w:r w:rsidRPr="00910606">
        <w:rPr>
          <w:rFonts w:eastAsia="Arial"/>
        </w:rPr>
        <w:t xml:space="preserve"> examined by fluorescence microscopy</w:t>
      </w:r>
      <w:r>
        <w:rPr>
          <w:rFonts w:eastAsia="Arial"/>
        </w:rPr>
        <w:t xml:space="preserve"> at 60x</w:t>
      </w:r>
      <w:r w:rsidRPr="0008238C">
        <w:rPr>
          <w:rFonts w:eastAsia="Arial"/>
        </w:rPr>
        <w:t xml:space="preserve"> </w:t>
      </w:r>
      <w:r w:rsidRPr="00910606">
        <w:rPr>
          <w:rFonts w:eastAsia="Arial"/>
        </w:rPr>
        <w:t>(A)</w:t>
      </w:r>
      <w:r>
        <w:rPr>
          <w:rFonts w:eastAsia="Arial"/>
        </w:rPr>
        <w:t xml:space="preserve"> with no digital zoom (B) and with a 5x digital zoom. Several fields for each condition are shown. </w:t>
      </w:r>
      <w:r w:rsidRPr="00910606">
        <w:rPr>
          <w:rFonts w:eastAsia="Arial"/>
        </w:rPr>
        <w:t xml:space="preserve"> </w:t>
      </w:r>
      <w:r>
        <w:br w:type="page"/>
      </w:r>
    </w:p>
    <w:p w14:paraId="7D3FB8C8" w14:textId="69DBD2A4" w:rsidR="00C122E2" w:rsidRPr="0008238C" w:rsidRDefault="00C122E2" w:rsidP="00C122E2">
      <w:pPr>
        <w:rPr>
          <w:b/>
          <w:bCs/>
        </w:rPr>
      </w:pPr>
      <w:r w:rsidRPr="0008238C">
        <w:rPr>
          <w:b/>
          <w:bCs/>
        </w:rPr>
        <w:lastRenderedPageBreak/>
        <w:t xml:space="preserve">Supplementary Figure </w:t>
      </w:r>
      <w:r w:rsidR="00BB14B2">
        <w:rPr>
          <w:b/>
          <w:bCs/>
        </w:rPr>
        <w:t>3</w:t>
      </w:r>
      <w:r w:rsidRPr="0008238C">
        <w:rPr>
          <w:b/>
          <w:bCs/>
        </w:rPr>
        <w:t>.</w:t>
      </w:r>
    </w:p>
    <w:p w14:paraId="10A0D402" w14:textId="77777777" w:rsidR="00C122E2" w:rsidRDefault="00C122E2" w:rsidP="00C122E2">
      <w:r>
        <w:rPr>
          <w:noProof/>
        </w:rPr>
        <w:drawing>
          <wp:inline distT="0" distB="0" distL="0" distR="0" wp14:anchorId="1AE6B239" wp14:editId="1F4FF72C">
            <wp:extent cx="3240024" cy="1801368"/>
            <wp:effectExtent l="0" t="0" r="1143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g Fig 3-Ecad recovery.ps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4" cy="180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2143E" w14:textId="1C3A6D66" w:rsidR="00C122E2" w:rsidRDefault="00C122E2" w:rsidP="00C122E2">
      <w:pPr>
        <w:jc w:val="both"/>
        <w:rPr>
          <w:rFonts w:eastAsia="Arial"/>
        </w:rPr>
      </w:pPr>
      <w:r w:rsidRPr="008C3F72">
        <w:rPr>
          <w:b/>
          <w:bCs/>
        </w:rPr>
        <w:t xml:space="preserve">Supplementary Figure </w:t>
      </w:r>
      <w:r w:rsidR="00BB14B2">
        <w:rPr>
          <w:b/>
          <w:bCs/>
        </w:rPr>
        <w:t>3</w:t>
      </w:r>
      <w:r w:rsidRPr="008C3F72">
        <w:rPr>
          <w:b/>
          <w:bCs/>
        </w:rPr>
        <w:t>.</w:t>
      </w:r>
      <w:r>
        <w:t xml:space="preserve"> </w:t>
      </w:r>
      <w:r w:rsidRPr="00910606">
        <w:rPr>
          <w:rFonts w:eastAsia="Arial"/>
        </w:rPr>
        <w:t>HMLE cells were treated without (-) or with (+) TGF-</w:t>
      </w:r>
      <w:r w:rsidRPr="00910606">
        <w:rPr>
          <w:rFonts w:ascii="Symbol" w:eastAsia="Arial" w:hAnsi="Symbol"/>
        </w:rPr>
        <w:t></w:t>
      </w:r>
      <w:r w:rsidRPr="00910606">
        <w:rPr>
          <w:rFonts w:eastAsia="Arial"/>
        </w:rPr>
        <w:t xml:space="preserve"> for 120 h</w:t>
      </w:r>
      <w:r>
        <w:rPr>
          <w:rFonts w:eastAsia="Arial"/>
        </w:rPr>
        <w:t>ours</w:t>
      </w:r>
      <w:r w:rsidRPr="00910606">
        <w:rPr>
          <w:rFonts w:eastAsia="Arial"/>
        </w:rPr>
        <w:t>. TGF-</w:t>
      </w:r>
      <w:r w:rsidRPr="00910606">
        <w:rPr>
          <w:rFonts w:ascii="Symbol" w:eastAsia="Arial" w:hAnsi="Symbol"/>
        </w:rPr>
        <w:t></w:t>
      </w:r>
      <w:r w:rsidRPr="00910606">
        <w:rPr>
          <w:rFonts w:eastAsia="Arial"/>
        </w:rPr>
        <w:t xml:space="preserve"> was removed and cells were allowed to recover (</w:t>
      </w:r>
      <w:r>
        <w:rPr>
          <w:rFonts w:eastAsia="Arial"/>
        </w:rPr>
        <w:t>Recovery</w:t>
      </w:r>
      <w:r w:rsidRPr="00910606">
        <w:rPr>
          <w:rFonts w:eastAsia="Arial"/>
        </w:rPr>
        <w:t xml:space="preserve">) in the presence (+) or absence (-) of R406 (2 </w:t>
      </w:r>
      <w:r w:rsidRPr="00910606">
        <w:rPr>
          <w:rFonts w:ascii="Symbol" w:eastAsia="Arial" w:hAnsi="Symbol"/>
        </w:rPr>
        <w:t></w:t>
      </w:r>
      <w:r w:rsidRPr="00910606">
        <w:rPr>
          <w:rFonts w:eastAsia="Arial"/>
        </w:rPr>
        <w:t xml:space="preserve">M) or </w:t>
      </w:r>
      <w:r>
        <w:rPr>
          <w:rFonts w:eastAsia="Arial"/>
        </w:rPr>
        <w:t xml:space="preserve">the autophagy inhibitor </w:t>
      </w:r>
      <w:proofErr w:type="spellStart"/>
      <w:r w:rsidRPr="00910606">
        <w:rPr>
          <w:rFonts w:eastAsia="Arial"/>
        </w:rPr>
        <w:t>DBeQ</w:t>
      </w:r>
      <w:proofErr w:type="spellEnd"/>
      <w:r w:rsidRPr="00910606">
        <w:rPr>
          <w:rFonts w:eastAsia="Arial"/>
        </w:rPr>
        <w:t xml:space="preserve"> (1.25 </w:t>
      </w:r>
      <w:r w:rsidRPr="00910606">
        <w:rPr>
          <w:rFonts w:ascii="Symbol" w:eastAsia="Arial" w:hAnsi="Symbol"/>
        </w:rPr>
        <w:t></w:t>
      </w:r>
      <w:r w:rsidRPr="00910606">
        <w:rPr>
          <w:rFonts w:eastAsia="Arial"/>
        </w:rPr>
        <w:t xml:space="preserve">M) for </w:t>
      </w:r>
      <w:r>
        <w:rPr>
          <w:rFonts w:eastAsia="Arial"/>
        </w:rPr>
        <w:t xml:space="preserve">an additional </w:t>
      </w:r>
      <w:r w:rsidRPr="00910606">
        <w:rPr>
          <w:rFonts w:eastAsia="Arial"/>
        </w:rPr>
        <w:t>120 h</w:t>
      </w:r>
      <w:r>
        <w:rPr>
          <w:rFonts w:eastAsia="Arial"/>
        </w:rPr>
        <w:t>ours</w:t>
      </w:r>
      <w:r w:rsidRPr="00910606">
        <w:rPr>
          <w:rFonts w:eastAsia="Arial"/>
        </w:rPr>
        <w:t xml:space="preserve">. Cell lysates were examined by </w:t>
      </w:r>
      <w:r>
        <w:rPr>
          <w:rFonts w:eastAsia="Arial"/>
        </w:rPr>
        <w:t>immuno</w:t>
      </w:r>
      <w:r w:rsidRPr="00910606">
        <w:rPr>
          <w:rFonts w:eastAsia="Arial"/>
        </w:rPr>
        <w:t>blotting using antibodies against E-cadherin</w:t>
      </w:r>
      <w:r>
        <w:rPr>
          <w:rFonts w:eastAsia="Arial"/>
        </w:rPr>
        <w:t xml:space="preserve"> (E-cad) and</w:t>
      </w:r>
      <w:r w:rsidRPr="00910606">
        <w:rPr>
          <w:rFonts w:eastAsia="Arial"/>
        </w:rPr>
        <w:t xml:space="preserve"> </w:t>
      </w:r>
      <w:r>
        <w:rPr>
          <w:rFonts w:eastAsia="Arial"/>
        </w:rPr>
        <w:t xml:space="preserve">SYK. Analysis of </w:t>
      </w:r>
      <w:r w:rsidRPr="00910606">
        <w:rPr>
          <w:rFonts w:eastAsia="Arial"/>
        </w:rPr>
        <w:t>GAPDH</w:t>
      </w:r>
      <w:r>
        <w:rPr>
          <w:rFonts w:eastAsia="Arial"/>
        </w:rPr>
        <w:t xml:space="preserve"> served as a loading control</w:t>
      </w:r>
      <w:r w:rsidRPr="00910606">
        <w:rPr>
          <w:rFonts w:eastAsia="Arial"/>
        </w:rPr>
        <w:t>.</w:t>
      </w:r>
    </w:p>
    <w:p w14:paraId="55FF34E3" w14:textId="77777777" w:rsidR="00C122E2" w:rsidRDefault="00C122E2" w:rsidP="00C122E2">
      <w:pPr>
        <w:jc w:val="both"/>
        <w:rPr>
          <w:rFonts w:eastAsia="Arial"/>
        </w:rPr>
      </w:pPr>
    </w:p>
    <w:p w14:paraId="3A9CC24E" w14:textId="77777777" w:rsidR="00C122E2" w:rsidRDefault="00C122E2" w:rsidP="00C122E2">
      <w:pPr>
        <w:rPr>
          <w:rFonts w:eastAsia="Arial"/>
        </w:rPr>
      </w:pPr>
      <w:r>
        <w:rPr>
          <w:rFonts w:eastAsia="Arial"/>
        </w:rPr>
        <w:br w:type="page"/>
      </w:r>
    </w:p>
    <w:p w14:paraId="2AD6FC02" w14:textId="3C512577" w:rsidR="00C122E2" w:rsidRDefault="00C122E2" w:rsidP="00C122E2">
      <w:pPr>
        <w:jc w:val="both"/>
        <w:rPr>
          <w:b/>
          <w:bCs/>
        </w:rPr>
      </w:pPr>
      <w:r w:rsidRPr="0008238C">
        <w:rPr>
          <w:b/>
          <w:bCs/>
        </w:rPr>
        <w:lastRenderedPageBreak/>
        <w:t xml:space="preserve">Supplementary Figure </w:t>
      </w:r>
      <w:r w:rsidR="00BB14B2">
        <w:rPr>
          <w:b/>
          <w:bCs/>
        </w:rPr>
        <w:t>4</w:t>
      </w:r>
      <w:r>
        <w:rPr>
          <w:b/>
          <w:bCs/>
        </w:rPr>
        <w:t>.</w:t>
      </w:r>
    </w:p>
    <w:p w14:paraId="148EB21E" w14:textId="77777777" w:rsidR="00C122E2" w:rsidRDefault="00C122E2" w:rsidP="00C122E2">
      <w:pPr>
        <w:jc w:val="both"/>
        <w:rPr>
          <w:rFonts w:eastAsia="Arial"/>
        </w:rPr>
      </w:pPr>
    </w:p>
    <w:p w14:paraId="4153F720" w14:textId="77777777" w:rsidR="00C122E2" w:rsidRDefault="00C122E2" w:rsidP="00C122E2">
      <w:pPr>
        <w:jc w:val="both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59CA0AE1" wp14:editId="371046E9">
            <wp:extent cx="5943600" cy="22059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 Fig3-DCP1A-ATG7KO.ps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2" b="18214"/>
                    <a:stretch/>
                  </pic:blipFill>
                  <pic:spPr bwMode="auto">
                    <a:xfrm>
                      <a:off x="0" y="0"/>
                      <a:ext cx="594360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C5261" w14:textId="6158CE2B" w:rsidR="00C122E2" w:rsidRPr="0008238C" w:rsidRDefault="00C122E2" w:rsidP="00C122E2">
      <w:pPr>
        <w:jc w:val="both"/>
        <w:rPr>
          <w:b/>
          <w:bCs/>
        </w:rPr>
      </w:pPr>
      <w:r w:rsidRPr="0008238C">
        <w:rPr>
          <w:b/>
          <w:bCs/>
        </w:rPr>
        <w:t xml:space="preserve">Supplementary Figure </w:t>
      </w:r>
      <w:r w:rsidR="00BB14B2">
        <w:rPr>
          <w:b/>
          <w:bCs/>
        </w:rPr>
        <w:t>4</w:t>
      </w:r>
      <w:r>
        <w:rPr>
          <w:b/>
          <w:bCs/>
        </w:rPr>
        <w:t xml:space="preserve">. Deletion of ATG7 promotes P-body accumulation and a mesenchymal phenotype. </w:t>
      </w:r>
      <w:r>
        <w:t xml:space="preserve">Control (WT) and ATG7 deleted (ATG7KO) 4T1 cells were stained with phalloidin to visualize differential organization of the actin cytoskeleton and DCP1A to visualize P-bodies. These cells were counterstained with DAPI to visualize the nucleus. Two separate fields for each cell condition are shown. </w:t>
      </w:r>
    </w:p>
    <w:p w14:paraId="1E311F38" w14:textId="77777777" w:rsidR="00C122E2" w:rsidRPr="00157385" w:rsidRDefault="00C122E2" w:rsidP="00C122E2"/>
    <w:p w14:paraId="5D8761DC" w14:textId="77777777" w:rsidR="00A94E04" w:rsidRDefault="00BB14B2"/>
    <w:sectPr w:rsidR="00A94E04" w:rsidSect="003860C9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E2"/>
    <w:rsid w:val="00085CDE"/>
    <w:rsid w:val="005A6009"/>
    <w:rsid w:val="00BB14B2"/>
    <w:rsid w:val="00C122E2"/>
    <w:rsid w:val="00F1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407DF"/>
  <w15:chartTrackingRefBased/>
  <w15:docId w15:val="{BA8EDA3D-2DD4-EF4F-8220-9CC3EDC8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22E2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 Wendt</dc:creator>
  <cp:keywords/>
  <dc:description/>
  <cp:lastModifiedBy>Michael K Wendt</cp:lastModifiedBy>
  <cp:revision>2</cp:revision>
  <dcterms:created xsi:type="dcterms:W3CDTF">2018-12-20T01:43:00Z</dcterms:created>
  <dcterms:modified xsi:type="dcterms:W3CDTF">2018-12-20T01:43:00Z</dcterms:modified>
</cp:coreProperties>
</file>