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8E" w:rsidRPr="0056552E" w:rsidRDefault="004D7C8E" w:rsidP="004D7C8E">
      <w:pPr>
        <w:widowControl/>
        <w:jc w:val="center"/>
        <w:rPr>
          <w:rFonts w:ascii="Times New Roman" w:eastAsia="Arial Unicode MS" w:hAnsi="Times New Roman"/>
          <w:b/>
          <w:color w:val="000000" w:themeColor="text1"/>
          <w:szCs w:val="21"/>
          <w:vertAlign w:val="superscript"/>
        </w:rPr>
      </w:pPr>
      <w:r w:rsidRPr="0056552E">
        <w:rPr>
          <w:noProof/>
          <w:color w:val="000000" w:themeColor="text1"/>
        </w:rPr>
        <w:drawing>
          <wp:inline distT="0" distB="0" distL="0" distR="0" wp14:anchorId="35B39E14" wp14:editId="46C43E35">
            <wp:extent cx="5067837" cy="52150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2004" cy="52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8E" w:rsidRPr="0056552E" w:rsidRDefault="004D7C8E" w:rsidP="004D7C8E">
      <w:pPr>
        <w:pStyle w:val="a3"/>
        <w:spacing w:before="0" w:beforeAutospacing="0" w:after="0" w:afterAutospacing="0" w:line="360" w:lineRule="auto"/>
        <w:jc w:val="both"/>
        <w:textAlignment w:val="baseline"/>
        <w:outlineLvl w:val="0"/>
        <w:rPr>
          <w:rFonts w:ascii="Times New Roman" w:eastAsia="Arial Unicode MS" w:hAnsi="Times New Roman" w:cs="Times New Roman"/>
          <w:b/>
          <w:color w:val="000000" w:themeColor="text1"/>
        </w:rPr>
      </w:pPr>
      <w:r w:rsidRPr="0056552E">
        <w:rPr>
          <w:rFonts w:ascii="Times New Roman" w:eastAsia="Arial Unicode MS" w:hAnsi="Times New Roman" w:cs="Times New Roman"/>
          <w:b/>
          <w:color w:val="000000" w:themeColor="text1"/>
        </w:rPr>
        <w:t>Supplementary Figure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</w:rPr>
        <w:t xml:space="preserve"> S1.</w:t>
      </w:r>
    </w:p>
    <w:p w:rsidR="004B0E4F" w:rsidRPr="004D7C8E" w:rsidRDefault="004D7C8E" w:rsidP="004D7C8E">
      <w:pPr>
        <w:spacing w:line="360" w:lineRule="auto"/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</w:pP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GSK126 treatment d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oes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not affect EZH2 protein level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but decrease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H3K27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trimethylation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in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LLC and MC38 cells in vitro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in vivo</w:t>
      </w:r>
      <w:r w:rsidRPr="0056552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56552E">
        <w:rPr>
          <w:rFonts w:ascii="Arial" w:hAnsi="Arial" w:cs="Arial"/>
          <w:i/>
          <w:noProof/>
          <w:color w:val="000000" w:themeColor="text1"/>
          <w:szCs w:val="21"/>
        </w:rPr>
        <w:t xml:space="preserve"> </w:t>
      </w:r>
      <w:proofErr w:type="gramStart"/>
      <w:r w:rsidRPr="0056552E">
        <w:rPr>
          <w:rFonts w:ascii="Times New Roman" w:eastAsia="Arial Unicode MS" w:hAnsi="Times New Roman" w:cs="Times New Roman"/>
          <w:b/>
          <w:color w:val="000000" w:themeColor="text1"/>
          <w:kern w:val="24"/>
          <w:sz w:val="24"/>
          <w:szCs w:val="24"/>
        </w:rPr>
        <w:t>A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,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C</w:t>
      </w:r>
      <w:proofErr w:type="gramEnd"/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, EZH2, H3K27me3, Histone3,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GAPDH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levels were analyzed by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immunoblotting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of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LLC and MC38 cells in vitro. </w:t>
      </w:r>
      <w:proofErr w:type="gramStart"/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B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,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D</w:t>
      </w:r>
      <w:proofErr w:type="gramEnd"/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, EZH2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and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H3K27me3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were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analyzed by flow cytometry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of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LLC and MC38 cells in vitro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(n=3).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56552E">
        <w:rPr>
          <w:rFonts w:ascii="Times New Roman" w:eastAsia="Arial Unicode MS" w:hAnsi="Times New Roman" w:cs="Times New Roman"/>
          <w:b/>
          <w:color w:val="000000" w:themeColor="text1"/>
          <w:kern w:val="24"/>
          <w:sz w:val="24"/>
          <w:szCs w:val="24"/>
        </w:rPr>
        <w:t>E,G</w:t>
      </w:r>
      <w:proofErr w:type="gramEnd"/>
      <w:r w:rsidRPr="0056552E">
        <w:rPr>
          <w:rFonts w:ascii="Times New Roman" w:eastAsia="Arial Unicode MS" w:hAnsi="Times New Roman" w:cs="Times New Roman"/>
          <w:b/>
          <w:color w:val="000000" w:themeColor="text1"/>
          <w:kern w:val="24"/>
          <w:sz w:val="24"/>
          <w:szCs w:val="24"/>
        </w:rPr>
        <w:t>,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EZH2, H3K27me3, Histone3, GAPDH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levels were analyzed by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immunoblotting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of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tumor tissues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from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LLC and MC38 tumor-bearing mice</w:t>
      </w:r>
      <w:r w:rsidRPr="0056552E" w:rsidDel="007F1D53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(n=3). </w:t>
      </w:r>
      <w:proofErr w:type="gramStart"/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F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,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H</w:t>
      </w:r>
      <w:proofErr w:type="gramEnd"/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, EZH2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and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H3K27me3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were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analyzed by flow cytometry in tumor tissues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from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 LLC and MC38 tumor-bearing mice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(n=5).</w:t>
      </w:r>
      <w:r w:rsidRPr="0056552E">
        <w:rPr>
          <w:rFonts w:ascii="Arial" w:eastAsia="Arial Unicode MS" w:hAnsi="Arial" w:cs="Arial" w:hint="eastAsia"/>
          <w:i/>
          <w:color w:val="000000" w:themeColor="text1"/>
          <w:kern w:val="0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One-way ANOVA with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Turkey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’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s multiple comparison post-test 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(</w:t>
      </w:r>
      <w:proofErr w:type="gramStart"/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B,D</w:t>
      </w:r>
      <w:proofErr w:type="gramEnd"/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) and a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two-tailed 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unpaired Student’s t-test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(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  <w:sz w:val="24"/>
          <w:szCs w:val="24"/>
        </w:rPr>
        <w:t>F,H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) was used to evaluate statistical significance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(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  <w:sz w:val="24"/>
          <w:szCs w:val="24"/>
        </w:rPr>
        <w:t>*p&lt;0.05, **p&lt;0.01, ***p&lt;0.001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>).</w:t>
      </w:r>
      <w:bookmarkStart w:id="0" w:name="_GoBack"/>
      <w:bookmarkEnd w:id="0"/>
    </w:p>
    <w:sectPr w:rsidR="004B0E4F" w:rsidRPr="004D7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E"/>
    <w:rsid w:val="00000895"/>
    <w:rsid w:val="004B0E4F"/>
    <w:rsid w:val="004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EF6D"/>
  <w15:chartTrackingRefBased/>
  <w15:docId w15:val="{C07140BB-32D8-4203-A436-00F1696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Zhu</dc:creator>
  <cp:keywords/>
  <dc:description/>
  <cp:lastModifiedBy>Bo Zhu</cp:lastModifiedBy>
  <cp:revision>1</cp:revision>
  <dcterms:created xsi:type="dcterms:W3CDTF">2019-01-24T15:20:00Z</dcterms:created>
  <dcterms:modified xsi:type="dcterms:W3CDTF">2019-01-24T15:21:00Z</dcterms:modified>
</cp:coreProperties>
</file>