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C4" w:rsidRDefault="00AC18C4" w:rsidP="00AC18C4">
      <w:pPr>
        <w:spacing w:line="360" w:lineRule="auto"/>
        <w:jc w:val="center"/>
        <w:rPr>
          <w:b/>
          <w:sz w:val="32"/>
          <w:szCs w:val="24"/>
        </w:rPr>
      </w:pPr>
      <w:r>
        <w:rPr>
          <w:b/>
          <w:sz w:val="32"/>
          <w:szCs w:val="24"/>
        </w:rPr>
        <w:t xml:space="preserve">Supplementary </w:t>
      </w:r>
      <w:r w:rsidR="0087057D">
        <w:rPr>
          <w:b/>
          <w:sz w:val="32"/>
          <w:szCs w:val="24"/>
        </w:rPr>
        <w:t>Data</w:t>
      </w:r>
      <w:r w:rsidR="00A80957">
        <w:rPr>
          <w:b/>
          <w:sz w:val="32"/>
          <w:szCs w:val="24"/>
        </w:rPr>
        <w:t xml:space="preserve"> for</w:t>
      </w:r>
    </w:p>
    <w:p w:rsidR="00AC18C4" w:rsidRDefault="00AC18C4" w:rsidP="00AC18C4">
      <w:pPr>
        <w:spacing w:line="360" w:lineRule="auto"/>
        <w:jc w:val="center"/>
        <w:rPr>
          <w:b/>
          <w:sz w:val="32"/>
          <w:szCs w:val="24"/>
        </w:rPr>
      </w:pPr>
    </w:p>
    <w:p w:rsidR="00AC18C4" w:rsidRPr="00AA680C" w:rsidRDefault="00AC18C4" w:rsidP="00AC18C4">
      <w:pPr>
        <w:spacing w:line="360" w:lineRule="auto"/>
        <w:jc w:val="center"/>
        <w:rPr>
          <w:b/>
          <w:sz w:val="32"/>
          <w:szCs w:val="24"/>
        </w:rPr>
      </w:pPr>
      <w:r>
        <w:rPr>
          <w:b/>
          <w:sz w:val="32"/>
          <w:szCs w:val="24"/>
        </w:rPr>
        <w:t>Dynamics of tumor and immune responses</w:t>
      </w:r>
      <w:r w:rsidRPr="00AA680C">
        <w:rPr>
          <w:b/>
          <w:sz w:val="32"/>
          <w:szCs w:val="24"/>
        </w:rPr>
        <w:t xml:space="preserve"> </w:t>
      </w:r>
      <w:r>
        <w:rPr>
          <w:b/>
          <w:sz w:val="32"/>
          <w:szCs w:val="24"/>
        </w:rPr>
        <w:t>during</w:t>
      </w:r>
      <w:r w:rsidRPr="00AA680C">
        <w:rPr>
          <w:b/>
          <w:sz w:val="32"/>
          <w:szCs w:val="24"/>
        </w:rPr>
        <w:t xml:space="preserve"> immune checkpoint blockade </w:t>
      </w:r>
      <w:r>
        <w:rPr>
          <w:b/>
          <w:sz w:val="32"/>
          <w:szCs w:val="24"/>
        </w:rPr>
        <w:t>in non-small cell lung cancer</w:t>
      </w:r>
    </w:p>
    <w:p w:rsidR="00AC18C4" w:rsidRDefault="00724B59" w:rsidP="00724B59">
      <w:pPr>
        <w:spacing w:line="360" w:lineRule="auto"/>
        <w:jc w:val="center"/>
        <w:rPr>
          <w:b/>
          <w:sz w:val="24"/>
          <w:szCs w:val="24"/>
          <w:vertAlign w:val="superscript"/>
        </w:rPr>
      </w:pPr>
      <w:proofErr w:type="gramStart"/>
      <w:r w:rsidRPr="00F51F84">
        <w:rPr>
          <w:b/>
          <w:sz w:val="24"/>
          <w:szCs w:val="24"/>
        </w:rPr>
        <w:t>Valsamo Anagnostou</w:t>
      </w:r>
      <w:r w:rsidRPr="007E2452">
        <w:rPr>
          <w:b/>
          <w:sz w:val="24"/>
          <w:szCs w:val="24"/>
          <w:vertAlign w:val="superscript"/>
        </w:rPr>
        <w:t>1</w:t>
      </w:r>
      <w:r>
        <w:rPr>
          <w:b/>
          <w:sz w:val="24"/>
          <w:szCs w:val="24"/>
          <w:vertAlign w:val="superscript"/>
        </w:rPr>
        <w:t>,2#*</w:t>
      </w:r>
      <w:r w:rsidRPr="00F51F84">
        <w:rPr>
          <w:b/>
          <w:sz w:val="24"/>
          <w:szCs w:val="24"/>
        </w:rPr>
        <w:t xml:space="preserve">, Patrick </w:t>
      </w:r>
      <w:r>
        <w:rPr>
          <w:b/>
          <w:sz w:val="24"/>
          <w:szCs w:val="24"/>
        </w:rPr>
        <w:t xml:space="preserve">M. </w:t>
      </w:r>
      <w:r w:rsidRPr="00F51F84">
        <w:rPr>
          <w:b/>
          <w:sz w:val="24"/>
          <w:szCs w:val="24"/>
        </w:rPr>
        <w:t>Forde</w:t>
      </w:r>
      <w:r w:rsidRPr="007E2452">
        <w:rPr>
          <w:b/>
          <w:sz w:val="24"/>
          <w:szCs w:val="24"/>
          <w:vertAlign w:val="superscript"/>
        </w:rPr>
        <w:t>1</w:t>
      </w:r>
      <w:r>
        <w:rPr>
          <w:b/>
          <w:sz w:val="24"/>
          <w:szCs w:val="24"/>
          <w:vertAlign w:val="superscript"/>
        </w:rPr>
        <w:t>,2*</w:t>
      </w:r>
      <w:r w:rsidRPr="00F51F84">
        <w:rPr>
          <w:b/>
          <w:sz w:val="24"/>
          <w:szCs w:val="24"/>
        </w:rPr>
        <w:t xml:space="preserve">, James </w:t>
      </w:r>
      <w:r>
        <w:rPr>
          <w:b/>
          <w:sz w:val="24"/>
          <w:szCs w:val="24"/>
        </w:rPr>
        <w:t xml:space="preserve">R. </w:t>
      </w:r>
      <w:r w:rsidRPr="00F51F84">
        <w:rPr>
          <w:b/>
          <w:sz w:val="24"/>
          <w:szCs w:val="24"/>
        </w:rPr>
        <w:t>White</w:t>
      </w:r>
      <w:r w:rsidRPr="007E2452">
        <w:rPr>
          <w:b/>
          <w:sz w:val="24"/>
          <w:szCs w:val="24"/>
          <w:vertAlign w:val="superscript"/>
        </w:rPr>
        <w:t>1</w:t>
      </w:r>
      <w:r w:rsidRPr="00F51F84">
        <w:rPr>
          <w:b/>
          <w:sz w:val="24"/>
          <w:szCs w:val="24"/>
        </w:rPr>
        <w:t>,</w:t>
      </w:r>
      <w:r>
        <w:rPr>
          <w:b/>
          <w:sz w:val="24"/>
          <w:szCs w:val="24"/>
        </w:rPr>
        <w:t xml:space="preserve"> Noushin Niknafs</w:t>
      </w:r>
      <w:r w:rsidRPr="00F0095F">
        <w:rPr>
          <w:b/>
          <w:sz w:val="24"/>
          <w:szCs w:val="24"/>
          <w:vertAlign w:val="superscript"/>
        </w:rPr>
        <w:t>1</w:t>
      </w:r>
      <w:r>
        <w:rPr>
          <w:b/>
          <w:sz w:val="24"/>
          <w:szCs w:val="24"/>
        </w:rPr>
        <w:t xml:space="preserve">, </w:t>
      </w:r>
      <w:r w:rsidRPr="00F51F84">
        <w:rPr>
          <w:b/>
          <w:sz w:val="24"/>
          <w:szCs w:val="24"/>
        </w:rPr>
        <w:t>C</w:t>
      </w:r>
      <w:r>
        <w:rPr>
          <w:b/>
          <w:sz w:val="24"/>
          <w:szCs w:val="24"/>
        </w:rPr>
        <w:t>arolyn</w:t>
      </w:r>
      <w:r w:rsidRPr="00F51F84">
        <w:rPr>
          <w:b/>
          <w:sz w:val="24"/>
          <w:szCs w:val="24"/>
        </w:rPr>
        <w:t xml:space="preserve"> Hruban</w:t>
      </w:r>
      <w:r w:rsidRPr="007E2452">
        <w:rPr>
          <w:b/>
          <w:sz w:val="24"/>
          <w:szCs w:val="24"/>
          <w:vertAlign w:val="superscript"/>
        </w:rPr>
        <w:t>1</w:t>
      </w:r>
      <w:r w:rsidRPr="009F3AF9">
        <w:rPr>
          <w:b/>
          <w:sz w:val="24"/>
          <w:szCs w:val="24"/>
        </w:rPr>
        <w:t>,</w:t>
      </w:r>
      <w:r>
        <w:rPr>
          <w:b/>
          <w:sz w:val="24"/>
          <w:szCs w:val="24"/>
        </w:rPr>
        <w:t xml:space="preserve"> </w:t>
      </w:r>
      <w:r w:rsidRPr="00F51F84">
        <w:rPr>
          <w:b/>
          <w:sz w:val="24"/>
          <w:szCs w:val="24"/>
        </w:rPr>
        <w:t>Jarushka Naidoo</w:t>
      </w:r>
      <w:r w:rsidRPr="007E2452">
        <w:rPr>
          <w:b/>
          <w:sz w:val="24"/>
          <w:szCs w:val="24"/>
          <w:vertAlign w:val="superscript"/>
        </w:rPr>
        <w:t>1</w:t>
      </w:r>
      <w:r>
        <w:rPr>
          <w:b/>
          <w:sz w:val="24"/>
          <w:szCs w:val="24"/>
          <w:vertAlign w:val="superscript"/>
        </w:rPr>
        <w:t>,2</w:t>
      </w:r>
      <w:r w:rsidRPr="00F51F84">
        <w:rPr>
          <w:b/>
          <w:sz w:val="24"/>
          <w:szCs w:val="24"/>
        </w:rPr>
        <w:t xml:space="preserve">, </w:t>
      </w:r>
      <w:r>
        <w:rPr>
          <w:b/>
          <w:sz w:val="24"/>
          <w:szCs w:val="24"/>
        </w:rPr>
        <w:t>Kristen Marrone</w:t>
      </w:r>
      <w:r w:rsidRPr="007E2452">
        <w:rPr>
          <w:b/>
          <w:sz w:val="24"/>
          <w:szCs w:val="24"/>
          <w:vertAlign w:val="superscript"/>
        </w:rPr>
        <w:t>1</w:t>
      </w:r>
      <w:r>
        <w:rPr>
          <w:b/>
          <w:sz w:val="24"/>
          <w:szCs w:val="24"/>
          <w:vertAlign w:val="superscript"/>
        </w:rPr>
        <w:t>,2</w:t>
      </w:r>
      <w:r>
        <w:rPr>
          <w:b/>
          <w:sz w:val="24"/>
          <w:szCs w:val="24"/>
        </w:rPr>
        <w:t>, I.K. Ashok Sivakumar</w:t>
      </w:r>
      <w:r w:rsidRPr="007E2452">
        <w:rPr>
          <w:b/>
          <w:sz w:val="24"/>
          <w:szCs w:val="24"/>
          <w:vertAlign w:val="superscript"/>
        </w:rPr>
        <w:t>1</w:t>
      </w:r>
      <w:r>
        <w:rPr>
          <w:b/>
          <w:sz w:val="24"/>
          <w:szCs w:val="24"/>
          <w:vertAlign w:val="superscript"/>
        </w:rPr>
        <w:t>,3,4</w:t>
      </w:r>
      <w:r>
        <w:rPr>
          <w:b/>
          <w:sz w:val="24"/>
          <w:szCs w:val="24"/>
        </w:rPr>
        <w:t>, Daniel Bruhm</w:t>
      </w:r>
      <w:r w:rsidRPr="00F0095F">
        <w:rPr>
          <w:b/>
          <w:sz w:val="24"/>
          <w:szCs w:val="24"/>
          <w:vertAlign w:val="superscript"/>
        </w:rPr>
        <w:t>1</w:t>
      </w:r>
      <w:r>
        <w:rPr>
          <w:b/>
          <w:sz w:val="24"/>
          <w:szCs w:val="24"/>
        </w:rPr>
        <w:t>, Samuel Rosner</w:t>
      </w:r>
      <w:r>
        <w:rPr>
          <w:b/>
          <w:sz w:val="24"/>
          <w:szCs w:val="24"/>
          <w:vertAlign w:val="superscript"/>
        </w:rPr>
        <w:t>5</w:t>
      </w:r>
      <w:r>
        <w:rPr>
          <w:b/>
          <w:sz w:val="24"/>
          <w:szCs w:val="24"/>
        </w:rPr>
        <w:t xml:space="preserve">, </w:t>
      </w:r>
      <w:r w:rsidRPr="00F51F84">
        <w:rPr>
          <w:b/>
          <w:sz w:val="24"/>
          <w:szCs w:val="24"/>
        </w:rPr>
        <w:t>Jillian Phallen</w:t>
      </w:r>
      <w:r w:rsidRPr="007E2452">
        <w:rPr>
          <w:b/>
          <w:sz w:val="24"/>
          <w:szCs w:val="24"/>
          <w:vertAlign w:val="superscript"/>
        </w:rPr>
        <w:t>1</w:t>
      </w:r>
      <w:r w:rsidRPr="00F51F84">
        <w:rPr>
          <w:b/>
          <w:sz w:val="24"/>
          <w:szCs w:val="24"/>
        </w:rPr>
        <w:t xml:space="preserve">, </w:t>
      </w:r>
      <w:r>
        <w:rPr>
          <w:b/>
          <w:sz w:val="24"/>
          <w:szCs w:val="24"/>
        </w:rPr>
        <w:t>Alessandro Leal</w:t>
      </w:r>
      <w:r w:rsidRPr="007E2452">
        <w:rPr>
          <w:b/>
          <w:sz w:val="24"/>
          <w:szCs w:val="24"/>
          <w:vertAlign w:val="superscript"/>
        </w:rPr>
        <w:t>1</w:t>
      </w:r>
      <w:r>
        <w:rPr>
          <w:b/>
          <w:sz w:val="24"/>
          <w:szCs w:val="24"/>
        </w:rPr>
        <w:t xml:space="preserve">, </w:t>
      </w:r>
      <w:r w:rsidRPr="00F51F84">
        <w:rPr>
          <w:b/>
          <w:sz w:val="24"/>
          <w:szCs w:val="24"/>
        </w:rPr>
        <w:t>Vilmos Adleff</w:t>
      </w:r>
      <w:r w:rsidRPr="007E2452">
        <w:rPr>
          <w:b/>
          <w:sz w:val="24"/>
          <w:szCs w:val="24"/>
          <w:vertAlign w:val="superscript"/>
        </w:rPr>
        <w:t>1</w:t>
      </w:r>
      <w:r w:rsidRPr="00F51F84">
        <w:rPr>
          <w:b/>
          <w:sz w:val="24"/>
          <w:szCs w:val="24"/>
        </w:rPr>
        <w:t xml:space="preserve">, Kellie </w:t>
      </w:r>
      <w:r>
        <w:rPr>
          <w:b/>
          <w:sz w:val="24"/>
          <w:szCs w:val="24"/>
        </w:rPr>
        <w:t xml:space="preserve">N. </w:t>
      </w:r>
      <w:r w:rsidRPr="00F51F84">
        <w:rPr>
          <w:b/>
          <w:sz w:val="24"/>
          <w:szCs w:val="24"/>
        </w:rPr>
        <w:t>Smith</w:t>
      </w:r>
      <w:r w:rsidRPr="007E2452">
        <w:rPr>
          <w:b/>
          <w:sz w:val="24"/>
          <w:szCs w:val="24"/>
          <w:vertAlign w:val="superscript"/>
        </w:rPr>
        <w:t>1</w:t>
      </w:r>
      <w:r>
        <w:rPr>
          <w:b/>
          <w:sz w:val="24"/>
          <w:szCs w:val="24"/>
          <w:vertAlign w:val="superscript"/>
        </w:rPr>
        <w:t>,2</w:t>
      </w:r>
      <w:r w:rsidRPr="00F51F84">
        <w:rPr>
          <w:b/>
          <w:sz w:val="24"/>
          <w:szCs w:val="24"/>
        </w:rPr>
        <w:t xml:space="preserve">, </w:t>
      </w:r>
      <w:r>
        <w:rPr>
          <w:b/>
          <w:sz w:val="24"/>
          <w:szCs w:val="24"/>
        </w:rPr>
        <w:t>Tricia Cottrell</w:t>
      </w:r>
      <w:r>
        <w:rPr>
          <w:b/>
          <w:sz w:val="24"/>
          <w:szCs w:val="24"/>
          <w:vertAlign w:val="superscript"/>
        </w:rPr>
        <w:t>1,6</w:t>
      </w:r>
      <w:r>
        <w:rPr>
          <w:b/>
          <w:sz w:val="24"/>
          <w:szCs w:val="24"/>
        </w:rPr>
        <w:t>, Lamia Rhymee</w:t>
      </w:r>
      <w:r w:rsidRPr="007E2452">
        <w:rPr>
          <w:b/>
          <w:sz w:val="24"/>
          <w:szCs w:val="24"/>
          <w:vertAlign w:val="superscript"/>
        </w:rPr>
        <w:t>1</w:t>
      </w:r>
      <w:r>
        <w:rPr>
          <w:b/>
          <w:sz w:val="24"/>
          <w:szCs w:val="24"/>
        </w:rPr>
        <w:t>, Doreen Palsgrove</w:t>
      </w:r>
      <w:r w:rsidRPr="00F0095F">
        <w:rPr>
          <w:b/>
          <w:sz w:val="24"/>
          <w:szCs w:val="24"/>
          <w:vertAlign w:val="superscript"/>
        </w:rPr>
        <w:t>1</w:t>
      </w:r>
      <w:r>
        <w:rPr>
          <w:b/>
          <w:sz w:val="24"/>
          <w:szCs w:val="24"/>
        </w:rPr>
        <w:t>, Christine L. Hann</w:t>
      </w:r>
      <w:r>
        <w:rPr>
          <w:b/>
          <w:sz w:val="24"/>
          <w:szCs w:val="24"/>
          <w:vertAlign w:val="superscript"/>
        </w:rPr>
        <w:t>1</w:t>
      </w:r>
      <w:r>
        <w:rPr>
          <w:b/>
          <w:sz w:val="24"/>
          <w:szCs w:val="24"/>
        </w:rPr>
        <w:t>, Benjamin Levy</w:t>
      </w:r>
      <w:r w:rsidRPr="007E2452">
        <w:rPr>
          <w:b/>
          <w:sz w:val="24"/>
          <w:szCs w:val="24"/>
          <w:vertAlign w:val="superscript"/>
        </w:rPr>
        <w:t>1</w:t>
      </w:r>
      <w:r>
        <w:rPr>
          <w:b/>
          <w:sz w:val="24"/>
          <w:szCs w:val="24"/>
        </w:rPr>
        <w:t>, Josephine Feliciano</w:t>
      </w:r>
      <w:r w:rsidRPr="007E2452">
        <w:rPr>
          <w:b/>
          <w:sz w:val="24"/>
          <w:szCs w:val="24"/>
          <w:vertAlign w:val="superscript"/>
        </w:rPr>
        <w:t>1</w:t>
      </w:r>
      <w:r>
        <w:rPr>
          <w:b/>
          <w:sz w:val="24"/>
          <w:szCs w:val="24"/>
        </w:rPr>
        <w:t>, Christos Georgiades</w:t>
      </w:r>
      <w:r>
        <w:rPr>
          <w:b/>
          <w:sz w:val="24"/>
          <w:szCs w:val="24"/>
          <w:vertAlign w:val="superscript"/>
        </w:rPr>
        <w:t>7</w:t>
      </w:r>
      <w:r>
        <w:rPr>
          <w:b/>
          <w:sz w:val="24"/>
          <w:szCs w:val="24"/>
        </w:rPr>
        <w:t xml:space="preserve">, </w:t>
      </w:r>
      <w:r w:rsidRPr="00F51F84">
        <w:rPr>
          <w:b/>
          <w:sz w:val="24"/>
          <w:szCs w:val="24"/>
        </w:rPr>
        <w:t>Franco Verde</w:t>
      </w:r>
      <w:r>
        <w:rPr>
          <w:b/>
          <w:sz w:val="24"/>
          <w:szCs w:val="24"/>
          <w:vertAlign w:val="superscript"/>
        </w:rPr>
        <w:t>7</w:t>
      </w:r>
      <w:r w:rsidRPr="00F51F84">
        <w:rPr>
          <w:b/>
          <w:sz w:val="24"/>
          <w:szCs w:val="24"/>
        </w:rPr>
        <w:t xml:space="preserve">, </w:t>
      </w:r>
      <w:r>
        <w:rPr>
          <w:b/>
          <w:sz w:val="24"/>
          <w:szCs w:val="24"/>
        </w:rPr>
        <w:t>Peter Illei</w:t>
      </w:r>
      <w:r>
        <w:rPr>
          <w:b/>
          <w:sz w:val="24"/>
          <w:szCs w:val="24"/>
          <w:vertAlign w:val="superscript"/>
        </w:rPr>
        <w:t>1,2,6</w:t>
      </w:r>
      <w:r>
        <w:rPr>
          <w:b/>
          <w:sz w:val="24"/>
          <w:szCs w:val="24"/>
        </w:rPr>
        <w:t xml:space="preserve">, </w:t>
      </w:r>
      <w:r w:rsidRPr="00F51F84">
        <w:rPr>
          <w:b/>
          <w:sz w:val="24"/>
          <w:szCs w:val="24"/>
        </w:rPr>
        <w:t>Qing Kay Li</w:t>
      </w:r>
      <w:r>
        <w:rPr>
          <w:b/>
          <w:sz w:val="24"/>
          <w:szCs w:val="24"/>
          <w:vertAlign w:val="superscript"/>
        </w:rPr>
        <w:t>1,6</w:t>
      </w:r>
      <w:r w:rsidRPr="00F51F84">
        <w:rPr>
          <w:b/>
          <w:sz w:val="24"/>
          <w:szCs w:val="24"/>
        </w:rPr>
        <w:t>, Ed</w:t>
      </w:r>
      <w:r>
        <w:rPr>
          <w:b/>
          <w:sz w:val="24"/>
          <w:szCs w:val="24"/>
        </w:rPr>
        <w:t>ward</w:t>
      </w:r>
      <w:r w:rsidRPr="00F51F84">
        <w:rPr>
          <w:b/>
          <w:sz w:val="24"/>
          <w:szCs w:val="24"/>
        </w:rPr>
        <w:t xml:space="preserve"> Gabrielson</w:t>
      </w:r>
      <w:r>
        <w:rPr>
          <w:b/>
          <w:sz w:val="24"/>
          <w:szCs w:val="24"/>
          <w:vertAlign w:val="superscript"/>
        </w:rPr>
        <w:t>1,6</w:t>
      </w:r>
      <w:r w:rsidRPr="00F51F84">
        <w:rPr>
          <w:b/>
          <w:sz w:val="24"/>
          <w:szCs w:val="24"/>
        </w:rPr>
        <w:t xml:space="preserve">, </w:t>
      </w:r>
      <w:r>
        <w:rPr>
          <w:b/>
          <w:sz w:val="24"/>
          <w:szCs w:val="24"/>
        </w:rPr>
        <w:t>Malcolm V. Brock</w:t>
      </w:r>
      <w:r>
        <w:rPr>
          <w:b/>
          <w:sz w:val="24"/>
          <w:szCs w:val="24"/>
          <w:vertAlign w:val="superscript"/>
        </w:rPr>
        <w:t>8</w:t>
      </w:r>
      <w:r>
        <w:rPr>
          <w:b/>
          <w:sz w:val="24"/>
          <w:szCs w:val="24"/>
        </w:rPr>
        <w:t>, James M. Isbell</w:t>
      </w:r>
      <w:r>
        <w:rPr>
          <w:b/>
          <w:sz w:val="24"/>
          <w:szCs w:val="24"/>
          <w:vertAlign w:val="superscript"/>
        </w:rPr>
        <w:t>9</w:t>
      </w:r>
      <w:r>
        <w:rPr>
          <w:b/>
          <w:sz w:val="24"/>
          <w:szCs w:val="24"/>
        </w:rPr>
        <w:t>, Jennifer L. Sauter</w:t>
      </w:r>
      <w:r>
        <w:rPr>
          <w:b/>
          <w:sz w:val="24"/>
          <w:szCs w:val="24"/>
          <w:vertAlign w:val="superscript"/>
        </w:rPr>
        <w:t>10</w:t>
      </w:r>
      <w:r>
        <w:rPr>
          <w:b/>
          <w:sz w:val="24"/>
          <w:szCs w:val="24"/>
        </w:rPr>
        <w:t>, Janis Taube</w:t>
      </w:r>
      <w:r>
        <w:rPr>
          <w:b/>
          <w:sz w:val="24"/>
          <w:szCs w:val="24"/>
          <w:vertAlign w:val="superscript"/>
        </w:rPr>
        <w:t>1,2,6</w:t>
      </w:r>
      <w:r>
        <w:rPr>
          <w:b/>
          <w:sz w:val="24"/>
          <w:szCs w:val="24"/>
        </w:rPr>
        <w:t>, Robert B. Scharpf</w:t>
      </w:r>
      <w:r w:rsidRPr="007E2452">
        <w:rPr>
          <w:b/>
          <w:sz w:val="24"/>
          <w:szCs w:val="24"/>
          <w:vertAlign w:val="superscript"/>
        </w:rPr>
        <w:t>1</w:t>
      </w:r>
      <w:r>
        <w:rPr>
          <w:b/>
          <w:sz w:val="24"/>
          <w:szCs w:val="24"/>
        </w:rPr>
        <w:t>, Rachel Karchin</w:t>
      </w:r>
      <w:r w:rsidRPr="007E2452">
        <w:rPr>
          <w:b/>
          <w:sz w:val="24"/>
          <w:szCs w:val="24"/>
          <w:vertAlign w:val="superscript"/>
        </w:rPr>
        <w:t>1</w:t>
      </w:r>
      <w:r>
        <w:rPr>
          <w:b/>
          <w:sz w:val="24"/>
          <w:szCs w:val="24"/>
          <w:vertAlign w:val="superscript"/>
        </w:rPr>
        <w:t>,3</w:t>
      </w:r>
      <w:r>
        <w:rPr>
          <w:b/>
          <w:sz w:val="24"/>
          <w:szCs w:val="24"/>
        </w:rPr>
        <w:t>, Drew M. Pardoll</w:t>
      </w:r>
      <w:r w:rsidRPr="00B21CA2">
        <w:rPr>
          <w:b/>
          <w:sz w:val="24"/>
          <w:szCs w:val="24"/>
          <w:vertAlign w:val="superscript"/>
        </w:rPr>
        <w:t>1</w:t>
      </w:r>
      <w:r>
        <w:rPr>
          <w:b/>
          <w:sz w:val="24"/>
          <w:szCs w:val="24"/>
          <w:vertAlign w:val="superscript"/>
        </w:rPr>
        <w:t>,2</w:t>
      </w:r>
      <w:r>
        <w:rPr>
          <w:b/>
          <w:sz w:val="24"/>
          <w:szCs w:val="24"/>
        </w:rPr>
        <w:t>, Jamie E. Chaft</w:t>
      </w:r>
      <w:r>
        <w:rPr>
          <w:b/>
          <w:sz w:val="24"/>
          <w:szCs w:val="24"/>
          <w:vertAlign w:val="superscript"/>
        </w:rPr>
        <w:t>11</w:t>
      </w:r>
      <w:r w:rsidRPr="00597ACB">
        <w:rPr>
          <w:b/>
          <w:sz w:val="24"/>
          <w:szCs w:val="24"/>
        </w:rPr>
        <w:t>,</w:t>
      </w:r>
      <w:r>
        <w:rPr>
          <w:b/>
          <w:sz w:val="24"/>
          <w:szCs w:val="24"/>
          <w:vertAlign w:val="superscript"/>
        </w:rPr>
        <w:t xml:space="preserve"> </w:t>
      </w:r>
      <w:r>
        <w:rPr>
          <w:b/>
          <w:sz w:val="24"/>
          <w:szCs w:val="24"/>
        </w:rPr>
        <w:t>Matthew D. Hellmann</w:t>
      </w:r>
      <w:r>
        <w:rPr>
          <w:b/>
          <w:sz w:val="24"/>
          <w:szCs w:val="24"/>
          <w:vertAlign w:val="superscript"/>
        </w:rPr>
        <w:t>11</w:t>
      </w:r>
      <w:r w:rsidRPr="00597ACB">
        <w:rPr>
          <w:b/>
          <w:sz w:val="24"/>
          <w:szCs w:val="24"/>
        </w:rPr>
        <w:t>,</w:t>
      </w:r>
      <w:r>
        <w:rPr>
          <w:b/>
          <w:sz w:val="24"/>
          <w:szCs w:val="24"/>
          <w:vertAlign w:val="superscript"/>
        </w:rPr>
        <w:t xml:space="preserve"> </w:t>
      </w:r>
      <w:r w:rsidRPr="00F51F84">
        <w:rPr>
          <w:b/>
          <w:sz w:val="24"/>
          <w:szCs w:val="24"/>
        </w:rPr>
        <w:t>Julie</w:t>
      </w:r>
      <w:r>
        <w:rPr>
          <w:b/>
          <w:sz w:val="24"/>
          <w:szCs w:val="24"/>
        </w:rPr>
        <w:t xml:space="preserve"> R.</w:t>
      </w:r>
      <w:r w:rsidRPr="00F51F84">
        <w:rPr>
          <w:b/>
          <w:sz w:val="24"/>
          <w:szCs w:val="24"/>
        </w:rPr>
        <w:t xml:space="preserve"> Brahmer</w:t>
      </w:r>
      <w:r w:rsidRPr="007E2452">
        <w:rPr>
          <w:b/>
          <w:sz w:val="24"/>
          <w:szCs w:val="24"/>
          <w:vertAlign w:val="superscript"/>
        </w:rPr>
        <w:t>1</w:t>
      </w:r>
      <w:r>
        <w:rPr>
          <w:b/>
          <w:sz w:val="24"/>
          <w:szCs w:val="24"/>
          <w:vertAlign w:val="superscript"/>
        </w:rPr>
        <w:t>,2</w:t>
      </w:r>
      <w:r w:rsidRPr="00F51F84">
        <w:rPr>
          <w:b/>
          <w:sz w:val="24"/>
          <w:szCs w:val="24"/>
        </w:rPr>
        <w:t xml:space="preserve"> and Victor E. Velculescu</w:t>
      </w:r>
      <w:r w:rsidRPr="007E2452">
        <w:rPr>
          <w:b/>
          <w:sz w:val="24"/>
          <w:szCs w:val="24"/>
          <w:vertAlign w:val="superscript"/>
        </w:rPr>
        <w:t>1</w:t>
      </w:r>
      <w:r>
        <w:rPr>
          <w:b/>
          <w:sz w:val="24"/>
          <w:szCs w:val="24"/>
          <w:vertAlign w:val="superscript"/>
        </w:rPr>
        <w:t>,2,3#</w:t>
      </w:r>
      <w:proofErr w:type="gramEnd"/>
    </w:p>
    <w:p w:rsidR="00724B59" w:rsidRPr="00F51F84" w:rsidRDefault="00724B59" w:rsidP="00724B59">
      <w:pPr>
        <w:spacing w:line="360" w:lineRule="auto"/>
        <w:jc w:val="center"/>
        <w:rPr>
          <w:sz w:val="24"/>
          <w:szCs w:val="24"/>
        </w:rPr>
      </w:pPr>
    </w:p>
    <w:p w:rsidR="00724B59" w:rsidRPr="00C716B3" w:rsidRDefault="00724B59" w:rsidP="00724B59">
      <w:pPr>
        <w:jc w:val="center"/>
      </w:pPr>
      <w:r w:rsidRPr="00C716B3">
        <w:rPr>
          <w:vertAlign w:val="superscript"/>
        </w:rPr>
        <w:t>1</w:t>
      </w:r>
      <w:r w:rsidRPr="00C716B3">
        <w:t>The Sidney Kimmel Comprehensive Cancer Center, Johns Hopkins University School of Medicine, Baltimore, MD 21287, USA</w:t>
      </w:r>
    </w:p>
    <w:p w:rsidR="00724B59" w:rsidRPr="00C716B3" w:rsidRDefault="00724B59" w:rsidP="00724B59">
      <w:pPr>
        <w:jc w:val="center"/>
      </w:pPr>
      <w:r w:rsidRPr="00C716B3">
        <w:rPr>
          <w:vertAlign w:val="superscript"/>
        </w:rPr>
        <w:t>2</w:t>
      </w:r>
      <w:r w:rsidRPr="00C716B3">
        <w:t>The Bloomberg-Kimmel Institute for Cancer Immunotherapy, Johns Hopkins University School of Medicine, Baltimore, MD 21287, USA</w:t>
      </w:r>
    </w:p>
    <w:p w:rsidR="00724B59" w:rsidRPr="00C716B3" w:rsidRDefault="00724B59" w:rsidP="00724B59">
      <w:pPr>
        <w:jc w:val="center"/>
      </w:pPr>
      <w:r w:rsidRPr="00C716B3">
        <w:rPr>
          <w:vertAlign w:val="superscript"/>
        </w:rPr>
        <w:t>3</w:t>
      </w:r>
      <w:r w:rsidRPr="00C716B3">
        <w:t>Institute for Computational Medicine, Johns Hopkins University, Baltimore, MD 21204, USA.</w:t>
      </w:r>
    </w:p>
    <w:p w:rsidR="00724B59" w:rsidRPr="00C716B3" w:rsidRDefault="00724B59" w:rsidP="00724B59">
      <w:pPr>
        <w:jc w:val="center"/>
        <w:rPr>
          <w:vertAlign w:val="superscript"/>
        </w:rPr>
      </w:pPr>
      <w:r w:rsidRPr="00C716B3">
        <w:rPr>
          <w:vertAlign w:val="superscript"/>
        </w:rPr>
        <w:t>4</w:t>
      </w:r>
      <w:r w:rsidRPr="00C716B3">
        <w:t xml:space="preserve">Applied Physics Laboratory, Laurel, MD 20723, USA </w:t>
      </w:r>
    </w:p>
    <w:p w:rsidR="00724B59" w:rsidRPr="00C716B3" w:rsidRDefault="00724B59" w:rsidP="00724B59">
      <w:pPr>
        <w:jc w:val="center"/>
      </w:pPr>
      <w:r w:rsidRPr="00C716B3">
        <w:rPr>
          <w:vertAlign w:val="superscript"/>
        </w:rPr>
        <w:t>5</w:t>
      </w:r>
      <w:r w:rsidRPr="00C716B3">
        <w:t>Department of Internal Medicine, Johns Hopkins Bayview Medical Center, Baltimore, MD 21224, USA</w:t>
      </w:r>
    </w:p>
    <w:p w:rsidR="00724B59" w:rsidRPr="00C716B3" w:rsidRDefault="00724B59" w:rsidP="00724B59">
      <w:pPr>
        <w:jc w:val="center"/>
      </w:pPr>
      <w:r w:rsidRPr="00C716B3">
        <w:rPr>
          <w:vertAlign w:val="superscript"/>
        </w:rPr>
        <w:t>6</w:t>
      </w:r>
      <w:r w:rsidRPr="00C716B3">
        <w:t>Department of Pathology, Johns Hopkins University School of Medicine, Baltimore, MD 21287, USA</w:t>
      </w:r>
    </w:p>
    <w:p w:rsidR="00724B59" w:rsidRPr="00C716B3" w:rsidRDefault="00724B59" w:rsidP="00724B59">
      <w:pPr>
        <w:jc w:val="center"/>
      </w:pPr>
      <w:r w:rsidRPr="00C716B3">
        <w:rPr>
          <w:vertAlign w:val="superscript"/>
        </w:rPr>
        <w:t>7</w:t>
      </w:r>
      <w:r w:rsidRPr="00C716B3">
        <w:t>Department of Radiology, Johns Hopkins University School of Medicine, Baltimore, MD 21287, USA</w:t>
      </w:r>
    </w:p>
    <w:p w:rsidR="00724B59" w:rsidRPr="00C716B3" w:rsidRDefault="00724B59" w:rsidP="00724B59">
      <w:pPr>
        <w:jc w:val="center"/>
      </w:pPr>
      <w:r w:rsidRPr="00C716B3">
        <w:rPr>
          <w:vertAlign w:val="superscript"/>
        </w:rPr>
        <w:t>8</w:t>
      </w:r>
      <w:r w:rsidRPr="00C716B3">
        <w:t>Department of Surgery, Johns Hopkins University School of Medicine, Baltimore, MD 21287, USA</w:t>
      </w:r>
    </w:p>
    <w:p w:rsidR="00724B59" w:rsidRPr="00C716B3" w:rsidRDefault="00724B59" w:rsidP="00724B59">
      <w:pPr>
        <w:jc w:val="center"/>
      </w:pPr>
      <w:r w:rsidRPr="00C716B3">
        <w:rPr>
          <w:vertAlign w:val="superscript"/>
        </w:rPr>
        <w:t>9</w:t>
      </w:r>
      <w:r w:rsidRPr="00053341">
        <w:rPr>
          <w:vertAlign w:val="superscript"/>
        </w:rPr>
        <w:t xml:space="preserve">    </w:t>
      </w:r>
      <w:r w:rsidRPr="00053341">
        <w:t>Thoracic Service, Department of Surgery, Memorial Sloan Kettering Cancer Center, New York, New York</w:t>
      </w:r>
      <w:r>
        <w:t>, NY 10065, USA</w:t>
      </w:r>
      <w:r w:rsidRPr="00053341">
        <w:t>.</w:t>
      </w:r>
    </w:p>
    <w:p w:rsidR="00724B59" w:rsidRPr="00C716B3" w:rsidRDefault="00724B59" w:rsidP="00724B59">
      <w:pPr>
        <w:jc w:val="center"/>
      </w:pPr>
      <w:r w:rsidRPr="00C716B3">
        <w:rPr>
          <w:vertAlign w:val="superscript"/>
        </w:rPr>
        <w:t>10</w:t>
      </w:r>
      <w:r>
        <w:t>Department of Pathology, Memorial Sloan Kettering Cancer Center, New York, NY 10065, USA.</w:t>
      </w:r>
    </w:p>
    <w:p w:rsidR="00724B59" w:rsidRPr="00C716B3" w:rsidRDefault="00724B59" w:rsidP="00724B59">
      <w:pPr>
        <w:jc w:val="center"/>
      </w:pPr>
      <w:r w:rsidRPr="00C716B3">
        <w:rPr>
          <w:vertAlign w:val="superscript"/>
        </w:rPr>
        <w:lastRenderedPageBreak/>
        <w:t>11</w:t>
      </w:r>
      <w:r w:rsidRPr="00C716B3">
        <w:t xml:space="preserve">Thoracic Oncology Service, Department of Medicine, Memorial Sloan Kettering Cancer Center and Weill Cornell Medical College, New York, NY 10065, USA </w:t>
      </w:r>
    </w:p>
    <w:p w:rsidR="00724B59" w:rsidRPr="00C716B3" w:rsidRDefault="00724B59" w:rsidP="00724B59"/>
    <w:p w:rsidR="00724B59" w:rsidRPr="00C716B3" w:rsidRDefault="00724B59" w:rsidP="00724B59">
      <w:pPr>
        <w:autoSpaceDE w:val="0"/>
        <w:autoSpaceDN w:val="0"/>
        <w:adjustRightInd w:val="0"/>
        <w:spacing w:after="0" w:line="240" w:lineRule="auto"/>
      </w:pPr>
      <w:r w:rsidRPr="00C716B3">
        <w:t>* These authors contributed equally to this work.</w:t>
      </w:r>
    </w:p>
    <w:p w:rsidR="00A80957" w:rsidRDefault="00724B59" w:rsidP="00724B59">
      <w:r w:rsidRPr="00C716B3">
        <w:t xml:space="preserve"># </w:t>
      </w:r>
      <w:proofErr w:type="gramStart"/>
      <w:r w:rsidRPr="00C716B3">
        <w:t>Corresponding</w:t>
      </w:r>
      <w:proofErr w:type="gramEnd"/>
      <w:r w:rsidRPr="00C716B3">
        <w:t xml:space="preserve"> authors</w:t>
      </w:r>
    </w:p>
    <w:p w:rsidR="00A80957" w:rsidRDefault="00A80957"/>
    <w:p w:rsidR="00F72CA8" w:rsidRDefault="00F72CA8"/>
    <w:p w:rsidR="00724B59" w:rsidRDefault="00724B59">
      <w:r>
        <w:br w:type="page"/>
      </w:r>
    </w:p>
    <w:p w:rsidR="00F72CA8" w:rsidRDefault="005640B6">
      <w:r w:rsidRPr="005640B6">
        <w:rPr>
          <w:b/>
          <w:noProof/>
        </w:rPr>
        <w:lastRenderedPageBreak/>
        <w:t>Supplementary Figure S1</w:t>
      </w:r>
      <w:r w:rsidR="00051D61" w:rsidRPr="00051D61">
        <w:rPr>
          <w:noProof/>
        </w:rPr>
        <w:drawing>
          <wp:inline distT="0" distB="0" distL="0" distR="0">
            <wp:extent cx="5943600" cy="340888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08883"/>
                    </a:xfrm>
                    <a:prstGeom prst="rect">
                      <a:avLst/>
                    </a:prstGeom>
                    <a:noFill/>
                    <a:ln>
                      <a:noFill/>
                    </a:ln>
                  </pic:spPr>
                </pic:pic>
              </a:graphicData>
            </a:graphic>
          </wp:inline>
        </w:drawing>
      </w:r>
    </w:p>
    <w:p w:rsidR="00F72CA8" w:rsidRDefault="00F72CA8"/>
    <w:p w:rsidR="0053532B" w:rsidRPr="00C53137" w:rsidRDefault="0053532B" w:rsidP="00C53137">
      <w:pPr>
        <w:jc w:val="both"/>
      </w:pPr>
      <w:proofErr w:type="gramStart"/>
      <w:r w:rsidRPr="0053532B">
        <w:rPr>
          <w:b/>
        </w:rPr>
        <w:t>ctDNA</w:t>
      </w:r>
      <w:proofErr w:type="gramEnd"/>
      <w:r w:rsidRPr="0053532B">
        <w:rPr>
          <w:b/>
        </w:rPr>
        <w:t xml:space="preserve"> clonal dynamics during anti-PD1 for patients with </w:t>
      </w:r>
      <w:r w:rsidR="00C53137">
        <w:rPr>
          <w:b/>
        </w:rPr>
        <w:t>a</w:t>
      </w:r>
      <w:r w:rsidRPr="0053532B">
        <w:rPr>
          <w:b/>
        </w:rPr>
        <w:t xml:space="preserve"> clinical response.</w:t>
      </w:r>
      <w:r w:rsidR="00C53137">
        <w:rPr>
          <w:b/>
        </w:rPr>
        <w:t xml:space="preserve"> </w:t>
      </w:r>
      <w:r w:rsidR="00051D61">
        <w:t xml:space="preserve">For patients with a molecular response, </w:t>
      </w:r>
      <w:r w:rsidR="00C53137" w:rsidRPr="00C53137">
        <w:t>ctDNA levels decreased to undetectable leve</w:t>
      </w:r>
      <w:r w:rsidR="00C53137">
        <w:t>ls early after anti-PD1 therapy initiation</w:t>
      </w:r>
      <w:r w:rsidR="00051D61">
        <w:t xml:space="preserve"> </w:t>
      </w:r>
      <w:r w:rsidR="00051D61" w:rsidRPr="00051D61">
        <w:rPr>
          <w:b/>
        </w:rPr>
        <w:t>(A-H)</w:t>
      </w:r>
      <w:r w:rsidR="00C53137">
        <w:t xml:space="preserve">, followed by a rise in levels of tumor specific variants at the time of </w:t>
      </w:r>
      <w:r w:rsidR="00051D61">
        <w:t xml:space="preserve">molecular </w:t>
      </w:r>
      <w:r w:rsidR="00C53137">
        <w:t xml:space="preserve">acquired resistance </w:t>
      </w:r>
      <w:r w:rsidR="00C53137" w:rsidRPr="009C64FA">
        <w:rPr>
          <w:b/>
        </w:rPr>
        <w:t>(A</w:t>
      </w:r>
      <w:r w:rsidR="00051D61">
        <w:rPr>
          <w:b/>
        </w:rPr>
        <w:t>, C, F, G</w:t>
      </w:r>
      <w:r w:rsidR="00C53137" w:rsidRPr="009C64FA">
        <w:rPr>
          <w:b/>
        </w:rPr>
        <w:t>)</w:t>
      </w:r>
      <w:r w:rsidR="00C53137">
        <w:t>. For CGLU135, where baseline blood was not available for analysis, ctDNA levels rose at the time of acquired resistance compared to the time of response</w:t>
      </w:r>
      <w:r w:rsidR="009A6C94">
        <w:t xml:space="preserve"> </w:t>
      </w:r>
      <w:r w:rsidR="009A6C94" w:rsidRPr="009C64FA">
        <w:rPr>
          <w:b/>
        </w:rPr>
        <w:t>(</w:t>
      </w:r>
      <w:r w:rsidR="00051D61">
        <w:rPr>
          <w:b/>
        </w:rPr>
        <w:t>B</w:t>
      </w:r>
      <w:r w:rsidR="009A6C94" w:rsidRPr="009C64FA">
        <w:rPr>
          <w:b/>
        </w:rPr>
        <w:t>)</w:t>
      </w:r>
      <w:r w:rsidR="00C53137">
        <w:t xml:space="preserve">. </w:t>
      </w:r>
      <w:r w:rsidR="00051D61">
        <w:t xml:space="preserve">Changes in RECIST tumor burden, shown on the secondary vertical axis of each graph, indicated stable disease for the majority of molecular responders and were therefore not reflective of each patient’s clinical benefit from immune checkpoint blockade. </w:t>
      </w:r>
      <w:r w:rsidR="00C53137">
        <w:t>These tumors harbored a wide range of sequence alterations (TMB; 50-</w:t>
      </w:r>
      <w:r w:rsidR="00051D61">
        <w:t>846</w:t>
      </w:r>
      <w:r w:rsidR="00C53137">
        <w:t xml:space="preserve">) indicating that TMB alone may be </w:t>
      </w:r>
      <w:r w:rsidR="00E960A3">
        <w:t>not sufficient to predict response.</w:t>
      </w:r>
      <w:r w:rsidR="00C53137">
        <w:t xml:space="preserve"> </w:t>
      </w:r>
      <w:r w:rsidR="00051D61">
        <w:t xml:space="preserve">MAF; mutant allele fraction, SLD; sum of longest diameters, TMB; tumor mutation burden, PFS; progression-free survival, OS; overall survival. </w:t>
      </w:r>
      <w:r w:rsidR="00C53137">
        <w:t xml:space="preserve">  </w:t>
      </w:r>
      <w:r w:rsidRPr="00C53137">
        <w:t xml:space="preserve"> </w:t>
      </w:r>
    </w:p>
    <w:p w:rsidR="0053532B" w:rsidRDefault="0053532B">
      <w:pPr>
        <w:rPr>
          <w:b/>
        </w:rPr>
      </w:pPr>
      <w:r>
        <w:rPr>
          <w:b/>
        </w:rPr>
        <w:br w:type="page"/>
      </w:r>
    </w:p>
    <w:p w:rsidR="0053532B" w:rsidRDefault="005640B6" w:rsidP="0053532B">
      <w:pPr>
        <w:rPr>
          <w:b/>
        </w:rPr>
      </w:pPr>
      <w:r w:rsidRPr="005640B6">
        <w:rPr>
          <w:b/>
          <w:noProof/>
        </w:rPr>
        <w:lastRenderedPageBreak/>
        <w:t>Supplementary Figure S2</w:t>
      </w:r>
      <w:r w:rsidR="00F835D1" w:rsidRPr="00F835D1">
        <w:rPr>
          <w:noProof/>
        </w:rPr>
        <w:drawing>
          <wp:inline distT="0" distB="0" distL="0" distR="0">
            <wp:extent cx="5943600" cy="333278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32787"/>
                    </a:xfrm>
                    <a:prstGeom prst="rect">
                      <a:avLst/>
                    </a:prstGeom>
                    <a:noFill/>
                    <a:ln>
                      <a:noFill/>
                    </a:ln>
                  </pic:spPr>
                </pic:pic>
              </a:graphicData>
            </a:graphic>
          </wp:inline>
        </w:drawing>
      </w:r>
    </w:p>
    <w:p w:rsidR="00A26AAA" w:rsidRPr="00C53137" w:rsidRDefault="0053532B" w:rsidP="00A26AAA">
      <w:pPr>
        <w:jc w:val="both"/>
      </w:pPr>
      <w:proofErr w:type="gramStart"/>
      <w:r w:rsidRPr="0053532B">
        <w:rPr>
          <w:b/>
        </w:rPr>
        <w:t>ctDNA</w:t>
      </w:r>
      <w:proofErr w:type="gramEnd"/>
      <w:r w:rsidRPr="0053532B">
        <w:rPr>
          <w:b/>
        </w:rPr>
        <w:t xml:space="preserve"> clonal dynamics during anti-PD1 for patients with </w:t>
      </w:r>
      <w:r w:rsidR="00F835D1">
        <w:rPr>
          <w:b/>
        </w:rPr>
        <w:t xml:space="preserve">molecular </w:t>
      </w:r>
      <w:r w:rsidR="00421FC5">
        <w:rPr>
          <w:b/>
        </w:rPr>
        <w:t xml:space="preserve">primary </w:t>
      </w:r>
      <w:r>
        <w:rPr>
          <w:b/>
        </w:rPr>
        <w:t>resistance</w:t>
      </w:r>
      <w:r w:rsidRPr="0053532B">
        <w:rPr>
          <w:b/>
        </w:rPr>
        <w:t xml:space="preserve">. </w:t>
      </w:r>
      <w:proofErr w:type="gramStart"/>
      <w:r w:rsidR="009A6C94" w:rsidRPr="009A6C94">
        <w:t>ctDNA</w:t>
      </w:r>
      <w:proofErr w:type="gramEnd"/>
      <w:r w:rsidR="009A6C94" w:rsidRPr="009A6C94">
        <w:t xml:space="preserve"> levels continued to rise or showed no significant changes from baseline for </w:t>
      </w:r>
      <w:r w:rsidR="00421FC5">
        <w:t xml:space="preserve">molecular non-responders </w:t>
      </w:r>
      <w:r w:rsidR="009A6C94" w:rsidRPr="009C64FA">
        <w:rPr>
          <w:b/>
        </w:rPr>
        <w:t>(A-</w:t>
      </w:r>
      <w:r w:rsidR="00421FC5">
        <w:rPr>
          <w:b/>
        </w:rPr>
        <w:t>I</w:t>
      </w:r>
      <w:r w:rsidR="009A6C94" w:rsidRPr="009C64FA">
        <w:rPr>
          <w:b/>
        </w:rPr>
        <w:t>)</w:t>
      </w:r>
      <w:r w:rsidR="009A6C94">
        <w:t xml:space="preserve">. Detection of ctDNA molecular </w:t>
      </w:r>
      <w:r w:rsidR="00421FC5">
        <w:t>resistance</w:t>
      </w:r>
      <w:r w:rsidR="009A6C94">
        <w:t xml:space="preserve"> </w:t>
      </w:r>
      <w:r w:rsidR="00421FC5">
        <w:t>preceded</w:t>
      </w:r>
      <w:r w:rsidR="009A6C94">
        <w:t xml:space="preserve"> disease progression determined by RECIST </w:t>
      </w:r>
      <w:r w:rsidR="00421FC5">
        <w:t>response assessments</w:t>
      </w:r>
      <w:r w:rsidR="009A6C94">
        <w:t xml:space="preserve"> </w:t>
      </w:r>
      <w:r w:rsidR="00421FC5">
        <w:t xml:space="preserve">by an average of 5.5 weeks. </w:t>
      </w:r>
      <w:r w:rsidR="00A26AAA">
        <w:t xml:space="preserve">Tumor mutation burden </w:t>
      </w:r>
      <w:r w:rsidR="009A6C94">
        <w:t>did not accurately predict response as a high mutation burden was observed for patient</w:t>
      </w:r>
      <w:r w:rsidR="00090A91">
        <w:t>s</w:t>
      </w:r>
      <w:r w:rsidR="009A6C94">
        <w:t xml:space="preserve"> </w:t>
      </w:r>
      <w:r w:rsidR="00A26AAA">
        <w:t xml:space="preserve">CGLU117, </w:t>
      </w:r>
      <w:r w:rsidR="009A6C94">
        <w:t>CGLU115</w:t>
      </w:r>
      <w:r w:rsidR="00A26AAA">
        <w:t xml:space="preserve">, </w:t>
      </w:r>
      <w:r w:rsidR="00090A91">
        <w:t>CGLU162</w:t>
      </w:r>
      <w:r w:rsidR="00A26AAA">
        <w:t xml:space="preserve"> and CGLU348</w:t>
      </w:r>
      <w:r w:rsidR="009A6C94">
        <w:t xml:space="preserve"> </w:t>
      </w:r>
      <w:r w:rsidR="009A6C94" w:rsidRPr="009C64FA">
        <w:rPr>
          <w:b/>
        </w:rPr>
        <w:t>(</w:t>
      </w:r>
      <w:r w:rsidR="00A26AAA">
        <w:rPr>
          <w:b/>
        </w:rPr>
        <w:t>A, C, G, I</w:t>
      </w:r>
      <w:r w:rsidR="009A6C94" w:rsidRPr="009C64FA">
        <w:rPr>
          <w:b/>
        </w:rPr>
        <w:t>)</w:t>
      </w:r>
      <w:r w:rsidR="009A6C94">
        <w:t xml:space="preserve">. </w:t>
      </w:r>
      <w:r w:rsidR="00A26AAA">
        <w:t xml:space="preserve">MAF; mutant allele fraction, SLD; sum of longest diameters, TMB; tumor mutation burden, PFS; progression-free survival, OS; overall survival.   </w:t>
      </w:r>
      <w:r w:rsidR="00A26AAA" w:rsidRPr="00C53137">
        <w:t xml:space="preserve"> </w:t>
      </w:r>
    </w:p>
    <w:p w:rsidR="0053532B" w:rsidRPr="009A6C94" w:rsidRDefault="0053532B" w:rsidP="009A6C94">
      <w:pPr>
        <w:jc w:val="both"/>
      </w:pPr>
    </w:p>
    <w:p w:rsidR="0053532B" w:rsidRDefault="0053532B">
      <w:pPr>
        <w:rPr>
          <w:b/>
        </w:rPr>
      </w:pPr>
      <w:r>
        <w:rPr>
          <w:b/>
        </w:rPr>
        <w:br w:type="page"/>
      </w:r>
    </w:p>
    <w:p w:rsidR="00320F54" w:rsidRPr="005640B6" w:rsidRDefault="005640B6" w:rsidP="0053532B">
      <w:pPr>
        <w:rPr>
          <w:b/>
        </w:rPr>
      </w:pPr>
      <w:r w:rsidRPr="005640B6">
        <w:rPr>
          <w:b/>
          <w:noProof/>
        </w:rPr>
        <w:lastRenderedPageBreak/>
        <w:t>Supplementary Figure S3</w:t>
      </w:r>
    </w:p>
    <w:p w:rsidR="005640B6" w:rsidRDefault="005640B6" w:rsidP="00090A91">
      <w:pPr>
        <w:jc w:val="both"/>
        <w:rPr>
          <w:b/>
        </w:rPr>
      </w:pPr>
      <w:r w:rsidRPr="00A26AAA">
        <w:rPr>
          <w:noProof/>
        </w:rPr>
        <w:drawing>
          <wp:inline distT="0" distB="0" distL="0" distR="0" wp14:anchorId="2C688A4B" wp14:editId="418E1D10">
            <wp:extent cx="3840480" cy="23572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357258"/>
                    </a:xfrm>
                    <a:prstGeom prst="rect">
                      <a:avLst/>
                    </a:prstGeom>
                    <a:noFill/>
                    <a:ln>
                      <a:noFill/>
                    </a:ln>
                  </pic:spPr>
                </pic:pic>
              </a:graphicData>
            </a:graphic>
          </wp:inline>
        </w:drawing>
      </w:r>
    </w:p>
    <w:p w:rsidR="0053532B" w:rsidRPr="0053532B" w:rsidRDefault="0053532B" w:rsidP="00090A91">
      <w:pPr>
        <w:jc w:val="both"/>
        <w:rPr>
          <w:b/>
        </w:rPr>
      </w:pPr>
      <w:proofErr w:type="gramStart"/>
      <w:r w:rsidRPr="0053532B">
        <w:rPr>
          <w:b/>
        </w:rPr>
        <w:t>ctDNA</w:t>
      </w:r>
      <w:proofErr w:type="gramEnd"/>
      <w:r w:rsidRPr="0053532B">
        <w:rPr>
          <w:b/>
        </w:rPr>
        <w:t xml:space="preserve"> </w:t>
      </w:r>
      <w:r w:rsidR="00A26AAA">
        <w:rPr>
          <w:b/>
        </w:rPr>
        <w:t xml:space="preserve">molecular responses precede radiologic responses. </w:t>
      </w:r>
      <w:r w:rsidR="00320F54" w:rsidRPr="00320F54">
        <w:t>Detection of molecular response</w:t>
      </w:r>
      <w:r w:rsidR="00A26AAA">
        <w:t>s</w:t>
      </w:r>
      <w:r w:rsidR="00320F54" w:rsidRPr="00320F54">
        <w:t xml:space="preserve"> was achieved within </w:t>
      </w:r>
      <w:r w:rsidR="00A26AAA">
        <w:t>6.7 weeks, on</w:t>
      </w:r>
      <w:r w:rsidR="00A26AAA" w:rsidRPr="00A26AAA">
        <w:t xml:space="preserve"> average 8.7 weeks earlier than conventional RECIST1.1 response assessment</w:t>
      </w:r>
      <w:r w:rsidR="00A26AAA">
        <w:t>s</w:t>
      </w:r>
      <w:r w:rsidR="00A26AAA" w:rsidRPr="00A26AAA">
        <w:t xml:space="preserve"> (6.7 vs 15.4 weeks, p=0.004</w:t>
      </w:r>
      <w:r w:rsidR="00A26AAA">
        <w:t>).</w:t>
      </w:r>
      <w:r w:rsidR="0001020C">
        <w:t xml:space="preserve"> Patient CGLU337 </w:t>
      </w:r>
      <w:proofErr w:type="gramStart"/>
      <w:r w:rsidR="0001020C">
        <w:t>was excluded</w:t>
      </w:r>
      <w:proofErr w:type="gramEnd"/>
      <w:r w:rsidR="0001020C">
        <w:t xml:space="preserve"> from this graph, as we could not determine time to best response by radiologic imaging. </w:t>
      </w:r>
      <w:r w:rsidR="00A26AAA">
        <w:t xml:space="preserve"> </w:t>
      </w:r>
      <w:r w:rsidR="00320F54">
        <w:rPr>
          <w:b/>
        </w:rPr>
        <w:t xml:space="preserve">  </w:t>
      </w:r>
    </w:p>
    <w:p w:rsidR="000D2058" w:rsidRDefault="000D2058">
      <w:pPr>
        <w:rPr>
          <w:b/>
        </w:rPr>
      </w:pPr>
      <w:r>
        <w:rPr>
          <w:b/>
        </w:rPr>
        <w:br w:type="page"/>
      </w:r>
    </w:p>
    <w:p w:rsidR="000D2058" w:rsidRPr="0053532B" w:rsidRDefault="005640B6" w:rsidP="000D2058">
      <w:pPr>
        <w:rPr>
          <w:b/>
        </w:rPr>
      </w:pPr>
      <w:r w:rsidRPr="005640B6">
        <w:rPr>
          <w:b/>
          <w:noProof/>
        </w:rPr>
        <w:lastRenderedPageBreak/>
        <w:t>Supplementary Figure S4</w:t>
      </w:r>
      <w:r w:rsidR="00A26AAA" w:rsidRPr="00A26AAA">
        <w:rPr>
          <w:noProof/>
        </w:rPr>
        <w:drawing>
          <wp:inline distT="0" distB="0" distL="0" distR="0">
            <wp:extent cx="5943600" cy="201800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18004"/>
                    </a:xfrm>
                    <a:prstGeom prst="rect">
                      <a:avLst/>
                    </a:prstGeom>
                    <a:noFill/>
                    <a:ln>
                      <a:noFill/>
                    </a:ln>
                  </pic:spPr>
                </pic:pic>
              </a:graphicData>
            </a:graphic>
          </wp:inline>
        </w:drawing>
      </w:r>
    </w:p>
    <w:p w:rsidR="00810785" w:rsidRDefault="00A26AAA" w:rsidP="001870D4">
      <w:pPr>
        <w:jc w:val="both"/>
      </w:pPr>
      <w:r>
        <w:rPr>
          <w:b/>
        </w:rPr>
        <w:t xml:space="preserve">Molecular responses correlate with a favorable prognosis. </w:t>
      </w:r>
      <w:r w:rsidRPr="00A26AAA">
        <w:t>Patients</w:t>
      </w:r>
      <w:r>
        <w:t xml:space="preserve"> with a molecular response had a longer progression-free </w:t>
      </w:r>
      <w:r w:rsidRPr="00810785">
        <w:rPr>
          <w:b/>
        </w:rPr>
        <w:t>(A)</w:t>
      </w:r>
      <w:r>
        <w:t xml:space="preserve"> overall survival </w:t>
      </w:r>
      <w:r w:rsidRPr="00810785">
        <w:rPr>
          <w:b/>
        </w:rPr>
        <w:t>(B)</w:t>
      </w:r>
      <w:r>
        <w:t xml:space="preserve"> compared to molecular non-responders (Mann Whitney P=0.002 and P=0.008 respectively). </w:t>
      </w:r>
    </w:p>
    <w:p w:rsidR="00810785" w:rsidRDefault="00810785">
      <w:r>
        <w:br w:type="page"/>
      </w:r>
    </w:p>
    <w:p w:rsidR="00810785" w:rsidRDefault="005640B6" w:rsidP="005640B6">
      <w:r w:rsidRPr="005640B6">
        <w:rPr>
          <w:b/>
          <w:noProof/>
        </w:rPr>
        <w:lastRenderedPageBreak/>
        <w:t>Supplementary Figure S5</w:t>
      </w:r>
      <w:r w:rsidR="00810785" w:rsidRPr="00810785">
        <w:rPr>
          <w:noProof/>
        </w:rPr>
        <w:drawing>
          <wp:inline distT="0" distB="0" distL="0" distR="0">
            <wp:extent cx="5943600" cy="1996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96024"/>
                    </a:xfrm>
                    <a:prstGeom prst="rect">
                      <a:avLst/>
                    </a:prstGeom>
                    <a:noFill/>
                    <a:ln>
                      <a:noFill/>
                    </a:ln>
                  </pic:spPr>
                </pic:pic>
              </a:graphicData>
            </a:graphic>
          </wp:inline>
        </w:drawing>
      </w:r>
    </w:p>
    <w:p w:rsidR="007B432A" w:rsidRDefault="00810785" w:rsidP="00810785">
      <w:pPr>
        <w:jc w:val="both"/>
      </w:pPr>
      <w:r w:rsidRPr="00810785">
        <w:rPr>
          <w:b/>
        </w:rPr>
        <w:t>Duration of molecular response correlates with progression-free and overall survival.</w:t>
      </w:r>
      <w:r>
        <w:t xml:space="preserve"> </w:t>
      </w:r>
      <w:r w:rsidRPr="00810785">
        <w:t xml:space="preserve">Minimum duration of molecular response was retrieved for </w:t>
      </w:r>
      <w:proofErr w:type="gramStart"/>
      <w:r w:rsidRPr="00810785">
        <w:t>7</w:t>
      </w:r>
      <w:proofErr w:type="gramEnd"/>
      <w:r w:rsidRPr="00810785">
        <w:t xml:space="preserve"> patients who achieved a molecular response but ultimately developed acquired resistance. Duration of molecular response highly cor</w:t>
      </w:r>
      <w:r>
        <w:t xml:space="preserve">related with progression-free </w:t>
      </w:r>
      <w:r w:rsidRPr="00810785">
        <w:rPr>
          <w:b/>
        </w:rPr>
        <w:t>(A)</w:t>
      </w:r>
      <w:r w:rsidRPr="00810785">
        <w:t xml:space="preserve"> and overall survival </w:t>
      </w:r>
      <w:r w:rsidRPr="00810785">
        <w:rPr>
          <w:b/>
        </w:rPr>
        <w:t>(B)</w:t>
      </w:r>
      <w:r w:rsidRPr="00810785">
        <w:t xml:space="preserve"> for these patients (</w:t>
      </w:r>
      <w:r>
        <w:t xml:space="preserve">Pearson’s coefficient </w:t>
      </w:r>
      <w:r w:rsidRPr="00810785">
        <w:t>R</w:t>
      </w:r>
      <w:r w:rsidRPr="00810785">
        <w:rPr>
          <w:vertAlign w:val="superscript"/>
        </w:rPr>
        <w:t>2</w:t>
      </w:r>
      <w:r w:rsidRPr="00810785">
        <w:t>=0.86 and R</w:t>
      </w:r>
      <w:r w:rsidRPr="00810785">
        <w:rPr>
          <w:vertAlign w:val="superscript"/>
        </w:rPr>
        <w:t>2</w:t>
      </w:r>
      <w:r w:rsidRPr="00810785">
        <w:t xml:space="preserve">=0.92 respectively). </w:t>
      </w:r>
    </w:p>
    <w:p w:rsidR="007B432A" w:rsidRDefault="007B432A">
      <w:r>
        <w:br w:type="page"/>
      </w:r>
    </w:p>
    <w:p w:rsidR="007B432A" w:rsidRPr="005640B6" w:rsidRDefault="005640B6" w:rsidP="00810785">
      <w:pPr>
        <w:jc w:val="both"/>
        <w:rPr>
          <w:b/>
        </w:rPr>
      </w:pPr>
      <w:r w:rsidRPr="005640B6">
        <w:rPr>
          <w:b/>
          <w:noProof/>
        </w:rPr>
        <w:lastRenderedPageBreak/>
        <w:t>Supplementary Figure S6</w:t>
      </w:r>
    </w:p>
    <w:p w:rsidR="005640B6" w:rsidRDefault="005640B6" w:rsidP="00810785">
      <w:pPr>
        <w:jc w:val="both"/>
        <w:rPr>
          <w:b/>
        </w:rPr>
      </w:pPr>
      <w:r w:rsidRPr="007B432A">
        <w:rPr>
          <w:noProof/>
        </w:rPr>
        <w:drawing>
          <wp:inline distT="0" distB="0" distL="0" distR="0" wp14:anchorId="2A98647B" wp14:editId="33538598">
            <wp:extent cx="3383280" cy="2449929"/>
            <wp:effectExtent l="0" t="0" r="762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3280" cy="2449929"/>
                    </a:xfrm>
                    <a:prstGeom prst="rect">
                      <a:avLst/>
                    </a:prstGeom>
                    <a:noFill/>
                    <a:ln>
                      <a:noFill/>
                    </a:ln>
                  </pic:spPr>
                </pic:pic>
              </a:graphicData>
            </a:graphic>
          </wp:inline>
        </w:drawing>
      </w:r>
    </w:p>
    <w:p w:rsidR="005D6523" w:rsidRDefault="007B432A" w:rsidP="00810785">
      <w:pPr>
        <w:jc w:val="both"/>
      </w:pPr>
      <w:r w:rsidRPr="007B432A">
        <w:rPr>
          <w:b/>
        </w:rPr>
        <w:t>Disease prognostication by radiologic imaging at first assessment.</w:t>
      </w:r>
      <w:r>
        <w:t xml:space="preserve"> Patients with partial response had a longer overall survival compared to patients with stable disease and progressive disease (log rank P=0.04).  The disease prognostication by imaging was inferior to molecular response assessments. PR; partial response, SD; stable disease, PD; disease progression. </w:t>
      </w:r>
    </w:p>
    <w:p w:rsidR="005D6523" w:rsidRDefault="005D6523">
      <w:r>
        <w:br w:type="page"/>
      </w:r>
    </w:p>
    <w:p w:rsidR="005D6523" w:rsidRPr="005640B6" w:rsidRDefault="005640B6" w:rsidP="00810785">
      <w:pPr>
        <w:jc w:val="both"/>
        <w:rPr>
          <w:b/>
        </w:rPr>
      </w:pPr>
      <w:r w:rsidRPr="005640B6">
        <w:rPr>
          <w:b/>
          <w:noProof/>
        </w:rPr>
        <w:lastRenderedPageBreak/>
        <w:t>Supplementary Figure S7</w:t>
      </w:r>
    </w:p>
    <w:p w:rsidR="005640B6" w:rsidRDefault="005640B6" w:rsidP="00810785">
      <w:pPr>
        <w:jc w:val="both"/>
        <w:rPr>
          <w:b/>
        </w:rPr>
      </w:pPr>
      <w:r w:rsidRPr="005D6523">
        <w:rPr>
          <w:noProof/>
        </w:rPr>
        <w:drawing>
          <wp:inline distT="0" distB="0" distL="0" distR="0" wp14:anchorId="27658278" wp14:editId="7C4B03AA">
            <wp:extent cx="3383280" cy="2429439"/>
            <wp:effectExtent l="0" t="0" r="762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3280" cy="2429439"/>
                    </a:xfrm>
                    <a:prstGeom prst="rect">
                      <a:avLst/>
                    </a:prstGeom>
                    <a:noFill/>
                    <a:ln>
                      <a:noFill/>
                    </a:ln>
                  </pic:spPr>
                </pic:pic>
              </a:graphicData>
            </a:graphic>
          </wp:inline>
        </w:drawing>
      </w:r>
    </w:p>
    <w:p w:rsidR="00065D43" w:rsidRDefault="005D6523" w:rsidP="00810785">
      <w:pPr>
        <w:jc w:val="both"/>
      </w:pPr>
      <w:r w:rsidRPr="005D6523">
        <w:rPr>
          <w:b/>
        </w:rPr>
        <w:t>Differential clinical outcome by molecular responses in patients with radiologically stable disease.</w:t>
      </w:r>
      <w:r>
        <w:t xml:space="preserve"> Patients with stable disease (n=12) were more accurately classified in terms of clinical outcome based on their molecular response pattern. Within this group, patients with a molecular response (n=5) had a significantly longer progression-free survival compared to molecular non-responders (n=</w:t>
      </w:r>
      <w:proofErr w:type="gramStart"/>
      <w:r>
        <w:t>7</w:t>
      </w:r>
      <w:proofErr w:type="gramEnd"/>
      <w:r>
        <w:t xml:space="preserve">; log rank P=0.01). </w:t>
      </w:r>
    </w:p>
    <w:p w:rsidR="00065D43" w:rsidRDefault="00065D43">
      <w:r>
        <w:br w:type="page"/>
      </w:r>
    </w:p>
    <w:p w:rsidR="000D2058" w:rsidRPr="0053532B" w:rsidRDefault="005640B6" w:rsidP="000D2058">
      <w:pPr>
        <w:rPr>
          <w:b/>
        </w:rPr>
      </w:pPr>
      <w:r w:rsidRPr="005640B6">
        <w:rPr>
          <w:b/>
          <w:noProof/>
        </w:rPr>
        <w:lastRenderedPageBreak/>
        <w:t>Supplementary Figure S8</w:t>
      </w:r>
      <w:r w:rsidR="00065D43" w:rsidRPr="00065D43">
        <w:rPr>
          <w:noProof/>
        </w:rPr>
        <w:drawing>
          <wp:inline distT="0" distB="0" distL="0" distR="0">
            <wp:extent cx="5943600" cy="2106588"/>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06588"/>
                    </a:xfrm>
                    <a:prstGeom prst="rect">
                      <a:avLst/>
                    </a:prstGeom>
                    <a:noFill/>
                    <a:ln>
                      <a:noFill/>
                    </a:ln>
                  </pic:spPr>
                </pic:pic>
              </a:graphicData>
            </a:graphic>
          </wp:inline>
        </w:drawing>
      </w:r>
    </w:p>
    <w:p w:rsidR="000D2058" w:rsidRPr="006F4FC9" w:rsidRDefault="000D2058" w:rsidP="006F4FC9">
      <w:pPr>
        <w:jc w:val="both"/>
      </w:pPr>
      <w:r>
        <w:rPr>
          <w:b/>
        </w:rPr>
        <w:t xml:space="preserve">Disease prognostication by tumor mutation burden. </w:t>
      </w:r>
      <w:r w:rsidR="006F4FC9" w:rsidRPr="006F4FC9">
        <w:t xml:space="preserve">Patients with higher </w:t>
      </w:r>
      <w:r w:rsidR="00065D43">
        <w:t>tumor mutation burden (T</w:t>
      </w:r>
      <w:r w:rsidR="006F4FC9" w:rsidRPr="006F4FC9">
        <w:t>MB</w:t>
      </w:r>
      <w:r w:rsidR="00065D43">
        <w:t>)</w:t>
      </w:r>
      <w:r w:rsidR="006F4FC9" w:rsidRPr="006F4FC9">
        <w:t xml:space="preserve"> had a marginally longer PFS (</w:t>
      </w:r>
      <w:r w:rsidR="00065D43" w:rsidRPr="00065D43">
        <w:rPr>
          <w:b/>
        </w:rPr>
        <w:t>A</w:t>
      </w:r>
      <w:r w:rsidR="006F4FC9" w:rsidRPr="006F4FC9">
        <w:t>, log rank p=0.0</w:t>
      </w:r>
      <w:r w:rsidR="00065D43">
        <w:t>63</w:t>
      </w:r>
      <w:r w:rsidR="006F4FC9" w:rsidRPr="006F4FC9">
        <w:t>) and significantly longer overall survival compared to tumors with low TMB (</w:t>
      </w:r>
      <w:r w:rsidR="00065D43" w:rsidRPr="00065D43">
        <w:rPr>
          <w:b/>
        </w:rPr>
        <w:t>B</w:t>
      </w:r>
      <w:r w:rsidR="006F4FC9" w:rsidRPr="006F4FC9">
        <w:t>, log rank p=0.0</w:t>
      </w:r>
      <w:r w:rsidR="00065D43">
        <w:t>27</w:t>
      </w:r>
      <w:r w:rsidR="006F4FC9" w:rsidRPr="006F4FC9">
        <w:t xml:space="preserve">). </w:t>
      </w:r>
    </w:p>
    <w:p w:rsidR="000D2058" w:rsidRDefault="000D2058">
      <w:pPr>
        <w:rPr>
          <w:b/>
        </w:rPr>
      </w:pPr>
      <w:r>
        <w:rPr>
          <w:b/>
        </w:rPr>
        <w:br w:type="page"/>
      </w:r>
    </w:p>
    <w:p w:rsidR="000D2058" w:rsidRPr="0053532B" w:rsidRDefault="005640B6" w:rsidP="000D2058">
      <w:pPr>
        <w:rPr>
          <w:b/>
        </w:rPr>
      </w:pPr>
      <w:r w:rsidRPr="005640B6">
        <w:rPr>
          <w:b/>
          <w:noProof/>
        </w:rPr>
        <w:lastRenderedPageBreak/>
        <w:t>Supplementary Figure S9</w:t>
      </w:r>
      <w:r w:rsidR="00A96563" w:rsidRPr="00A96563">
        <w:rPr>
          <w:noProof/>
        </w:rPr>
        <w:drawing>
          <wp:inline distT="0" distB="0" distL="0" distR="0">
            <wp:extent cx="5943600" cy="2221833"/>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21833"/>
                    </a:xfrm>
                    <a:prstGeom prst="rect">
                      <a:avLst/>
                    </a:prstGeom>
                    <a:noFill/>
                    <a:ln>
                      <a:noFill/>
                    </a:ln>
                  </pic:spPr>
                </pic:pic>
              </a:graphicData>
            </a:graphic>
          </wp:inline>
        </w:drawing>
      </w:r>
    </w:p>
    <w:p w:rsidR="00762DA1" w:rsidRDefault="00762DA1" w:rsidP="00762DA1">
      <w:pPr>
        <w:jc w:val="both"/>
      </w:pPr>
      <w:proofErr w:type="gramStart"/>
      <w:r>
        <w:rPr>
          <w:b/>
        </w:rPr>
        <w:t>ctDNA</w:t>
      </w:r>
      <w:proofErr w:type="gramEnd"/>
      <w:r>
        <w:rPr>
          <w:b/>
        </w:rPr>
        <w:t xml:space="preserve"> molecular response more accurately distinguish clinical responders from non-responders compared to clonal tumor mutation burden. </w:t>
      </w:r>
      <w:r w:rsidR="00A96563" w:rsidRPr="00A96563">
        <w:t xml:space="preserve">Patients with a molecular response (shown in green) achieved durable clinical benefit from immune checkpoint blockade compared to molecular progressors (shown in blue) independent of the clonal tumor mutation burden </w:t>
      </w:r>
      <w:r w:rsidR="00A96563" w:rsidRPr="00762DA1">
        <w:rPr>
          <w:b/>
        </w:rPr>
        <w:t>(A)</w:t>
      </w:r>
      <w:r w:rsidR="00A96563" w:rsidRPr="00A96563">
        <w:t xml:space="preserve">. Representative examples of patients with a high mutation burden with a molecular progression signature and dismal prognosis </w:t>
      </w:r>
      <w:proofErr w:type="gramStart"/>
      <w:r w:rsidR="00A96563" w:rsidRPr="00A96563">
        <w:t>are highlighted</w:t>
      </w:r>
      <w:proofErr w:type="gramEnd"/>
      <w:r w:rsidR="00A96563" w:rsidRPr="00A96563">
        <w:t xml:space="preserve"> with black arrows and vice versa, a patient with molecular response achieving durable clinical benefit despite a low tumor mutation burden is highlighted with a red arrow. Survival analysis revealed that patients with a ctDNA molecular response had a longer overall survival independent of the tumor mutation burden </w:t>
      </w:r>
      <w:r w:rsidR="00A96563" w:rsidRPr="00762DA1">
        <w:rPr>
          <w:b/>
        </w:rPr>
        <w:t>(B)</w:t>
      </w:r>
      <w:r w:rsidR="00A96563" w:rsidRPr="00A96563">
        <w:t>.</w:t>
      </w:r>
      <w:r>
        <w:t xml:space="preserve"> </w:t>
      </w:r>
      <w:proofErr w:type="spellStart"/>
      <w:proofErr w:type="gramStart"/>
      <w:r>
        <w:t>cTMB</w:t>
      </w:r>
      <w:proofErr w:type="spellEnd"/>
      <w:proofErr w:type="gramEnd"/>
      <w:r>
        <w:t xml:space="preserve">; clonal tumor mutation burden, PR; partial response, SD; stable disease, PD; disease progression. </w:t>
      </w:r>
    </w:p>
    <w:p w:rsidR="00762DA1" w:rsidRDefault="00762DA1">
      <w:r>
        <w:br w:type="page"/>
      </w:r>
    </w:p>
    <w:p w:rsidR="00762DA1" w:rsidRDefault="005640B6" w:rsidP="005640B6">
      <w:r w:rsidRPr="005640B6">
        <w:rPr>
          <w:b/>
          <w:noProof/>
        </w:rPr>
        <w:lastRenderedPageBreak/>
        <w:t>Supplementary Figure S10</w:t>
      </w:r>
      <w:r>
        <w:rPr>
          <w:noProof/>
        </w:rPr>
        <w:t xml:space="preserve"> </w:t>
      </w:r>
      <w:r w:rsidR="00762DA1" w:rsidRPr="00762DA1">
        <w:rPr>
          <w:noProof/>
        </w:rPr>
        <w:drawing>
          <wp:inline distT="0" distB="0" distL="0" distR="0">
            <wp:extent cx="5943600" cy="618705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187056"/>
                    </a:xfrm>
                    <a:prstGeom prst="rect">
                      <a:avLst/>
                    </a:prstGeom>
                    <a:noFill/>
                    <a:ln>
                      <a:noFill/>
                    </a:ln>
                  </pic:spPr>
                </pic:pic>
              </a:graphicData>
            </a:graphic>
          </wp:inline>
        </w:drawing>
      </w:r>
    </w:p>
    <w:p w:rsidR="000D2058" w:rsidRPr="00A96563" w:rsidRDefault="00762DA1" w:rsidP="00762DA1">
      <w:pPr>
        <w:jc w:val="both"/>
      </w:pPr>
      <w:r w:rsidRPr="0008289F">
        <w:rPr>
          <w:b/>
        </w:rPr>
        <w:t>Molecular responses mirror pathologic responses to anti-PD1 therapy in early stage operable NSCLC.</w:t>
      </w:r>
      <w:r>
        <w:t xml:space="preserve"> </w:t>
      </w:r>
      <w:r w:rsidR="0008289F">
        <w:t>Patients</w:t>
      </w:r>
      <w:r>
        <w:t xml:space="preserve"> with major pathologic response (&lt;10% residual tumor at the time of resection) and tumors with partial pathologic response </w:t>
      </w:r>
      <w:r w:rsidR="0008289F">
        <w:t xml:space="preserve">(&gt;30% reduction in tumor burden at the time of resection) were also identified as molecular responders by ctDNA dynamics </w:t>
      </w:r>
      <w:r w:rsidR="0008289F" w:rsidRPr="0008289F">
        <w:rPr>
          <w:b/>
        </w:rPr>
        <w:t>(A-D)</w:t>
      </w:r>
      <w:r w:rsidR="0008289F">
        <w:t xml:space="preserve">. In contrast, for a patient with 75% residual tumor at the time of resection </w:t>
      </w:r>
      <w:r w:rsidR="0008289F" w:rsidRPr="0008289F">
        <w:rPr>
          <w:b/>
        </w:rPr>
        <w:t>(E)</w:t>
      </w:r>
      <w:r w:rsidR="0008289F">
        <w:t xml:space="preserve">, ctDNA dynamics revealed an increase in levels of tumor specific mutations, consistent with a molecular and pathologic nonresponse. Radiologic imaging failed </w:t>
      </w:r>
      <w:proofErr w:type="gramStart"/>
      <w:r w:rsidR="0008289F">
        <w:t>to accurately determine</w:t>
      </w:r>
      <w:proofErr w:type="gramEnd"/>
      <w:r w:rsidR="0008289F">
        <w:t xml:space="preserve"> the therapeutic effect as an assessment of stable disease was established for all patients. RECIST tumor burden dynamics </w:t>
      </w:r>
      <w:proofErr w:type="gramStart"/>
      <w:r w:rsidR="0008289F">
        <w:t>are plotted</w:t>
      </w:r>
      <w:proofErr w:type="gramEnd"/>
      <w:r w:rsidR="0008289F">
        <w:t xml:space="preserve"> on the secondary vertical axis of each graph. Timing of anti-PD1 therapy, CT imaging and surgery </w:t>
      </w:r>
      <w:proofErr w:type="gramStart"/>
      <w:r w:rsidR="0008289F">
        <w:t>is shown</w:t>
      </w:r>
      <w:proofErr w:type="gramEnd"/>
      <w:r w:rsidR="0008289F">
        <w:t xml:space="preserve"> for each patient at the bottom of each graph. </w:t>
      </w:r>
    </w:p>
    <w:p w:rsidR="00C21A0F" w:rsidRPr="005640B6" w:rsidRDefault="005640B6" w:rsidP="00C21A0F">
      <w:pPr>
        <w:jc w:val="both"/>
        <w:rPr>
          <w:b/>
        </w:rPr>
      </w:pPr>
      <w:r w:rsidRPr="005640B6">
        <w:rPr>
          <w:b/>
          <w:noProof/>
        </w:rPr>
        <w:lastRenderedPageBreak/>
        <w:t>Supplementary Figure S11</w:t>
      </w:r>
    </w:p>
    <w:p w:rsidR="005640B6" w:rsidRDefault="005640B6" w:rsidP="00C21A0F">
      <w:pPr>
        <w:jc w:val="both"/>
        <w:rPr>
          <w:b/>
        </w:rPr>
      </w:pPr>
      <w:r w:rsidRPr="00C21A0F">
        <w:rPr>
          <w:noProof/>
        </w:rPr>
        <w:drawing>
          <wp:inline distT="0" distB="0" distL="0" distR="0" wp14:anchorId="5413F14E" wp14:editId="1C1D1382">
            <wp:extent cx="4584075" cy="5356746"/>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660" cy="5365610"/>
                    </a:xfrm>
                    <a:prstGeom prst="rect">
                      <a:avLst/>
                    </a:prstGeom>
                    <a:noFill/>
                    <a:ln>
                      <a:noFill/>
                    </a:ln>
                  </pic:spPr>
                </pic:pic>
              </a:graphicData>
            </a:graphic>
          </wp:inline>
        </w:drawing>
      </w:r>
    </w:p>
    <w:p w:rsidR="00C21A0F" w:rsidRPr="003318D7" w:rsidRDefault="00C21A0F" w:rsidP="00C21A0F">
      <w:pPr>
        <w:jc w:val="both"/>
      </w:pPr>
      <w:r w:rsidRPr="00CF6A90">
        <w:rPr>
          <w:b/>
        </w:rPr>
        <w:t>TCR clonal dynamics during response and acquired resistance to anti-PD1.</w:t>
      </w:r>
      <w:r w:rsidRPr="003318D7">
        <w:t xml:space="preserve"> Intratumoral TCR </w:t>
      </w:r>
      <w:proofErr w:type="spellStart"/>
      <w:r w:rsidRPr="003318D7">
        <w:t>clonotypic</w:t>
      </w:r>
      <w:proofErr w:type="spellEnd"/>
      <w:r w:rsidRPr="003318D7">
        <w:t xml:space="preserve"> amplifications were observed in peripheral blood at the time of radiographic response compared to baseline </w:t>
      </w:r>
      <w:r w:rsidRPr="009C64FA">
        <w:rPr>
          <w:b/>
        </w:rPr>
        <w:t xml:space="preserve">(A, </w:t>
      </w:r>
      <w:r>
        <w:rPr>
          <w:b/>
        </w:rPr>
        <w:t>C, E</w:t>
      </w:r>
      <w:r w:rsidRPr="009C64FA">
        <w:rPr>
          <w:b/>
        </w:rPr>
        <w:t>)</w:t>
      </w:r>
      <w:r w:rsidRPr="003318D7">
        <w:t xml:space="preserve"> followed by clone contraction</w:t>
      </w:r>
      <w:r>
        <w:t>s</w:t>
      </w:r>
      <w:r w:rsidRPr="003318D7">
        <w:t xml:space="preserve"> at the time of acquired resistance</w:t>
      </w:r>
      <w:r>
        <w:t xml:space="preserve"> </w:t>
      </w:r>
      <w:r w:rsidRPr="00C21A0F">
        <w:rPr>
          <w:b/>
        </w:rPr>
        <w:t>(A, E)</w:t>
      </w:r>
      <w:r w:rsidRPr="003318D7">
        <w:t xml:space="preserve">. </w:t>
      </w:r>
      <w:r>
        <w:t xml:space="preserve">For patients CGLU161 and CGLU135, where baseline blood was not available, a significant decrease in productive frequencies of intratumoral clones </w:t>
      </w:r>
      <w:proofErr w:type="gramStart"/>
      <w:r>
        <w:t>was observed</w:t>
      </w:r>
      <w:proofErr w:type="gramEnd"/>
      <w:r>
        <w:t xml:space="preserve"> in the peripheral blood at the time of acquired resistance compared to radiographic response </w:t>
      </w:r>
      <w:r w:rsidRPr="009C64FA">
        <w:rPr>
          <w:b/>
        </w:rPr>
        <w:t>(B</w:t>
      </w:r>
      <w:r>
        <w:rPr>
          <w:b/>
        </w:rPr>
        <w:t xml:space="preserve">, </w:t>
      </w:r>
      <w:r w:rsidRPr="009C64FA">
        <w:rPr>
          <w:b/>
        </w:rPr>
        <w:t>C)</w:t>
      </w:r>
      <w:r>
        <w:t xml:space="preserve">. Average productive frequencies of the statistically significant differentially abundant TCR clones are shown for each individual </w:t>
      </w:r>
      <w:proofErr w:type="gramStart"/>
      <w:r>
        <w:t>patient,</w:t>
      </w:r>
      <w:proofErr w:type="gramEnd"/>
      <w:r>
        <w:t xml:space="preserve"> error bars represent standard error of the mean. </w:t>
      </w:r>
      <w:r w:rsidRPr="003318D7">
        <w:t xml:space="preserve"> </w:t>
      </w:r>
    </w:p>
    <w:p w:rsidR="000D2058" w:rsidRDefault="000D2058" w:rsidP="000D2058">
      <w:pPr>
        <w:rPr>
          <w:b/>
        </w:rPr>
      </w:pPr>
    </w:p>
    <w:p w:rsidR="000D2058" w:rsidRDefault="000D2058">
      <w:pPr>
        <w:rPr>
          <w:b/>
        </w:rPr>
      </w:pPr>
      <w:r>
        <w:rPr>
          <w:b/>
        </w:rPr>
        <w:br w:type="page"/>
      </w:r>
    </w:p>
    <w:p w:rsidR="000D2058" w:rsidRPr="005640B6" w:rsidRDefault="005640B6" w:rsidP="000D2058">
      <w:pPr>
        <w:rPr>
          <w:b/>
        </w:rPr>
      </w:pPr>
      <w:r w:rsidRPr="005640B6">
        <w:rPr>
          <w:b/>
          <w:noProof/>
        </w:rPr>
        <w:lastRenderedPageBreak/>
        <w:t>Supplementary Figure S12</w:t>
      </w:r>
    </w:p>
    <w:p w:rsidR="005640B6" w:rsidRDefault="005640B6" w:rsidP="00530155">
      <w:pPr>
        <w:jc w:val="both"/>
        <w:rPr>
          <w:b/>
        </w:rPr>
      </w:pPr>
      <w:r w:rsidRPr="008C6697">
        <w:rPr>
          <w:noProof/>
        </w:rPr>
        <w:drawing>
          <wp:inline distT="0" distB="0" distL="0" distR="0" wp14:anchorId="5FA583E3" wp14:editId="6BC173BA">
            <wp:extent cx="4572000" cy="491728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4917286"/>
                    </a:xfrm>
                    <a:prstGeom prst="rect">
                      <a:avLst/>
                    </a:prstGeom>
                    <a:noFill/>
                    <a:ln>
                      <a:noFill/>
                    </a:ln>
                  </pic:spPr>
                </pic:pic>
              </a:graphicData>
            </a:graphic>
          </wp:inline>
        </w:drawing>
      </w:r>
    </w:p>
    <w:p w:rsidR="00530155" w:rsidRPr="003318D7" w:rsidRDefault="00062985" w:rsidP="00530155">
      <w:pPr>
        <w:jc w:val="both"/>
      </w:pPr>
      <w:r>
        <w:rPr>
          <w:b/>
        </w:rPr>
        <w:t>TCR</w:t>
      </w:r>
      <w:r w:rsidR="000D2058" w:rsidRPr="0053532B">
        <w:rPr>
          <w:b/>
        </w:rPr>
        <w:t xml:space="preserve"> clonal dynamics </w:t>
      </w:r>
      <w:r>
        <w:rPr>
          <w:b/>
        </w:rPr>
        <w:t xml:space="preserve">for patients with </w:t>
      </w:r>
      <w:r w:rsidR="008C6697">
        <w:rPr>
          <w:b/>
        </w:rPr>
        <w:t>clinical primary resistance</w:t>
      </w:r>
      <w:r w:rsidR="000D2058" w:rsidRPr="0053532B">
        <w:rPr>
          <w:b/>
        </w:rPr>
        <w:t xml:space="preserve">. </w:t>
      </w:r>
      <w:r w:rsidR="00034EC3" w:rsidRPr="00034EC3">
        <w:t xml:space="preserve">There were no clones with statistically significant differential abundance between baseline and week 4 for patient CGLU115 with primary resistance to anti-PD1 therapy </w:t>
      </w:r>
      <w:r w:rsidR="00034EC3" w:rsidRPr="009C64FA">
        <w:rPr>
          <w:b/>
        </w:rPr>
        <w:t>(A)</w:t>
      </w:r>
      <w:r w:rsidR="00034EC3" w:rsidRPr="00034EC3">
        <w:t xml:space="preserve">. </w:t>
      </w:r>
      <w:r w:rsidR="00090A91">
        <w:t>For patient</w:t>
      </w:r>
      <w:r w:rsidR="008C6697">
        <w:t>s</w:t>
      </w:r>
      <w:r w:rsidR="00090A91">
        <w:t xml:space="preserve"> CGLU162</w:t>
      </w:r>
      <w:r w:rsidR="008C6697">
        <w:t xml:space="preserve"> </w:t>
      </w:r>
      <w:r w:rsidR="008C6697" w:rsidRPr="008C6697">
        <w:rPr>
          <w:b/>
        </w:rPr>
        <w:t>(B)</w:t>
      </w:r>
      <w:r w:rsidR="00090A91">
        <w:t xml:space="preserve">, </w:t>
      </w:r>
      <w:r w:rsidR="008C6697">
        <w:t>C</w:t>
      </w:r>
      <w:r w:rsidR="00530155">
        <w:t>GLU</w:t>
      </w:r>
      <w:r w:rsidR="008C6697">
        <w:t xml:space="preserve">243 </w:t>
      </w:r>
      <w:r w:rsidR="008C6697" w:rsidRPr="008C6697">
        <w:rPr>
          <w:b/>
        </w:rPr>
        <w:t>(C)</w:t>
      </w:r>
      <w:r w:rsidR="008C6697">
        <w:t xml:space="preserve"> and CGLU203 </w:t>
      </w:r>
      <w:r w:rsidR="008C6697" w:rsidRPr="008C6697">
        <w:rPr>
          <w:b/>
        </w:rPr>
        <w:t>(E)</w:t>
      </w:r>
      <w:r w:rsidR="00530155">
        <w:t xml:space="preserve"> </w:t>
      </w:r>
      <w:proofErr w:type="spellStart"/>
      <w:r w:rsidR="00090A91">
        <w:t>clonotypic</w:t>
      </w:r>
      <w:proofErr w:type="spellEnd"/>
      <w:r w:rsidR="00090A91">
        <w:t xml:space="preserve"> expansions </w:t>
      </w:r>
      <w:proofErr w:type="gramStart"/>
      <w:r w:rsidR="00090A91">
        <w:t>were observed</w:t>
      </w:r>
      <w:proofErr w:type="gramEnd"/>
      <w:r w:rsidR="00090A91">
        <w:t xml:space="preserve"> in peripheral blood, </w:t>
      </w:r>
      <w:r w:rsidR="00530155">
        <w:t xml:space="preserve">however </w:t>
      </w:r>
      <w:r w:rsidR="00090A91">
        <w:t xml:space="preserve">this pattern was not consistent with the ctDNA </w:t>
      </w:r>
      <w:r w:rsidR="00530155">
        <w:t>molecular response or the clinical outcome</w:t>
      </w:r>
      <w:r w:rsidR="00090A91">
        <w:t xml:space="preserve">. </w:t>
      </w:r>
      <w:r w:rsidR="00090A91" w:rsidRPr="00034EC3">
        <w:t xml:space="preserve">For patient CGLU159 transient </w:t>
      </w:r>
      <w:proofErr w:type="spellStart"/>
      <w:r w:rsidR="00090A91" w:rsidRPr="00034EC3">
        <w:t>clonotypic</w:t>
      </w:r>
      <w:proofErr w:type="spellEnd"/>
      <w:r w:rsidR="00090A91" w:rsidRPr="00034EC3">
        <w:t xml:space="preserve"> </w:t>
      </w:r>
      <w:proofErr w:type="gramStart"/>
      <w:r w:rsidR="00090A91" w:rsidRPr="00034EC3">
        <w:t>TCR</w:t>
      </w:r>
      <w:proofErr w:type="gramEnd"/>
      <w:r w:rsidR="00090A91" w:rsidRPr="00034EC3">
        <w:t xml:space="preserve"> amplifications were detected in the peripheral blood followed by clone contraction at the time of </w:t>
      </w:r>
      <w:r w:rsidR="00530155">
        <w:t xml:space="preserve">clinical </w:t>
      </w:r>
      <w:r w:rsidR="00090A91" w:rsidRPr="00034EC3">
        <w:t xml:space="preserve">primary resistance </w:t>
      </w:r>
      <w:r w:rsidR="00530155">
        <w:t xml:space="preserve">determined by radiologic imaging </w:t>
      </w:r>
      <w:r w:rsidR="00090A91" w:rsidRPr="009C64FA">
        <w:rPr>
          <w:b/>
        </w:rPr>
        <w:t>(</w:t>
      </w:r>
      <w:r w:rsidR="00530155">
        <w:rPr>
          <w:b/>
        </w:rPr>
        <w:t>D</w:t>
      </w:r>
      <w:r w:rsidR="00090A91" w:rsidRPr="009C64FA">
        <w:rPr>
          <w:b/>
        </w:rPr>
        <w:t>)</w:t>
      </w:r>
      <w:r w:rsidR="00090A91" w:rsidRPr="00034EC3">
        <w:t>.</w:t>
      </w:r>
      <w:r w:rsidR="00530155">
        <w:t xml:space="preserve"> Average productive frequencies of the statistically significant differentially abundant TCR clones are shown for each individual </w:t>
      </w:r>
      <w:proofErr w:type="gramStart"/>
      <w:r w:rsidR="00530155">
        <w:t>patient,</w:t>
      </w:r>
      <w:proofErr w:type="gramEnd"/>
      <w:r w:rsidR="00530155">
        <w:t xml:space="preserve"> error bars represent standard error of the mean. </w:t>
      </w:r>
      <w:r w:rsidR="00530155" w:rsidRPr="003318D7">
        <w:t xml:space="preserve"> </w:t>
      </w:r>
    </w:p>
    <w:p w:rsidR="000D2058" w:rsidRPr="00034EC3" w:rsidRDefault="000D2058" w:rsidP="00034EC3">
      <w:pPr>
        <w:jc w:val="both"/>
      </w:pPr>
    </w:p>
    <w:p w:rsidR="00B13020" w:rsidRDefault="00B13020">
      <w:pPr>
        <w:rPr>
          <w:b/>
        </w:rPr>
      </w:pPr>
      <w:r>
        <w:rPr>
          <w:b/>
        </w:rPr>
        <w:br w:type="page"/>
      </w:r>
    </w:p>
    <w:p w:rsidR="00B13020" w:rsidRDefault="005640B6">
      <w:pPr>
        <w:rPr>
          <w:b/>
        </w:rPr>
      </w:pPr>
      <w:r w:rsidRPr="005640B6">
        <w:rPr>
          <w:b/>
          <w:noProof/>
        </w:rPr>
        <w:lastRenderedPageBreak/>
        <w:t>Supplementary Figure S13</w:t>
      </w:r>
      <w:r w:rsidR="00FB05FE" w:rsidRPr="00FB05FE">
        <w:rPr>
          <w:noProof/>
        </w:rPr>
        <w:drawing>
          <wp:inline distT="0" distB="0" distL="0" distR="0">
            <wp:extent cx="5943600" cy="57317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731780"/>
                    </a:xfrm>
                    <a:prstGeom prst="rect">
                      <a:avLst/>
                    </a:prstGeom>
                    <a:noFill/>
                    <a:ln>
                      <a:noFill/>
                    </a:ln>
                  </pic:spPr>
                </pic:pic>
              </a:graphicData>
            </a:graphic>
          </wp:inline>
        </w:drawing>
      </w:r>
    </w:p>
    <w:p w:rsidR="006A4820" w:rsidRDefault="00B13020" w:rsidP="00090A91">
      <w:pPr>
        <w:jc w:val="both"/>
      </w:pPr>
      <w:r>
        <w:rPr>
          <w:b/>
        </w:rPr>
        <w:t xml:space="preserve">Differential VJ gene usage for </w:t>
      </w:r>
      <w:r w:rsidR="00FB05FE">
        <w:rPr>
          <w:b/>
        </w:rPr>
        <w:t xml:space="preserve">a </w:t>
      </w:r>
      <w:r>
        <w:rPr>
          <w:b/>
        </w:rPr>
        <w:t xml:space="preserve">patient </w:t>
      </w:r>
      <w:r w:rsidR="00FB05FE">
        <w:rPr>
          <w:b/>
        </w:rPr>
        <w:t xml:space="preserve">with clinical response compared to a patient with clinical primary resistance. </w:t>
      </w:r>
      <w:r w:rsidR="00FB05FE" w:rsidRPr="00FB05FE">
        <w:t>For patient CGLU111</w:t>
      </w:r>
      <w:r w:rsidR="00FB05FE">
        <w:t>, who had a sustained response to anti-PD1 therapy, d</w:t>
      </w:r>
      <w:r w:rsidR="00090A91" w:rsidRPr="00090A91">
        <w:t xml:space="preserve">ifferential V and </w:t>
      </w:r>
      <w:r w:rsidR="00090A91">
        <w:t xml:space="preserve">J gene usage </w:t>
      </w:r>
      <w:proofErr w:type="gramStart"/>
      <w:r w:rsidR="00090A91">
        <w:t>is shown</w:t>
      </w:r>
      <w:proofErr w:type="gramEnd"/>
      <w:r w:rsidR="00090A91">
        <w:t xml:space="preserve"> between baseline and time of radiographic response (week 18). </w:t>
      </w:r>
      <w:r w:rsidR="00FB05FE">
        <w:t xml:space="preserve">Usage of V and J gene segments increased at the time of radiologic response </w:t>
      </w:r>
      <w:r w:rsidR="00FB05FE" w:rsidRPr="00FB05FE">
        <w:rPr>
          <w:b/>
        </w:rPr>
        <w:t>(A)</w:t>
      </w:r>
      <w:r w:rsidR="00FB05FE">
        <w:t xml:space="preserve">. In contrast, for patient CGLU121, who developed primary resistance to anti-PD1 therapy, we did not observe any changes in V and J gene usage between baseline and week 4 </w:t>
      </w:r>
      <w:r w:rsidR="00FB05FE" w:rsidRPr="00FB05FE">
        <w:rPr>
          <w:b/>
        </w:rPr>
        <w:t>(B)</w:t>
      </w:r>
      <w:r w:rsidR="00FB05FE">
        <w:t xml:space="preserve">. </w:t>
      </w:r>
      <w:r w:rsidR="00090A91">
        <w:t xml:space="preserve">Clones with significant expansions </w:t>
      </w:r>
      <w:proofErr w:type="gramStart"/>
      <w:r w:rsidR="00090A91">
        <w:t>are colored</w:t>
      </w:r>
      <w:proofErr w:type="gramEnd"/>
      <w:r w:rsidR="00090A91">
        <w:t xml:space="preserve">, TCR clonotypes with no significant expansion between the two time points are shown in gray.  </w:t>
      </w:r>
      <w:r w:rsidR="00090A91" w:rsidRPr="00090A91">
        <w:t xml:space="preserve"> </w:t>
      </w:r>
    </w:p>
    <w:p w:rsidR="006A4820" w:rsidRDefault="006A4820">
      <w:r>
        <w:br w:type="page"/>
      </w:r>
    </w:p>
    <w:p w:rsidR="00B13020" w:rsidRPr="006A4820" w:rsidRDefault="006A4820" w:rsidP="00090A91">
      <w:pPr>
        <w:jc w:val="both"/>
        <w:rPr>
          <w:b/>
        </w:rPr>
      </w:pPr>
      <w:r w:rsidRPr="006A4820">
        <w:rPr>
          <w:b/>
        </w:rPr>
        <w:lastRenderedPageBreak/>
        <w:t>Supplementary Figure S14</w:t>
      </w:r>
    </w:p>
    <w:p w:rsidR="006A4820" w:rsidRDefault="00406D44" w:rsidP="00090A91">
      <w:pPr>
        <w:jc w:val="both"/>
      </w:pPr>
      <w:r w:rsidRPr="00406D44">
        <w:drawing>
          <wp:inline distT="0" distB="0" distL="0" distR="0">
            <wp:extent cx="5943600" cy="3551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51595"/>
                    </a:xfrm>
                    <a:prstGeom prst="rect">
                      <a:avLst/>
                    </a:prstGeom>
                    <a:noFill/>
                    <a:ln>
                      <a:noFill/>
                    </a:ln>
                  </pic:spPr>
                </pic:pic>
              </a:graphicData>
            </a:graphic>
          </wp:inline>
        </w:drawing>
      </w:r>
    </w:p>
    <w:p w:rsidR="006A4820" w:rsidRPr="00A85896" w:rsidRDefault="006A4820" w:rsidP="006A4820">
      <w:pPr>
        <w:jc w:val="both"/>
        <w:rPr>
          <w:b/>
        </w:rPr>
      </w:pPr>
      <w:r>
        <w:rPr>
          <w:b/>
        </w:rPr>
        <w:t xml:space="preserve">Dynamic changes </w:t>
      </w:r>
      <w:proofErr w:type="gramStart"/>
      <w:r>
        <w:rPr>
          <w:b/>
        </w:rPr>
        <w:t>in pro-inflammatory and immunosuppressive cytokines in early stage NSCLC patients with differential responses to anti-PD1 therapy</w:t>
      </w:r>
      <w:proofErr w:type="gramEnd"/>
      <w:r>
        <w:rPr>
          <w:b/>
        </w:rPr>
        <w:t>.</w:t>
      </w:r>
      <w:r w:rsidRPr="001806B1">
        <w:t xml:space="preserve"> Cytokines we</w:t>
      </w:r>
      <w:r>
        <w:t>re</w:t>
      </w:r>
      <w:r w:rsidRPr="001806B1">
        <w:t xml:space="preserve"> measured</w:t>
      </w:r>
      <w:r>
        <w:t xml:space="preserve"> by a multiplexed immunoassay at baseline and 2-6 weeks on anti-PD1 therapy for a patient with a major pathologic response (CGLU206), </w:t>
      </w:r>
      <w:proofErr w:type="gramStart"/>
      <w:r>
        <w:t>2</w:t>
      </w:r>
      <w:proofErr w:type="gramEnd"/>
      <w:r>
        <w:t xml:space="preserve"> patients with partial pathologic response (CGLU205, CGLU221) and a patient with pathologic nonresponse (CGLU222). We did not identify any differences </w:t>
      </w:r>
      <w:proofErr w:type="gramStart"/>
      <w:r>
        <w:t>in cytokine levels among patients with differen</w:t>
      </w:r>
      <w:bookmarkStart w:id="0" w:name="_GoBack"/>
      <w:bookmarkEnd w:id="0"/>
      <w:r>
        <w:t>tial responses to anti-PD1 therapy</w:t>
      </w:r>
      <w:proofErr w:type="gramEnd"/>
      <w:r>
        <w:t xml:space="preserve">. Differences in cytokine concentration </w:t>
      </w:r>
      <w:proofErr w:type="gramStart"/>
      <w:r>
        <w:t>were evaluated</w:t>
      </w:r>
      <w:proofErr w:type="gramEnd"/>
      <w:r>
        <w:t xml:space="preserve"> by T test.   </w:t>
      </w:r>
      <w:r w:rsidRPr="001806B1">
        <w:t xml:space="preserve"> </w:t>
      </w:r>
      <w:r>
        <w:rPr>
          <w:b/>
        </w:rPr>
        <w:t xml:space="preserve"> </w:t>
      </w:r>
    </w:p>
    <w:p w:rsidR="006A4820" w:rsidRPr="00090A91" w:rsidRDefault="006A4820" w:rsidP="00090A91">
      <w:pPr>
        <w:jc w:val="both"/>
      </w:pPr>
    </w:p>
    <w:p w:rsidR="00B13020" w:rsidRPr="00090A91" w:rsidRDefault="00B13020"/>
    <w:sectPr w:rsidR="00B13020" w:rsidRPr="00090A9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51" w:rsidRDefault="00694A51" w:rsidP="00540C64">
      <w:pPr>
        <w:spacing w:after="0" w:line="240" w:lineRule="auto"/>
      </w:pPr>
      <w:r>
        <w:separator/>
      </w:r>
    </w:p>
  </w:endnote>
  <w:endnote w:type="continuationSeparator" w:id="0">
    <w:p w:rsidR="00694A51" w:rsidRDefault="00694A51" w:rsidP="0054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348397"/>
      <w:docPartObj>
        <w:docPartGallery w:val="Page Numbers (Bottom of Page)"/>
        <w:docPartUnique/>
      </w:docPartObj>
    </w:sdtPr>
    <w:sdtEndPr>
      <w:rPr>
        <w:noProof/>
      </w:rPr>
    </w:sdtEndPr>
    <w:sdtContent>
      <w:p w:rsidR="00540C64" w:rsidRDefault="00540C64">
        <w:pPr>
          <w:pStyle w:val="Footer"/>
          <w:jc w:val="right"/>
        </w:pPr>
        <w:r>
          <w:fldChar w:fldCharType="begin"/>
        </w:r>
        <w:r>
          <w:instrText xml:space="preserve"> PAGE   \* MERGEFORMAT </w:instrText>
        </w:r>
        <w:r>
          <w:fldChar w:fldCharType="separate"/>
        </w:r>
        <w:r w:rsidR="00406D44">
          <w:rPr>
            <w:noProof/>
          </w:rPr>
          <w:t>16</w:t>
        </w:r>
        <w:r>
          <w:rPr>
            <w:noProof/>
          </w:rPr>
          <w:fldChar w:fldCharType="end"/>
        </w:r>
      </w:p>
    </w:sdtContent>
  </w:sdt>
  <w:p w:rsidR="00540C64" w:rsidRDefault="0054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51" w:rsidRDefault="00694A51" w:rsidP="00540C64">
      <w:pPr>
        <w:spacing w:after="0" w:line="240" w:lineRule="auto"/>
      </w:pPr>
      <w:r>
        <w:separator/>
      </w:r>
    </w:p>
  </w:footnote>
  <w:footnote w:type="continuationSeparator" w:id="0">
    <w:p w:rsidR="00694A51" w:rsidRDefault="00694A51" w:rsidP="00540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C4"/>
    <w:rsid w:val="0001020C"/>
    <w:rsid w:val="00034EC3"/>
    <w:rsid w:val="000464B4"/>
    <w:rsid w:val="00051D61"/>
    <w:rsid w:val="00062985"/>
    <w:rsid w:val="00065D43"/>
    <w:rsid w:val="000816E3"/>
    <w:rsid w:val="0008289F"/>
    <w:rsid w:val="00090A91"/>
    <w:rsid w:val="000D2058"/>
    <w:rsid w:val="00145B49"/>
    <w:rsid w:val="001870D4"/>
    <w:rsid w:val="001A6E6B"/>
    <w:rsid w:val="00320F54"/>
    <w:rsid w:val="003318D7"/>
    <w:rsid w:val="003A30F2"/>
    <w:rsid w:val="003E65F6"/>
    <w:rsid w:val="00406D44"/>
    <w:rsid w:val="00421FC5"/>
    <w:rsid w:val="004C7DF1"/>
    <w:rsid w:val="00530155"/>
    <w:rsid w:val="0053532B"/>
    <w:rsid w:val="00540C64"/>
    <w:rsid w:val="005640B6"/>
    <w:rsid w:val="005D6523"/>
    <w:rsid w:val="00686158"/>
    <w:rsid w:val="00694A51"/>
    <w:rsid w:val="006A4820"/>
    <w:rsid w:val="006F4FC9"/>
    <w:rsid w:val="00724B59"/>
    <w:rsid w:val="00762DA1"/>
    <w:rsid w:val="007B432A"/>
    <w:rsid w:val="00810785"/>
    <w:rsid w:val="0087057D"/>
    <w:rsid w:val="008C6697"/>
    <w:rsid w:val="0096591E"/>
    <w:rsid w:val="009A6C94"/>
    <w:rsid w:val="009C64FA"/>
    <w:rsid w:val="00A05333"/>
    <w:rsid w:val="00A26AAA"/>
    <w:rsid w:val="00A80957"/>
    <w:rsid w:val="00A96563"/>
    <w:rsid w:val="00AC18C4"/>
    <w:rsid w:val="00B13020"/>
    <w:rsid w:val="00B674EF"/>
    <w:rsid w:val="00BB1650"/>
    <w:rsid w:val="00C049B4"/>
    <w:rsid w:val="00C10350"/>
    <w:rsid w:val="00C21A0F"/>
    <w:rsid w:val="00C53137"/>
    <w:rsid w:val="00CF6A90"/>
    <w:rsid w:val="00E77D8B"/>
    <w:rsid w:val="00E83872"/>
    <w:rsid w:val="00E960A3"/>
    <w:rsid w:val="00EB1F3E"/>
    <w:rsid w:val="00EC73AB"/>
    <w:rsid w:val="00F72CA8"/>
    <w:rsid w:val="00F835D1"/>
    <w:rsid w:val="00FB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3904D-7F88-4701-A415-DCF96A8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64"/>
  </w:style>
  <w:style w:type="paragraph" w:styleId="Footer">
    <w:name w:val="footer"/>
    <w:basedOn w:val="Normal"/>
    <w:link w:val="FooterChar"/>
    <w:uiPriority w:val="99"/>
    <w:unhideWhenUsed/>
    <w:rsid w:val="0054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64"/>
  </w:style>
  <w:style w:type="paragraph" w:styleId="NormalWeb">
    <w:name w:val="Normal (Web)"/>
    <w:basedOn w:val="Normal"/>
    <w:uiPriority w:val="99"/>
    <w:semiHidden/>
    <w:unhideWhenUsed/>
    <w:rsid w:val="00810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7792">
      <w:bodyDiv w:val="1"/>
      <w:marLeft w:val="0"/>
      <w:marRight w:val="0"/>
      <w:marTop w:val="0"/>
      <w:marBottom w:val="0"/>
      <w:divBdr>
        <w:top w:val="none" w:sz="0" w:space="0" w:color="auto"/>
        <w:left w:val="none" w:sz="0" w:space="0" w:color="auto"/>
        <w:bottom w:val="none" w:sz="0" w:space="0" w:color="auto"/>
        <w:right w:val="none" w:sz="0" w:space="0" w:color="auto"/>
      </w:divBdr>
    </w:div>
    <w:div w:id="7062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11B4-D97D-43CA-8BAD-E1B24F1C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Anagnostou</dc:creator>
  <cp:keywords/>
  <dc:description/>
  <cp:lastModifiedBy>Valsamo Anagnostou</cp:lastModifiedBy>
  <cp:revision>3</cp:revision>
  <dcterms:created xsi:type="dcterms:W3CDTF">2018-11-01T08:38:00Z</dcterms:created>
  <dcterms:modified xsi:type="dcterms:W3CDTF">2018-11-01T08:40:00Z</dcterms:modified>
</cp:coreProperties>
</file>