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EE566" w14:textId="77777777" w:rsidR="00D352F0" w:rsidRPr="00D352F0" w:rsidRDefault="00D352F0" w:rsidP="00D352F0">
      <w:pPr>
        <w:spacing w:line="480" w:lineRule="auto"/>
        <w:jc w:val="center"/>
        <w:outlineLvl w:val="0"/>
        <w:rPr>
          <w:b/>
          <w:sz w:val="28"/>
          <w:szCs w:val="28"/>
          <w:lang w:val="en-US"/>
        </w:rPr>
      </w:pPr>
      <w:bookmarkStart w:id="0" w:name="_Hlk508280502"/>
      <w:r w:rsidRPr="00D352F0">
        <w:rPr>
          <w:b/>
          <w:sz w:val="28"/>
          <w:szCs w:val="28"/>
          <w:lang w:val="en-US"/>
        </w:rPr>
        <w:t>SUPPLEMENTAL DATA</w:t>
      </w:r>
    </w:p>
    <w:p w14:paraId="5B9ABB1C" w14:textId="2CCFCC6D" w:rsidR="00DA4968" w:rsidRPr="00EC1065" w:rsidRDefault="00DA4968" w:rsidP="00DA4968">
      <w:pPr>
        <w:spacing w:line="480" w:lineRule="auto"/>
        <w:jc w:val="center"/>
        <w:outlineLvl w:val="0"/>
        <w:rPr>
          <w:b/>
          <w:sz w:val="28"/>
          <w:szCs w:val="28"/>
          <w:lang w:val="en-US"/>
        </w:rPr>
      </w:pPr>
      <w:r w:rsidRPr="00EC1065">
        <w:rPr>
          <w:b/>
          <w:sz w:val="28"/>
          <w:szCs w:val="28"/>
          <w:lang w:val="en-US"/>
        </w:rPr>
        <w:t xml:space="preserve">Assessment of tumor redox status through </w:t>
      </w:r>
      <w:r w:rsidR="005A6A1C" w:rsidRPr="00213B7D">
        <w:rPr>
          <w:b/>
          <w:sz w:val="28"/>
          <w:szCs w:val="28"/>
          <w:lang w:val="en-US"/>
        </w:rPr>
        <w:t>(</w:t>
      </w:r>
      <w:r w:rsidR="005A6A1C" w:rsidRPr="00213B7D">
        <w:rPr>
          <w:b/>
          <w:i/>
          <w:sz w:val="28"/>
          <w:szCs w:val="28"/>
          <w:lang w:val="en-US"/>
        </w:rPr>
        <w:t>S</w:t>
      </w:r>
      <w:r w:rsidR="005A6A1C" w:rsidRPr="00213B7D">
        <w:rPr>
          <w:b/>
          <w:sz w:val="28"/>
          <w:szCs w:val="28"/>
          <w:lang w:val="en-US"/>
        </w:rPr>
        <w:t>)-4-(3-[</w:t>
      </w:r>
      <w:r w:rsidR="005A6A1C" w:rsidRPr="00213B7D">
        <w:rPr>
          <w:b/>
          <w:sz w:val="28"/>
          <w:szCs w:val="28"/>
          <w:vertAlign w:val="superscript"/>
          <w:lang w:val="en-US"/>
        </w:rPr>
        <w:t>18</w:t>
      </w:r>
      <w:proofErr w:type="gramStart"/>
      <w:r w:rsidR="005A6A1C" w:rsidRPr="00213B7D">
        <w:rPr>
          <w:b/>
          <w:sz w:val="28"/>
          <w:szCs w:val="28"/>
          <w:lang w:val="en-US"/>
        </w:rPr>
        <w:t>F]</w:t>
      </w:r>
      <w:proofErr w:type="spellStart"/>
      <w:r w:rsidR="005A6A1C" w:rsidRPr="00213B7D">
        <w:rPr>
          <w:b/>
          <w:sz w:val="28"/>
          <w:szCs w:val="28"/>
          <w:lang w:val="en-US"/>
        </w:rPr>
        <w:t>fluoropropyl</w:t>
      </w:r>
      <w:proofErr w:type="spellEnd"/>
      <w:proofErr w:type="gramEnd"/>
      <w:r w:rsidR="005A6A1C" w:rsidRPr="00213B7D">
        <w:rPr>
          <w:b/>
          <w:sz w:val="28"/>
          <w:szCs w:val="28"/>
          <w:lang w:val="en-US"/>
        </w:rPr>
        <w:t>)-L-glutamic acid</w:t>
      </w:r>
      <w:r>
        <w:rPr>
          <w:b/>
          <w:sz w:val="28"/>
          <w:szCs w:val="28"/>
          <w:lang w:val="en-US"/>
        </w:rPr>
        <w:t xml:space="preserve"> positron emission tomography</w:t>
      </w:r>
      <w:r w:rsidRPr="00EC1065">
        <w:rPr>
          <w:b/>
          <w:sz w:val="28"/>
          <w:szCs w:val="28"/>
          <w:lang w:val="en-US"/>
        </w:rPr>
        <w:t xml:space="preserve"> imaging of system x</w:t>
      </w:r>
      <w:r w:rsidRPr="00EC1065">
        <w:rPr>
          <w:b/>
          <w:sz w:val="28"/>
          <w:szCs w:val="28"/>
          <w:vertAlign w:val="subscript"/>
          <w:lang w:val="en-US"/>
        </w:rPr>
        <w:t>c</w:t>
      </w:r>
      <w:r w:rsidRPr="00EC1065">
        <w:rPr>
          <w:b/>
          <w:sz w:val="28"/>
          <w:szCs w:val="28"/>
          <w:vertAlign w:val="superscript"/>
          <w:lang w:val="en-US"/>
        </w:rPr>
        <w:t>-</w:t>
      </w:r>
      <w:r w:rsidRPr="00EC1065">
        <w:rPr>
          <w:b/>
          <w:sz w:val="28"/>
          <w:szCs w:val="28"/>
          <w:lang w:val="en-US"/>
        </w:rPr>
        <w:t xml:space="preserve"> activity</w:t>
      </w:r>
      <w:bookmarkEnd w:id="0"/>
    </w:p>
    <w:p w14:paraId="5A091310" w14:textId="77777777" w:rsidR="00DA4968" w:rsidRPr="00EC1065" w:rsidRDefault="00DA4968" w:rsidP="00DA4968">
      <w:pPr>
        <w:spacing w:after="120" w:line="480" w:lineRule="auto"/>
        <w:jc w:val="both"/>
        <w:rPr>
          <w:u w:val="single"/>
          <w:lang w:val="en-US"/>
        </w:rPr>
      </w:pPr>
    </w:p>
    <w:p w14:paraId="292D2A40" w14:textId="77777777" w:rsidR="00DA4968" w:rsidRPr="00EC1065" w:rsidRDefault="00DA4968" w:rsidP="00DA4968">
      <w:pPr>
        <w:spacing w:after="120" w:line="480" w:lineRule="auto"/>
        <w:jc w:val="both"/>
        <w:rPr>
          <w:vertAlign w:val="superscript"/>
          <w:lang w:val="en-US"/>
        </w:rPr>
      </w:pPr>
      <w:r w:rsidRPr="00EC1065">
        <w:rPr>
          <w:lang w:val="en-US"/>
        </w:rPr>
        <w:t>Patrick N. McCormick</w:t>
      </w:r>
      <w:r w:rsidRPr="00EC1065">
        <w:rPr>
          <w:vertAlign w:val="superscript"/>
          <w:lang w:val="en-US"/>
        </w:rPr>
        <w:t>1</w:t>
      </w:r>
      <w:r w:rsidRPr="00EC1065">
        <w:rPr>
          <w:vertAlign w:val="superscript"/>
          <w:lang w:val="en-US"/>
        </w:rPr>
        <w:softHyphen/>
      </w:r>
      <w:r w:rsidRPr="00EC1065">
        <w:rPr>
          <w:vertAlign w:val="superscript"/>
          <w:lang w:val="en-US"/>
        </w:rPr>
        <w:softHyphen/>
      </w:r>
      <w:r w:rsidRPr="00EC1065">
        <w:rPr>
          <w:lang w:val="en-US"/>
        </w:rPr>
        <w:t>, Hannah E. Greenwood</w:t>
      </w:r>
      <w:r w:rsidRPr="00EC1065">
        <w:rPr>
          <w:vertAlign w:val="superscript"/>
          <w:lang w:val="en-US"/>
        </w:rPr>
        <w:t>1</w:t>
      </w:r>
      <w:r w:rsidRPr="00EC1065">
        <w:rPr>
          <w:lang w:val="en-US"/>
        </w:rPr>
        <w:t>, Matthias Glaser</w:t>
      </w:r>
      <w:r w:rsidRPr="00EC1065">
        <w:rPr>
          <w:vertAlign w:val="superscript"/>
          <w:lang w:val="en-US"/>
        </w:rPr>
        <w:t>2</w:t>
      </w:r>
      <w:r w:rsidRPr="00EC1065">
        <w:rPr>
          <w:lang w:val="en-US"/>
        </w:rPr>
        <w:t>, Oliver</w:t>
      </w:r>
      <w:r>
        <w:rPr>
          <w:lang w:val="en-US"/>
        </w:rPr>
        <w:t xml:space="preserve"> D.K.</w:t>
      </w:r>
      <w:r w:rsidRPr="00EC1065">
        <w:rPr>
          <w:lang w:val="en-US"/>
        </w:rPr>
        <w:t xml:space="preserve"> Maddocks</w:t>
      </w:r>
      <w:r w:rsidRPr="00EC1065">
        <w:rPr>
          <w:vertAlign w:val="superscript"/>
          <w:lang w:val="en-US"/>
        </w:rPr>
        <w:t>3</w:t>
      </w:r>
      <w:r w:rsidRPr="00EC1065">
        <w:rPr>
          <w:lang w:val="en-US"/>
        </w:rPr>
        <w:t xml:space="preserve">, </w:t>
      </w:r>
      <w:bookmarkStart w:id="1" w:name="_Hlk508880456"/>
      <w:r w:rsidRPr="00EC1065">
        <w:rPr>
          <w:lang w:val="en-US"/>
        </w:rPr>
        <w:t>Thibault</w:t>
      </w:r>
      <w:bookmarkEnd w:id="1"/>
      <w:r w:rsidRPr="00EC1065">
        <w:rPr>
          <w:lang w:val="en-US"/>
        </w:rPr>
        <w:t xml:space="preserve"> Gendron</w:t>
      </w:r>
      <w:r w:rsidRPr="00EC1065">
        <w:rPr>
          <w:vertAlign w:val="superscript"/>
          <w:lang w:val="en-US"/>
        </w:rPr>
        <w:t>2</w:t>
      </w:r>
      <w:r w:rsidRPr="00EC1065">
        <w:rPr>
          <w:lang w:val="en-US"/>
        </w:rPr>
        <w:t>, Kerstin Sander</w:t>
      </w:r>
      <w:r w:rsidRPr="00EC1065">
        <w:rPr>
          <w:vertAlign w:val="superscript"/>
          <w:lang w:val="en-US"/>
        </w:rPr>
        <w:t>2</w:t>
      </w:r>
      <w:r w:rsidRPr="00EC1065">
        <w:rPr>
          <w:lang w:val="en-US"/>
        </w:rPr>
        <w:t xml:space="preserve">, </w:t>
      </w:r>
      <w:proofErr w:type="spellStart"/>
      <w:r w:rsidRPr="00EC1065">
        <w:rPr>
          <w:lang w:val="en-US"/>
        </w:rPr>
        <w:t>Gayatri</w:t>
      </w:r>
      <w:proofErr w:type="spellEnd"/>
      <w:r w:rsidRPr="00EC1065">
        <w:rPr>
          <w:lang w:val="en-US"/>
        </w:rPr>
        <w:t xml:space="preserve"> Gowrishankar</w:t>
      </w:r>
      <w:r w:rsidRPr="00EC1065">
        <w:rPr>
          <w:vertAlign w:val="superscript"/>
          <w:lang w:val="en-US"/>
        </w:rPr>
        <w:t>4</w:t>
      </w:r>
      <w:r w:rsidRPr="00EC1065">
        <w:rPr>
          <w:lang w:val="en-US"/>
        </w:rPr>
        <w:t>, Aileen Hoehne</w:t>
      </w:r>
      <w:r w:rsidRPr="00EC1065">
        <w:rPr>
          <w:vertAlign w:val="superscript"/>
          <w:lang w:val="en-US"/>
        </w:rPr>
        <w:t>4</w:t>
      </w:r>
      <w:r w:rsidRPr="00EC1065">
        <w:rPr>
          <w:lang w:val="en-US"/>
        </w:rPr>
        <w:t xml:space="preserve">, </w:t>
      </w:r>
      <w:r>
        <w:rPr>
          <w:lang w:val="en-US"/>
        </w:rPr>
        <w:t>Tong Zhang</w:t>
      </w:r>
      <w:r w:rsidRPr="006C364C">
        <w:rPr>
          <w:vertAlign w:val="superscript"/>
          <w:lang w:val="en-US"/>
        </w:rPr>
        <w:t>3</w:t>
      </w:r>
      <w:r>
        <w:rPr>
          <w:lang w:val="en-US"/>
        </w:rPr>
        <w:t xml:space="preserve">, </w:t>
      </w:r>
      <w:r w:rsidRPr="00EC1065">
        <w:rPr>
          <w:lang w:val="en-US"/>
        </w:rPr>
        <w:t xml:space="preserve">Adam </w:t>
      </w:r>
      <w:bookmarkStart w:id="2" w:name="OLE_LINK2"/>
      <w:bookmarkStart w:id="3" w:name="OLE_LINK3"/>
      <w:r>
        <w:rPr>
          <w:lang w:val="en-US"/>
        </w:rPr>
        <w:t xml:space="preserve">J. </w:t>
      </w:r>
      <w:r w:rsidRPr="00EC1065">
        <w:rPr>
          <w:lang w:val="en-US"/>
        </w:rPr>
        <w:t>Shuhendler</w:t>
      </w:r>
      <w:bookmarkEnd w:id="2"/>
      <w:bookmarkEnd w:id="3"/>
      <w:r w:rsidRPr="00EC1065">
        <w:rPr>
          <w:vertAlign w:val="superscript"/>
          <w:lang w:val="en-US"/>
        </w:rPr>
        <w:t>4</w:t>
      </w:r>
      <w:r w:rsidRPr="00EC1065">
        <w:rPr>
          <w:lang w:val="en-US"/>
        </w:rPr>
        <w:t xml:space="preserve">, David </w:t>
      </w:r>
      <w:r>
        <w:rPr>
          <w:lang w:val="en-US"/>
        </w:rPr>
        <w:t xml:space="preserve">Y. </w:t>
      </w:r>
      <w:r w:rsidRPr="00EC1065">
        <w:rPr>
          <w:lang w:val="en-US"/>
        </w:rPr>
        <w:t>Lewis</w:t>
      </w:r>
      <w:r w:rsidRPr="00EC1065">
        <w:rPr>
          <w:vertAlign w:val="superscript"/>
          <w:lang w:val="en-US"/>
        </w:rPr>
        <w:t>4</w:t>
      </w:r>
      <w:r w:rsidRPr="00EC1065">
        <w:rPr>
          <w:lang w:val="en-US"/>
        </w:rPr>
        <w:t>, Mathias Berndt</w:t>
      </w:r>
      <w:r w:rsidRPr="00EC1065">
        <w:rPr>
          <w:vertAlign w:val="superscript"/>
          <w:lang w:val="en-US"/>
        </w:rPr>
        <w:t>5</w:t>
      </w:r>
      <w:r w:rsidRPr="00EC1065">
        <w:rPr>
          <w:lang w:val="en-US"/>
        </w:rPr>
        <w:t>, Norman Koglin</w:t>
      </w:r>
      <w:r w:rsidRPr="00EC1065">
        <w:rPr>
          <w:vertAlign w:val="superscript"/>
          <w:lang w:val="en-US"/>
        </w:rPr>
        <w:t>5</w:t>
      </w:r>
      <w:r w:rsidRPr="00EC1065">
        <w:rPr>
          <w:lang w:val="en-US"/>
        </w:rPr>
        <w:t>, Mark F. Lythgoe</w:t>
      </w:r>
      <w:r w:rsidRPr="00EC1065">
        <w:rPr>
          <w:vertAlign w:val="superscript"/>
          <w:lang w:val="en-US"/>
        </w:rPr>
        <w:t>1</w:t>
      </w:r>
      <w:r w:rsidRPr="00EC1065">
        <w:rPr>
          <w:lang w:val="en-US"/>
        </w:rPr>
        <w:t>, Sanjiv S. Gambhir</w:t>
      </w:r>
      <w:r w:rsidRPr="00EC1065">
        <w:rPr>
          <w:vertAlign w:val="superscript"/>
          <w:lang w:val="en-US"/>
        </w:rPr>
        <w:t>4</w:t>
      </w:r>
      <w:r>
        <w:rPr>
          <w:vertAlign w:val="superscript"/>
          <w:lang w:val="en-US"/>
        </w:rPr>
        <w:t>,6</w:t>
      </w:r>
      <w:r w:rsidRPr="00EC1065">
        <w:rPr>
          <w:lang w:val="en-US"/>
        </w:rPr>
        <w:t>, Erik Årstad</w:t>
      </w:r>
      <w:r w:rsidRPr="00EC1065">
        <w:rPr>
          <w:vertAlign w:val="superscript"/>
          <w:lang w:val="en-US"/>
        </w:rPr>
        <w:t>2</w:t>
      </w:r>
      <w:r w:rsidRPr="00EC1065">
        <w:rPr>
          <w:lang w:val="en-US"/>
        </w:rPr>
        <w:t>, Timothy H. Witney</w:t>
      </w:r>
      <w:proofErr w:type="gramStart"/>
      <w:r w:rsidRPr="00EC1065">
        <w:rPr>
          <w:vertAlign w:val="superscript"/>
          <w:lang w:val="en-US"/>
        </w:rPr>
        <w:t>1</w:t>
      </w:r>
      <w:r>
        <w:rPr>
          <w:vertAlign w:val="superscript"/>
          <w:lang w:val="en-US"/>
        </w:rPr>
        <w:t>,</w:t>
      </w:r>
      <w:bookmarkStart w:id="4" w:name="_GoBack"/>
      <w:r w:rsidRPr="00F95771">
        <w:rPr>
          <w:vertAlign w:val="superscript"/>
          <w:lang w:val="en-US"/>
        </w:rPr>
        <w:t>*</w:t>
      </w:r>
      <w:bookmarkEnd w:id="4"/>
      <w:proofErr w:type="gramEnd"/>
    </w:p>
    <w:p w14:paraId="460E9B4E" w14:textId="675B25BA" w:rsidR="004A2842" w:rsidRDefault="004A2842" w:rsidP="00241CCA">
      <w:pPr>
        <w:spacing w:after="160" w:line="259" w:lineRule="auto"/>
        <w:rPr>
          <w:b/>
          <w:lang w:val="en-US"/>
        </w:rPr>
      </w:pPr>
    </w:p>
    <w:p w14:paraId="43C663C7" w14:textId="58AFAC4D" w:rsidR="004A2842" w:rsidRDefault="000F6C4F" w:rsidP="00241CCA">
      <w:pPr>
        <w:spacing w:after="160" w:line="259" w:lineRule="auto"/>
        <w:rPr>
          <w:b/>
          <w:lang w:val="en-US"/>
        </w:rPr>
      </w:pPr>
      <w:r>
        <w:rPr>
          <w:b/>
          <w:lang w:val="en-US"/>
        </w:rPr>
        <w:t>SUPPLEMENTARY MATERIALS AND METHODS</w:t>
      </w:r>
    </w:p>
    <w:p w14:paraId="3C6116C7" w14:textId="1A32FB03" w:rsidR="004A2842" w:rsidRDefault="004A2842" w:rsidP="00241CCA">
      <w:pPr>
        <w:spacing w:after="160" w:line="259" w:lineRule="auto"/>
        <w:rPr>
          <w:b/>
          <w:lang w:val="en-US"/>
        </w:rPr>
      </w:pPr>
    </w:p>
    <w:p w14:paraId="5C5F334C" w14:textId="77777777" w:rsidR="000F6C4F" w:rsidRPr="00EC1065" w:rsidRDefault="000F6C4F" w:rsidP="000F6C4F">
      <w:pPr>
        <w:spacing w:line="480" w:lineRule="auto"/>
        <w:jc w:val="both"/>
        <w:outlineLvl w:val="0"/>
        <w:rPr>
          <w:b/>
          <w:lang w:val="en-US"/>
        </w:rPr>
      </w:pPr>
      <w:r w:rsidRPr="00EC1065">
        <w:rPr>
          <w:b/>
          <w:lang w:val="en-US"/>
        </w:rPr>
        <w:t>Experimental reagents</w:t>
      </w:r>
    </w:p>
    <w:p w14:paraId="4B3FC1C0" w14:textId="380282AD" w:rsidR="000F6C4F" w:rsidRDefault="000F6C4F" w:rsidP="000F6C4F">
      <w:pPr>
        <w:spacing w:line="480" w:lineRule="auto"/>
        <w:jc w:val="both"/>
        <w:rPr>
          <w:lang w:val="en-US"/>
        </w:rPr>
      </w:pPr>
      <w:r w:rsidRPr="00EC1065">
        <w:rPr>
          <w:lang w:val="en-US"/>
        </w:rPr>
        <w:t xml:space="preserve">All cell culture reagents, reagents for Western blot analysis, HPLC grade methanol and HPLC grade acetonitrile were purchased from </w:t>
      </w:r>
      <w:proofErr w:type="spellStart"/>
      <w:r w:rsidRPr="00EC1065">
        <w:rPr>
          <w:lang w:val="en-US"/>
        </w:rPr>
        <w:t>ThermoFisher</w:t>
      </w:r>
      <w:proofErr w:type="spellEnd"/>
      <w:r w:rsidRPr="00EC1065">
        <w:rPr>
          <w:lang w:val="en-US"/>
        </w:rPr>
        <w:t xml:space="preserve"> Scientific (UK). Sources of drugs and other experimental compounds were as follows: </w:t>
      </w:r>
      <w:r w:rsidRPr="00316F0C">
        <w:rPr>
          <w:lang w:val="en-US"/>
        </w:rPr>
        <w:t>TBHP</w:t>
      </w:r>
      <w:r w:rsidRPr="00EC1065">
        <w:rPr>
          <w:lang w:val="en-US"/>
        </w:rPr>
        <w:t xml:space="preserve"> was purchased from Fisher Scientific; </w:t>
      </w:r>
      <w:r w:rsidRPr="006C364C">
        <w:rPr>
          <w:i/>
          <w:lang w:val="en-US"/>
        </w:rPr>
        <w:t>N</w:t>
      </w:r>
      <w:r>
        <w:rPr>
          <w:lang w:val="en-US"/>
        </w:rPr>
        <w:t>-acetyl cysteine</w:t>
      </w:r>
      <w:r w:rsidRPr="00EC1065">
        <w:rPr>
          <w:lang w:val="en-US"/>
        </w:rPr>
        <w:t>, diethyl</w:t>
      </w:r>
      <w:r>
        <w:rPr>
          <w:lang w:val="en-US"/>
        </w:rPr>
        <w:t xml:space="preserve"> </w:t>
      </w:r>
      <w:r w:rsidRPr="00EC1065">
        <w:rPr>
          <w:lang w:val="en-US"/>
        </w:rPr>
        <w:t xml:space="preserve">maleate, rotenone, and antimycin A from Sigma-Aldrich (UK); </w:t>
      </w:r>
      <w:proofErr w:type="spellStart"/>
      <w:r w:rsidRPr="00EC1065">
        <w:rPr>
          <w:lang w:val="en-US"/>
        </w:rPr>
        <w:t>butein</w:t>
      </w:r>
      <w:proofErr w:type="spellEnd"/>
      <w:r w:rsidRPr="00EC1065">
        <w:rPr>
          <w:lang w:val="en-US"/>
        </w:rPr>
        <w:t xml:space="preserve"> and auranofin from Cambridge Bioscience (Cambridge, UK); </w:t>
      </w:r>
      <w:r w:rsidRPr="006C364C">
        <w:rPr>
          <w:i/>
          <w:lang w:val="en-US"/>
        </w:rPr>
        <w:t>N</w:t>
      </w:r>
      <w:r w:rsidRPr="00EC1065">
        <w:rPr>
          <w:lang w:val="en-US"/>
        </w:rPr>
        <w:t>-ethylmaleimide, CellROX Orange, CellROX Green, and Annexin V-</w:t>
      </w:r>
      <w:proofErr w:type="spellStart"/>
      <w:r w:rsidRPr="00EC1065">
        <w:rPr>
          <w:lang w:val="en-US"/>
        </w:rPr>
        <w:t>Alexafluor</w:t>
      </w:r>
      <w:proofErr w:type="spellEnd"/>
      <w:r w:rsidRPr="00EC1065">
        <w:rPr>
          <w:lang w:val="en-US"/>
        </w:rPr>
        <w:t xml:space="preserve"> 488 from </w:t>
      </w:r>
      <w:proofErr w:type="spellStart"/>
      <w:r w:rsidRPr="00EC1065">
        <w:rPr>
          <w:lang w:val="en-US"/>
        </w:rPr>
        <w:t>ThermoFisher</w:t>
      </w:r>
      <w:proofErr w:type="spellEnd"/>
      <w:r w:rsidRPr="00EC1065">
        <w:rPr>
          <w:lang w:val="en-US"/>
        </w:rPr>
        <w:t xml:space="preserve"> Scientific (UK). The GSH/GSSG-</w:t>
      </w:r>
      <w:proofErr w:type="spellStart"/>
      <w:r w:rsidRPr="00EC1065">
        <w:rPr>
          <w:lang w:val="en-US"/>
        </w:rPr>
        <w:t>Glo</w:t>
      </w:r>
      <w:proofErr w:type="spellEnd"/>
      <w:r w:rsidRPr="00EC1065">
        <w:rPr>
          <w:lang w:val="en-US"/>
        </w:rPr>
        <w:t xml:space="preserve"> Assay, </w:t>
      </w:r>
      <w:proofErr w:type="spellStart"/>
      <w:r w:rsidRPr="00EC1065">
        <w:rPr>
          <w:lang w:val="en-US"/>
        </w:rPr>
        <w:t>Biovision</w:t>
      </w:r>
      <w:proofErr w:type="spellEnd"/>
      <w:r w:rsidRPr="00EC1065">
        <w:rPr>
          <w:lang w:val="en-US"/>
        </w:rPr>
        <w:t xml:space="preserve"> Glutamate Colorimetric Assay, and Pierce BCA Protein Assay kits were purchased from Promega (USA), </w:t>
      </w:r>
      <w:proofErr w:type="spellStart"/>
      <w:r w:rsidRPr="00EC1065">
        <w:rPr>
          <w:lang w:val="en-US"/>
        </w:rPr>
        <w:t>Generon</w:t>
      </w:r>
      <w:proofErr w:type="spellEnd"/>
      <w:r w:rsidRPr="00EC1065">
        <w:rPr>
          <w:lang w:val="en-US"/>
        </w:rPr>
        <w:t xml:space="preserve"> Ltd. (UK), and </w:t>
      </w:r>
      <w:proofErr w:type="spellStart"/>
      <w:r w:rsidRPr="00EC1065">
        <w:rPr>
          <w:lang w:val="en-US"/>
        </w:rPr>
        <w:t>Thermofisher</w:t>
      </w:r>
      <w:proofErr w:type="spellEnd"/>
      <w:r w:rsidRPr="00EC1065">
        <w:rPr>
          <w:lang w:val="en-US"/>
        </w:rPr>
        <w:t xml:space="preserve"> Scientific (UK), respectively. [</w:t>
      </w:r>
      <w:r w:rsidRPr="00EC1065">
        <w:rPr>
          <w:vertAlign w:val="superscript"/>
          <w:lang w:val="en-US"/>
        </w:rPr>
        <w:t>18</w:t>
      </w:r>
      <w:proofErr w:type="gramStart"/>
      <w:r w:rsidRPr="00EC1065">
        <w:rPr>
          <w:lang w:val="en-US"/>
        </w:rPr>
        <w:t>F]FDG</w:t>
      </w:r>
      <w:proofErr w:type="gramEnd"/>
      <w:r>
        <w:rPr>
          <w:lang w:val="en-US"/>
        </w:rPr>
        <w:t xml:space="preserve"> was obtained from</w:t>
      </w:r>
      <w:r w:rsidRPr="00EC1065">
        <w:rPr>
          <w:lang w:val="en-US"/>
        </w:rPr>
        <w:t xml:space="preserve"> PETNET Solutions (UK)</w:t>
      </w:r>
      <w:r>
        <w:rPr>
          <w:lang w:val="en-US"/>
        </w:rPr>
        <w:t xml:space="preserve"> </w:t>
      </w:r>
      <w:r w:rsidRPr="00EC1065">
        <w:rPr>
          <w:lang w:val="en-US"/>
        </w:rPr>
        <w:t>and [</w:t>
      </w:r>
      <w:r w:rsidRPr="00EC1065">
        <w:rPr>
          <w:vertAlign w:val="superscript"/>
          <w:lang w:val="en-US"/>
        </w:rPr>
        <w:t>18</w:t>
      </w:r>
      <w:r w:rsidRPr="00EC1065">
        <w:rPr>
          <w:lang w:val="en-US"/>
        </w:rPr>
        <w:t>F]</w:t>
      </w:r>
      <w:r>
        <w:rPr>
          <w:lang w:val="en-US"/>
        </w:rPr>
        <w:t>f</w:t>
      </w:r>
      <w:r w:rsidRPr="00EC1065">
        <w:rPr>
          <w:lang w:val="en-US"/>
        </w:rPr>
        <w:t xml:space="preserve">luoride for radiosynthesis </w:t>
      </w:r>
      <w:r>
        <w:rPr>
          <w:lang w:val="en-US"/>
        </w:rPr>
        <w:t>from Alliance Medical (UK)</w:t>
      </w:r>
      <w:r w:rsidRPr="00EC1065">
        <w:rPr>
          <w:lang w:val="en-US"/>
        </w:rPr>
        <w:t>. Monoclonal antibodies against human p53, Casp-3, ΔCasp-3, Nrf2, system x</w:t>
      </w:r>
      <w:r w:rsidRPr="00EC1065">
        <w:rPr>
          <w:vertAlign w:val="subscript"/>
          <w:lang w:val="en-US"/>
        </w:rPr>
        <w:t>c</w:t>
      </w:r>
      <w:r w:rsidRPr="00EC1065">
        <w:rPr>
          <w:vertAlign w:val="superscript"/>
          <w:lang w:val="en-US"/>
        </w:rPr>
        <w:t>-</w:t>
      </w:r>
      <w:r>
        <w:rPr>
          <w:lang w:val="en-US"/>
        </w:rPr>
        <w:t>,</w:t>
      </w:r>
      <w:r w:rsidRPr="00EC1065">
        <w:rPr>
          <w:lang w:val="en-US"/>
        </w:rPr>
        <w:t xml:space="preserve"> </w:t>
      </w:r>
      <w:r>
        <w:rPr>
          <w:lang w:val="en-US"/>
        </w:rPr>
        <w:t>GCL, KGA, and β-actin</w:t>
      </w:r>
      <w:r w:rsidRPr="00EC1065">
        <w:rPr>
          <w:lang w:val="en-US"/>
        </w:rPr>
        <w:t xml:space="preserve"> </w:t>
      </w:r>
      <w:r>
        <w:rPr>
          <w:lang w:val="en-US"/>
        </w:rPr>
        <w:t xml:space="preserve">were purchased </w:t>
      </w:r>
      <w:r w:rsidRPr="00EC1065">
        <w:rPr>
          <w:lang w:val="en-US"/>
        </w:rPr>
        <w:t>from Cell Signaling Technology (Netherlands)</w:t>
      </w:r>
      <w:r>
        <w:rPr>
          <w:lang w:val="en-US"/>
        </w:rPr>
        <w:t>.</w:t>
      </w:r>
    </w:p>
    <w:p w14:paraId="535BF85E" w14:textId="0A541FF8" w:rsidR="00C444AC" w:rsidRDefault="00C444AC" w:rsidP="000F6C4F">
      <w:pPr>
        <w:spacing w:line="480" w:lineRule="auto"/>
        <w:jc w:val="both"/>
        <w:rPr>
          <w:lang w:val="en-US"/>
        </w:rPr>
      </w:pPr>
    </w:p>
    <w:p w14:paraId="3A7BF888" w14:textId="77777777" w:rsidR="00C444AC" w:rsidRPr="00EC1065" w:rsidRDefault="00C444AC" w:rsidP="00C444AC">
      <w:pPr>
        <w:spacing w:line="480" w:lineRule="auto"/>
        <w:jc w:val="both"/>
        <w:outlineLvl w:val="0"/>
        <w:rPr>
          <w:b/>
          <w:color w:val="000000"/>
          <w:lang w:val="en-US"/>
        </w:rPr>
      </w:pPr>
      <w:r w:rsidRPr="00EC1065">
        <w:rPr>
          <w:b/>
          <w:color w:val="000000"/>
          <w:lang w:val="en-US"/>
        </w:rPr>
        <w:lastRenderedPageBreak/>
        <w:t>Metabolomics measurements using liquid chromatography-mass spectrometry (LC-MS)</w:t>
      </w:r>
    </w:p>
    <w:p w14:paraId="40FA4C6D" w14:textId="77777777" w:rsidR="00C444AC" w:rsidRDefault="00C444AC" w:rsidP="00C444AC">
      <w:pPr>
        <w:spacing w:line="480" w:lineRule="auto"/>
        <w:jc w:val="both"/>
        <w:rPr>
          <w:color w:val="000000"/>
          <w:lang w:val="en-US"/>
        </w:rPr>
      </w:pPr>
      <w:r w:rsidRPr="00DF4BCE">
        <w:rPr>
          <w:color w:val="000000"/>
          <w:lang w:val="en-US"/>
        </w:rPr>
        <w:t>Cells were seeded at a density of 10.6 x10</w:t>
      </w:r>
      <w:r w:rsidRPr="00DF4BCE">
        <w:rPr>
          <w:color w:val="000000"/>
          <w:vertAlign w:val="superscript"/>
          <w:lang w:val="en-US"/>
        </w:rPr>
        <w:t>4</w:t>
      </w:r>
      <w:r w:rsidRPr="00DF4BCE">
        <w:rPr>
          <w:rStyle w:val="apple-converted-space"/>
          <w:color w:val="000000"/>
          <w:lang w:val="en-US"/>
        </w:rPr>
        <w:t> </w:t>
      </w:r>
      <w:r w:rsidRPr="00DF4BCE">
        <w:rPr>
          <w:color w:val="000000"/>
          <w:lang w:val="en-US"/>
        </w:rPr>
        <w:t>cells/cm</w:t>
      </w:r>
      <w:r w:rsidRPr="00DF4BCE">
        <w:rPr>
          <w:color w:val="000000"/>
          <w:vertAlign w:val="superscript"/>
          <w:lang w:val="en-US"/>
        </w:rPr>
        <w:t>2</w:t>
      </w:r>
      <w:r w:rsidRPr="00DF4BCE">
        <w:rPr>
          <w:rStyle w:val="apple-converted-space"/>
          <w:color w:val="000000"/>
          <w:lang w:val="en-US"/>
        </w:rPr>
        <w:t> </w:t>
      </w:r>
      <w:r w:rsidRPr="00DF4BCE">
        <w:rPr>
          <w:color w:val="000000"/>
          <w:lang w:val="en-US"/>
        </w:rPr>
        <w:t xml:space="preserve">in 6-well plates. </w:t>
      </w:r>
      <w:r>
        <w:rPr>
          <w:color w:val="000000"/>
          <w:lang w:val="en-US"/>
        </w:rPr>
        <w:t>24</w:t>
      </w:r>
      <w:r w:rsidRPr="00DF4BCE">
        <w:rPr>
          <w:color w:val="000000"/>
          <w:lang w:val="en-US"/>
        </w:rPr>
        <w:t xml:space="preserve"> h </w:t>
      </w:r>
      <w:r>
        <w:rPr>
          <w:color w:val="000000"/>
          <w:lang w:val="en-US"/>
        </w:rPr>
        <w:t>after seeding</w:t>
      </w:r>
      <w:r w:rsidRPr="00DF4BCE">
        <w:rPr>
          <w:color w:val="000000"/>
          <w:lang w:val="en-US"/>
        </w:rPr>
        <w:t xml:space="preserve">, fresh RPMI media was provided and the cells were either left untreated or treated with TBHP, NAC, or BOTH as described above. Following treatment, the media was </w:t>
      </w:r>
      <w:proofErr w:type="gramStart"/>
      <w:r w:rsidRPr="00DF4BCE">
        <w:rPr>
          <w:color w:val="000000"/>
          <w:lang w:val="en-US"/>
        </w:rPr>
        <w:t>aspirated</w:t>
      </w:r>
      <w:proofErr w:type="gramEnd"/>
      <w:r w:rsidRPr="00DF4BCE">
        <w:rPr>
          <w:color w:val="000000"/>
          <w:lang w:val="en-US"/>
        </w:rPr>
        <w:t xml:space="preserve"> and the cells were rapidly washed with PBS</w:t>
      </w:r>
      <w:r>
        <w:rPr>
          <w:color w:val="000000"/>
          <w:lang w:val="en-US"/>
        </w:rPr>
        <w:t xml:space="preserve"> warmed to 37 °C</w:t>
      </w:r>
      <w:r w:rsidRPr="00DF4BCE">
        <w:rPr>
          <w:color w:val="000000"/>
          <w:lang w:val="en-US"/>
        </w:rPr>
        <w:t xml:space="preserve"> (3 x 2 mL). The media was replaced with cystine-free RPMI supplemented with 200 µM</w:t>
      </w:r>
      <w:r w:rsidRPr="00DF4BCE">
        <w:rPr>
          <w:rStyle w:val="apple-converted-space"/>
          <w:color w:val="000000"/>
          <w:lang w:val="en-US"/>
        </w:rPr>
        <w:t> </w:t>
      </w:r>
      <w:r w:rsidRPr="00316F0C">
        <w:rPr>
          <w:lang w:val="en-US"/>
        </w:rPr>
        <w:t>[</w:t>
      </w:r>
      <w:r>
        <w:rPr>
          <w:lang w:val="en-US"/>
        </w:rPr>
        <w:t>U-</w:t>
      </w:r>
      <w:r w:rsidRPr="00EC1065">
        <w:rPr>
          <w:vertAlign w:val="superscript"/>
          <w:lang w:val="en-US"/>
        </w:rPr>
        <w:t>13</w:t>
      </w:r>
      <w:r w:rsidRPr="00316F0C">
        <w:rPr>
          <w:lang w:val="en-US"/>
        </w:rPr>
        <w:t>C</w:t>
      </w:r>
      <w:r w:rsidRPr="00EC1065">
        <w:rPr>
          <w:vertAlign w:val="subscript"/>
          <w:lang w:val="en-US"/>
        </w:rPr>
        <w:t>6</w:t>
      </w:r>
      <w:r w:rsidRPr="00316F0C">
        <w:rPr>
          <w:lang w:val="en-US"/>
        </w:rPr>
        <w:t xml:space="preserve">, </w:t>
      </w:r>
      <w:r>
        <w:rPr>
          <w:lang w:val="en-US"/>
        </w:rPr>
        <w:t>U-</w:t>
      </w:r>
      <w:r w:rsidRPr="00EC1065">
        <w:rPr>
          <w:vertAlign w:val="superscript"/>
          <w:lang w:val="en-US"/>
        </w:rPr>
        <w:t>15</w:t>
      </w:r>
      <w:r w:rsidRPr="00316F0C">
        <w:rPr>
          <w:lang w:val="en-US"/>
        </w:rPr>
        <w:t>N</w:t>
      </w:r>
      <w:proofErr w:type="gramStart"/>
      <w:r w:rsidRPr="00EC1065">
        <w:rPr>
          <w:vertAlign w:val="subscript"/>
          <w:lang w:val="en-US"/>
        </w:rPr>
        <w:t>2</w:t>
      </w:r>
      <w:r w:rsidRPr="00316F0C">
        <w:rPr>
          <w:lang w:val="en-US"/>
        </w:rPr>
        <w:t>]</w:t>
      </w:r>
      <w:r w:rsidRPr="00EC1065">
        <w:rPr>
          <w:lang w:val="en-US"/>
        </w:rPr>
        <w:t>cystine</w:t>
      </w:r>
      <w:proofErr w:type="gramEnd"/>
      <w:r w:rsidRPr="00DF4BCE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in addition to</w:t>
      </w:r>
      <w:r w:rsidRPr="00DF4BCE">
        <w:rPr>
          <w:color w:val="000000"/>
          <w:lang w:val="en-US"/>
        </w:rPr>
        <w:t xml:space="preserve"> TBHP, NAC or </w:t>
      </w:r>
      <w:r>
        <w:rPr>
          <w:color w:val="000000"/>
          <w:lang w:val="en-US"/>
        </w:rPr>
        <w:t>the combined treatment</w:t>
      </w:r>
      <w:r w:rsidRPr="00DF4BCE">
        <w:rPr>
          <w:color w:val="000000"/>
          <w:lang w:val="en-US"/>
        </w:rPr>
        <w:t>.</w:t>
      </w:r>
      <w:r>
        <w:rPr>
          <w:color w:val="000000"/>
          <w:lang w:val="en-US"/>
        </w:rPr>
        <w:t xml:space="preserve"> Fifteen</w:t>
      </w:r>
      <w:r w:rsidRPr="00DF4BCE">
        <w:rPr>
          <w:color w:val="000000"/>
          <w:lang w:val="en-US"/>
        </w:rPr>
        <w:t>, 30 or 60 min following addition of the</w:t>
      </w:r>
      <w:r w:rsidRPr="00DF4BCE">
        <w:rPr>
          <w:rStyle w:val="apple-converted-space"/>
          <w:color w:val="000000"/>
          <w:lang w:val="en-US"/>
        </w:rPr>
        <w:t> </w:t>
      </w:r>
      <w:r w:rsidRPr="00316F0C">
        <w:rPr>
          <w:lang w:val="en-US"/>
        </w:rPr>
        <w:t>[</w:t>
      </w:r>
      <w:r>
        <w:rPr>
          <w:lang w:val="en-US"/>
        </w:rPr>
        <w:t>U-</w:t>
      </w:r>
      <w:r w:rsidRPr="00EC1065">
        <w:rPr>
          <w:vertAlign w:val="superscript"/>
          <w:lang w:val="en-US"/>
        </w:rPr>
        <w:t>13</w:t>
      </w:r>
      <w:r w:rsidRPr="00316F0C">
        <w:rPr>
          <w:lang w:val="en-US"/>
        </w:rPr>
        <w:t>C</w:t>
      </w:r>
      <w:r w:rsidRPr="00EC1065">
        <w:rPr>
          <w:vertAlign w:val="subscript"/>
          <w:lang w:val="en-US"/>
        </w:rPr>
        <w:t>6</w:t>
      </w:r>
      <w:r w:rsidRPr="00316F0C">
        <w:rPr>
          <w:lang w:val="en-US"/>
        </w:rPr>
        <w:t xml:space="preserve">, </w:t>
      </w:r>
      <w:r>
        <w:rPr>
          <w:lang w:val="en-US"/>
        </w:rPr>
        <w:t>U-</w:t>
      </w:r>
      <w:r w:rsidRPr="00EC1065">
        <w:rPr>
          <w:vertAlign w:val="superscript"/>
          <w:lang w:val="en-US"/>
        </w:rPr>
        <w:t>15</w:t>
      </w:r>
      <w:r w:rsidRPr="00316F0C">
        <w:rPr>
          <w:lang w:val="en-US"/>
        </w:rPr>
        <w:t>N</w:t>
      </w:r>
      <w:proofErr w:type="gramStart"/>
      <w:r w:rsidRPr="00EC1065">
        <w:rPr>
          <w:vertAlign w:val="subscript"/>
          <w:lang w:val="en-US"/>
        </w:rPr>
        <w:t>2</w:t>
      </w:r>
      <w:r w:rsidRPr="00316F0C">
        <w:rPr>
          <w:lang w:val="en-US"/>
        </w:rPr>
        <w:t>]</w:t>
      </w:r>
      <w:r w:rsidRPr="00EC1065">
        <w:rPr>
          <w:lang w:val="en-US"/>
        </w:rPr>
        <w:t>cystine</w:t>
      </w:r>
      <w:proofErr w:type="gramEnd"/>
      <w:r w:rsidRPr="00DF4BCE">
        <w:rPr>
          <w:color w:val="000000"/>
          <w:lang w:val="en-US"/>
        </w:rPr>
        <w:t xml:space="preserve">, media </w:t>
      </w:r>
      <w:r>
        <w:rPr>
          <w:color w:val="000000"/>
          <w:lang w:val="en-US"/>
        </w:rPr>
        <w:t xml:space="preserve">and cell </w:t>
      </w:r>
      <w:r w:rsidRPr="00DF4BCE">
        <w:rPr>
          <w:color w:val="000000"/>
          <w:lang w:val="en-US"/>
        </w:rPr>
        <w:t>sample</w:t>
      </w:r>
      <w:r>
        <w:rPr>
          <w:color w:val="000000"/>
          <w:lang w:val="en-US"/>
        </w:rPr>
        <w:t xml:space="preserve">s </w:t>
      </w:r>
      <w:r w:rsidRPr="00DF4BCE">
        <w:rPr>
          <w:color w:val="000000"/>
          <w:lang w:val="en-US"/>
        </w:rPr>
        <w:t>were taken</w:t>
      </w:r>
      <w:r>
        <w:rPr>
          <w:color w:val="000000"/>
          <w:lang w:val="en-US"/>
        </w:rPr>
        <w:t xml:space="preserve"> and processed for liquid chromatography-mass spectrometry (LC-MS). C</w:t>
      </w:r>
      <w:r w:rsidRPr="00DF4BCE">
        <w:rPr>
          <w:color w:val="000000"/>
          <w:lang w:val="en-US"/>
        </w:rPr>
        <w:t>ells were placed on ice and washed with ice-cold PBS (3 x 2 mL).</w:t>
      </w:r>
      <w:r>
        <w:rPr>
          <w:color w:val="000000"/>
          <w:lang w:val="en-US"/>
        </w:rPr>
        <w:t xml:space="preserve"> To extract intracellular metabolites,</w:t>
      </w:r>
      <w:r w:rsidRPr="00EC1065">
        <w:rPr>
          <w:color w:val="000000"/>
          <w:lang w:val="en-US"/>
        </w:rPr>
        <w:t xml:space="preserve"> cells were lysed (2 x10</w:t>
      </w:r>
      <w:r w:rsidRPr="00EC1065">
        <w:rPr>
          <w:color w:val="000000"/>
          <w:vertAlign w:val="superscript"/>
          <w:lang w:val="en-US"/>
        </w:rPr>
        <w:t>6</w:t>
      </w:r>
      <w:r w:rsidRPr="00EC1065">
        <w:rPr>
          <w:color w:val="000000"/>
          <w:lang w:val="en-US"/>
        </w:rPr>
        <w:t xml:space="preserve"> cells per ml) by scraping into a solution of 50% methanol/30% acetonitrile/20% water (</w:t>
      </w:r>
      <w:r w:rsidRPr="00EC1065">
        <w:rPr>
          <w:i/>
          <w:color w:val="000000"/>
          <w:lang w:val="en-US"/>
        </w:rPr>
        <w:t>v</w:t>
      </w:r>
      <w:r w:rsidRPr="00EC1065">
        <w:rPr>
          <w:color w:val="000000"/>
          <w:lang w:val="en-US"/>
        </w:rPr>
        <w:t>/</w:t>
      </w:r>
      <w:r w:rsidRPr="00EC1065">
        <w:rPr>
          <w:i/>
          <w:color w:val="000000"/>
          <w:lang w:val="en-US"/>
        </w:rPr>
        <w:t>v</w:t>
      </w:r>
      <w:r w:rsidRPr="00EC1065">
        <w:rPr>
          <w:color w:val="000000"/>
          <w:lang w:val="en-US"/>
        </w:rPr>
        <w:t>). For analysis of media samples 10</w:t>
      </w:r>
      <w:r>
        <w:rPr>
          <w:color w:val="000000"/>
          <w:lang w:val="en-US"/>
        </w:rPr>
        <w:t xml:space="preserve"> </w:t>
      </w:r>
      <w:r w:rsidRPr="00EC1065">
        <w:rPr>
          <w:color w:val="000000"/>
          <w:lang w:val="en-US"/>
        </w:rPr>
        <w:t>µ</w:t>
      </w:r>
      <w:r>
        <w:rPr>
          <w:color w:val="000000"/>
          <w:lang w:val="en-US"/>
        </w:rPr>
        <w:t>L</w:t>
      </w:r>
      <w:r w:rsidRPr="00EC1065">
        <w:rPr>
          <w:color w:val="000000"/>
          <w:lang w:val="en-US"/>
        </w:rPr>
        <w:t xml:space="preserve"> of media was diluted into 490</w:t>
      </w:r>
      <w:r>
        <w:rPr>
          <w:color w:val="000000"/>
          <w:lang w:val="en-US"/>
        </w:rPr>
        <w:t xml:space="preserve"> </w:t>
      </w:r>
      <w:r w:rsidRPr="00EC1065">
        <w:rPr>
          <w:color w:val="000000"/>
          <w:lang w:val="en-US"/>
        </w:rPr>
        <w:t>µ</w:t>
      </w:r>
      <w:r>
        <w:rPr>
          <w:color w:val="000000"/>
          <w:lang w:val="en-US"/>
        </w:rPr>
        <w:t>L</w:t>
      </w:r>
      <w:r w:rsidRPr="00EC1065">
        <w:rPr>
          <w:color w:val="000000"/>
          <w:lang w:val="en-US"/>
        </w:rPr>
        <w:t xml:space="preserve"> of the </w:t>
      </w:r>
      <w:r>
        <w:rPr>
          <w:color w:val="000000"/>
          <w:lang w:val="en-US"/>
        </w:rPr>
        <w:t xml:space="preserve">same </w:t>
      </w:r>
      <w:r w:rsidRPr="00EC1065">
        <w:rPr>
          <w:color w:val="000000"/>
          <w:lang w:val="en-US"/>
        </w:rPr>
        <w:t xml:space="preserve">lysis solution. The samples were thoroughly vortexed and centrifuged at 15,000 g, </w:t>
      </w:r>
      <w:r>
        <w:rPr>
          <w:color w:val="000000"/>
          <w:lang w:val="en-US"/>
        </w:rPr>
        <w:t xml:space="preserve">1 </w:t>
      </w:r>
      <w:r w:rsidRPr="00EC1065">
        <w:rPr>
          <w:color w:val="000000"/>
          <w:lang w:val="en-US"/>
        </w:rPr>
        <w:t>°C for 1</w:t>
      </w:r>
      <w:r>
        <w:rPr>
          <w:color w:val="000000"/>
          <w:lang w:val="en-US"/>
        </w:rPr>
        <w:t>0</w:t>
      </w:r>
      <w:r w:rsidRPr="00EC1065">
        <w:rPr>
          <w:color w:val="000000"/>
          <w:lang w:val="en-US"/>
        </w:rPr>
        <w:t xml:space="preserve"> min. The cleared supernatants were subjected to LC-MS analysis as follows</w:t>
      </w:r>
      <w:r>
        <w:rPr>
          <w:color w:val="000000"/>
          <w:lang w:val="en-US"/>
        </w:rPr>
        <w:t>:</w:t>
      </w:r>
      <w:r w:rsidRPr="00EC1065">
        <w:rPr>
          <w:color w:val="000000"/>
          <w:lang w:val="en-US"/>
        </w:rPr>
        <w:t xml:space="preserve"> </w:t>
      </w:r>
      <w:r>
        <w:rPr>
          <w:color w:val="000000"/>
          <w:lang w:val="en-US"/>
        </w:rPr>
        <w:t>20</w:t>
      </w:r>
      <w:r w:rsidRPr="00EC1065">
        <w:rPr>
          <w:color w:val="000000"/>
          <w:lang w:val="en-US"/>
        </w:rPr>
        <w:t xml:space="preserve"> µ</w:t>
      </w:r>
      <w:r>
        <w:rPr>
          <w:color w:val="000000"/>
          <w:lang w:val="en-US"/>
        </w:rPr>
        <w:t>L</w:t>
      </w:r>
      <w:r w:rsidRPr="00EC1065">
        <w:rPr>
          <w:color w:val="000000"/>
          <w:lang w:val="en-US"/>
        </w:rPr>
        <w:t xml:space="preserve"> of supernatant was injected into an Accela 600 LC system coupled to an </w:t>
      </w:r>
      <w:proofErr w:type="spellStart"/>
      <w:r w:rsidRPr="00EC1065">
        <w:rPr>
          <w:color w:val="000000"/>
          <w:lang w:val="en-US"/>
        </w:rPr>
        <w:t>Exactive</w:t>
      </w:r>
      <w:proofErr w:type="spellEnd"/>
      <w:r w:rsidRPr="00EC1065">
        <w:rPr>
          <w:color w:val="000000"/>
          <w:lang w:val="en-US"/>
        </w:rPr>
        <w:t xml:space="preserve"> mass spectrometer (</w:t>
      </w:r>
      <w:proofErr w:type="spellStart"/>
      <w:r w:rsidRPr="00EC1065">
        <w:rPr>
          <w:color w:val="000000"/>
          <w:lang w:val="en-US"/>
        </w:rPr>
        <w:t>Thermo</w:t>
      </w:r>
      <w:proofErr w:type="spellEnd"/>
      <w:r w:rsidRPr="00EC1065">
        <w:rPr>
          <w:color w:val="000000"/>
          <w:lang w:val="en-US"/>
        </w:rPr>
        <w:t xml:space="preserve"> Fisher Scientific). Chromatographic separation was performed on a </w:t>
      </w:r>
      <w:proofErr w:type="spellStart"/>
      <w:r w:rsidRPr="00EC1065">
        <w:rPr>
          <w:color w:val="000000"/>
          <w:lang w:val="en-US"/>
        </w:rPr>
        <w:t>Sequant</w:t>
      </w:r>
      <w:proofErr w:type="spellEnd"/>
      <w:r w:rsidRPr="00EC1065">
        <w:rPr>
          <w:color w:val="000000"/>
          <w:lang w:val="en-US"/>
        </w:rPr>
        <w:t xml:space="preserve"> ZIC-HILIC column (150 × 4.6 mm, 3.5 µm; Merck) with mobile phase A (water) and B (acetonitrile) both containing 0.1% formic acid (</w:t>
      </w:r>
      <w:r w:rsidRPr="00DF4BCE">
        <w:rPr>
          <w:i/>
          <w:color w:val="000000"/>
          <w:lang w:val="en-US"/>
        </w:rPr>
        <w:t>v</w:t>
      </w:r>
      <w:r w:rsidRPr="00EC1065">
        <w:rPr>
          <w:color w:val="000000"/>
          <w:lang w:val="en-US"/>
        </w:rPr>
        <w:t>/</w:t>
      </w:r>
      <w:r w:rsidRPr="00DF4BCE">
        <w:rPr>
          <w:i/>
          <w:color w:val="000000"/>
          <w:lang w:val="en-US"/>
        </w:rPr>
        <w:t>v</w:t>
      </w:r>
      <w:r w:rsidRPr="00EC1065">
        <w:rPr>
          <w:color w:val="000000"/>
          <w:lang w:val="en-US"/>
        </w:rPr>
        <w:t>) at a flow rate of 0.3 m</w:t>
      </w:r>
      <w:r>
        <w:rPr>
          <w:color w:val="000000"/>
          <w:lang w:val="en-US"/>
        </w:rPr>
        <w:t>L</w:t>
      </w:r>
      <w:r w:rsidRPr="00EC1065">
        <w:rPr>
          <w:color w:val="000000"/>
          <w:lang w:val="en-US"/>
        </w:rPr>
        <w:t>/min. A gradient elution program was used: mobile phase A increasing from 20 to 80% in 30 min, then holding A at 92% for 5 min, followed by 10</w:t>
      </w:r>
      <w:r>
        <w:rPr>
          <w:color w:val="000000"/>
          <w:lang w:val="en-US"/>
        </w:rPr>
        <w:t xml:space="preserve"> </w:t>
      </w:r>
      <w:r w:rsidRPr="00EC1065">
        <w:rPr>
          <w:color w:val="000000"/>
          <w:lang w:val="en-US"/>
        </w:rPr>
        <w:t xml:space="preserve">min re-equilibration with 20% A. The </w:t>
      </w:r>
      <w:proofErr w:type="spellStart"/>
      <w:r w:rsidRPr="00EC1065">
        <w:rPr>
          <w:color w:val="000000"/>
          <w:lang w:val="en-US"/>
        </w:rPr>
        <w:t>Exactive</w:t>
      </w:r>
      <w:proofErr w:type="spellEnd"/>
      <w:r w:rsidRPr="00EC1065">
        <w:rPr>
          <w:color w:val="000000"/>
          <w:lang w:val="en-US"/>
        </w:rPr>
        <w:t xml:space="preserve"> mass spectrometer was equipped with a heated electrospray ionization source and operated in an electrospray ionization–positive and –negative switching mode with a scan range of 70–1200 m/z at a resolution of 50,000. The obtained LC-MS raw data were converted into .</w:t>
      </w:r>
      <w:proofErr w:type="spellStart"/>
      <w:r w:rsidRPr="00EC1065">
        <w:rPr>
          <w:color w:val="000000"/>
          <w:lang w:val="en-US"/>
        </w:rPr>
        <w:t>mzML</w:t>
      </w:r>
      <w:proofErr w:type="spellEnd"/>
      <w:r w:rsidRPr="00EC1065">
        <w:rPr>
          <w:color w:val="000000"/>
          <w:lang w:val="en-US"/>
        </w:rPr>
        <w:t xml:space="preserve"> files with </w:t>
      </w:r>
      <w:proofErr w:type="spellStart"/>
      <w:r w:rsidRPr="00EC1065">
        <w:rPr>
          <w:color w:val="000000"/>
          <w:lang w:val="en-US"/>
        </w:rPr>
        <w:t>ProteoWizard</w:t>
      </w:r>
      <w:proofErr w:type="spellEnd"/>
      <w:r w:rsidRPr="00EC1065">
        <w:rPr>
          <w:color w:val="000000"/>
          <w:lang w:val="en-US"/>
        </w:rPr>
        <w:t xml:space="preserve"> and imported into </w:t>
      </w:r>
      <w:proofErr w:type="spellStart"/>
      <w:r w:rsidRPr="00EC1065">
        <w:rPr>
          <w:color w:val="000000"/>
          <w:lang w:val="en-US"/>
        </w:rPr>
        <w:t>MZMine</w:t>
      </w:r>
      <w:proofErr w:type="spellEnd"/>
      <w:r w:rsidRPr="00EC1065">
        <w:rPr>
          <w:color w:val="000000"/>
          <w:lang w:val="en-US"/>
        </w:rPr>
        <w:t xml:space="preserve"> 2.10 to conduct peak extraction, sample alignment, and metabolite identification. The LC-MS signals of NEM and NAC conjugates were manually extracted in </w:t>
      </w:r>
      <w:proofErr w:type="spellStart"/>
      <w:r w:rsidRPr="00EC1065">
        <w:rPr>
          <w:color w:val="000000"/>
          <w:lang w:val="en-US"/>
        </w:rPr>
        <w:t>MZMine</w:t>
      </w:r>
      <w:proofErr w:type="spellEnd"/>
      <w:r w:rsidRPr="00EC1065">
        <w:rPr>
          <w:color w:val="000000"/>
          <w:lang w:val="en-US"/>
        </w:rPr>
        <w:t xml:space="preserve"> 2.10. </w:t>
      </w:r>
      <w:r w:rsidRPr="00EC1065">
        <w:rPr>
          <w:color w:val="000000"/>
          <w:lang w:val="en-US"/>
        </w:rPr>
        <w:lastRenderedPageBreak/>
        <w:t>Together with the metabolites identified in our in-house database, the outcome data were exported as a .CSV file for statistical analysis using Microsoft Office Excel 2010.</w:t>
      </w:r>
    </w:p>
    <w:p w14:paraId="585B1D32" w14:textId="04F4E547" w:rsidR="00C444AC" w:rsidRDefault="00C444AC" w:rsidP="000F6C4F">
      <w:pPr>
        <w:spacing w:line="480" w:lineRule="auto"/>
        <w:jc w:val="both"/>
        <w:rPr>
          <w:lang w:val="en-US"/>
        </w:rPr>
      </w:pPr>
    </w:p>
    <w:p w14:paraId="420C9947" w14:textId="646BEAF9" w:rsidR="005D035A" w:rsidRPr="005D035A" w:rsidRDefault="005D035A" w:rsidP="005D035A">
      <w:pPr>
        <w:spacing w:line="480" w:lineRule="auto"/>
        <w:jc w:val="both"/>
        <w:outlineLvl w:val="0"/>
        <w:rPr>
          <w:b/>
          <w:lang w:val="en-US"/>
        </w:rPr>
      </w:pPr>
      <w:r w:rsidRPr="00EC1065">
        <w:rPr>
          <w:b/>
          <w:lang w:val="en-US"/>
        </w:rPr>
        <w:t>Radiotracer synthesis</w:t>
      </w:r>
    </w:p>
    <w:p w14:paraId="07EB0079" w14:textId="5D7DDDC0" w:rsidR="005D035A" w:rsidRDefault="005D035A" w:rsidP="000F6C4F">
      <w:pPr>
        <w:spacing w:line="480" w:lineRule="auto"/>
        <w:jc w:val="both"/>
        <w:rPr>
          <w:lang w:val="en-US"/>
        </w:rPr>
      </w:pPr>
      <w:r>
        <w:rPr>
          <w:lang w:val="en-US"/>
        </w:rPr>
        <w:t>[</w:t>
      </w:r>
      <w:r w:rsidRPr="00A93745">
        <w:rPr>
          <w:vertAlign w:val="superscript"/>
          <w:lang w:val="en-US"/>
        </w:rPr>
        <w:t>18</w:t>
      </w:r>
      <w:proofErr w:type="gramStart"/>
      <w:r>
        <w:rPr>
          <w:lang w:val="en-US"/>
        </w:rPr>
        <w:t>F]FSPG</w:t>
      </w:r>
      <w:proofErr w:type="gramEnd"/>
      <w:r w:rsidRPr="00EC1065">
        <w:rPr>
          <w:lang w:val="en-US"/>
        </w:rPr>
        <w:t xml:space="preserve"> radiosynthesis was done in four steps and is based on solid phase extraction for purification.</w:t>
      </w:r>
      <w:r>
        <w:rPr>
          <w:lang w:val="en-US"/>
        </w:rPr>
        <w:t xml:space="preserve"> </w:t>
      </w:r>
      <w:r w:rsidRPr="00EC1065">
        <w:rPr>
          <w:lang w:val="en-US"/>
        </w:rPr>
        <w:t>Briefly, [</w:t>
      </w:r>
      <w:r w:rsidRPr="00EC1065">
        <w:rPr>
          <w:vertAlign w:val="superscript"/>
          <w:lang w:val="en-US"/>
        </w:rPr>
        <w:t>18</w:t>
      </w:r>
      <w:proofErr w:type="gramStart"/>
      <w:r w:rsidRPr="00EC1065">
        <w:rPr>
          <w:lang w:val="en-US"/>
        </w:rPr>
        <w:t>F]fluoride</w:t>
      </w:r>
      <w:proofErr w:type="gramEnd"/>
      <w:r w:rsidRPr="00EC1065">
        <w:rPr>
          <w:lang w:val="en-US"/>
        </w:rPr>
        <w:t xml:space="preserve"> (1-2 </w:t>
      </w:r>
      <w:proofErr w:type="spellStart"/>
      <w:r w:rsidRPr="00EC1065">
        <w:rPr>
          <w:lang w:val="en-US"/>
        </w:rPr>
        <w:t>GBq</w:t>
      </w:r>
      <w:proofErr w:type="spellEnd"/>
      <w:r w:rsidRPr="00EC1065">
        <w:rPr>
          <w:lang w:val="en-US"/>
        </w:rPr>
        <w:t xml:space="preserve">, Alliance Medical UK) was extracted from target water (2 mL) using a conditioned QMA light </w:t>
      </w:r>
      <w:proofErr w:type="spellStart"/>
      <w:r w:rsidRPr="00EC1065">
        <w:rPr>
          <w:lang w:val="en-US"/>
        </w:rPr>
        <w:t>SepPak</w:t>
      </w:r>
      <w:proofErr w:type="spellEnd"/>
      <w:r w:rsidRPr="00EC1065">
        <w:rPr>
          <w:lang w:val="en-US"/>
        </w:rPr>
        <w:t xml:space="preserve"> cartridge (WAT186004051, Waters UK) and eluted with a solution of </w:t>
      </w:r>
      <w:proofErr w:type="spellStart"/>
      <w:r w:rsidRPr="00EC1065">
        <w:rPr>
          <w:lang w:val="en-US"/>
        </w:rPr>
        <w:t>Kryptofix</w:t>
      </w:r>
      <w:proofErr w:type="spellEnd"/>
      <w:r w:rsidRPr="00EC1065">
        <w:rPr>
          <w:lang w:val="en-US"/>
        </w:rPr>
        <w:t xml:space="preserve"> (8.0 mg, 21.2 µ</w:t>
      </w:r>
      <w:proofErr w:type="spellStart"/>
      <w:r w:rsidRPr="00EC1065">
        <w:rPr>
          <w:lang w:val="en-US"/>
        </w:rPr>
        <w:t>mol</w:t>
      </w:r>
      <w:proofErr w:type="spellEnd"/>
      <w:r w:rsidRPr="00EC1065">
        <w:rPr>
          <w:lang w:val="en-US"/>
        </w:rPr>
        <w:t>), potassium carbonate (1.1 mg, 8.0 µ</w:t>
      </w:r>
      <w:proofErr w:type="spellStart"/>
      <w:r w:rsidRPr="00EC1065">
        <w:rPr>
          <w:lang w:val="en-US"/>
        </w:rPr>
        <w:t>mol</w:t>
      </w:r>
      <w:proofErr w:type="spellEnd"/>
      <w:r w:rsidRPr="00EC1065">
        <w:rPr>
          <w:lang w:val="en-US"/>
        </w:rPr>
        <w:t>), acetonitrile (0.644 mL), and water (0.195 mL) into the reactor vial. After azeotropic removal of water using anhydrous acetonitrile (2</w:t>
      </w:r>
      <w:r>
        <w:rPr>
          <w:lang w:val="en-US"/>
        </w:rPr>
        <w:t>×</w:t>
      </w:r>
      <w:r w:rsidRPr="00EC1065">
        <w:rPr>
          <w:lang w:val="en-US"/>
        </w:rPr>
        <w:t xml:space="preserve"> 0.5 mL), the precursor PI-021 (6.0 mg, 12.2 µ</w:t>
      </w:r>
      <w:proofErr w:type="spellStart"/>
      <w:r w:rsidRPr="00EC1065">
        <w:rPr>
          <w:lang w:val="en-US"/>
        </w:rPr>
        <w:t>mol</w:t>
      </w:r>
      <w:proofErr w:type="spellEnd"/>
      <w:r w:rsidRPr="00EC1065">
        <w:rPr>
          <w:lang w:val="en-US"/>
        </w:rPr>
        <w:t>, ABX Gm</w:t>
      </w:r>
      <w:r>
        <w:rPr>
          <w:lang w:val="en-US"/>
        </w:rPr>
        <w:t>b</w:t>
      </w:r>
      <w:r w:rsidRPr="00EC1065">
        <w:rPr>
          <w:lang w:val="en-US"/>
        </w:rPr>
        <w:t xml:space="preserve">H, </w:t>
      </w:r>
      <w:proofErr w:type="spellStart"/>
      <w:r w:rsidRPr="00EC1065">
        <w:rPr>
          <w:lang w:val="en-US"/>
        </w:rPr>
        <w:t>Radeberg</w:t>
      </w:r>
      <w:proofErr w:type="spellEnd"/>
      <w:r w:rsidRPr="00EC1065">
        <w:rPr>
          <w:lang w:val="en-US"/>
        </w:rPr>
        <w:t>, Germany) was added as solution in anhydrous acetonitrile (0.6 mL). Following heating at 80</w:t>
      </w:r>
      <w:r>
        <w:rPr>
          <w:lang w:val="en-US"/>
        </w:rPr>
        <w:t xml:space="preserve"> °</w:t>
      </w:r>
      <w:r w:rsidRPr="00EC1065">
        <w:rPr>
          <w:lang w:val="en-US"/>
        </w:rPr>
        <w:t>C for 10 minutes, a solution of sul</w:t>
      </w:r>
      <w:r>
        <w:rPr>
          <w:lang w:val="en-US"/>
        </w:rPr>
        <w:t>f</w:t>
      </w:r>
      <w:r w:rsidRPr="00EC1065">
        <w:rPr>
          <w:lang w:val="en-US"/>
        </w:rPr>
        <w:t>uric acid (2.0 mL, 1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mol</w:t>
      </w:r>
      <w:proofErr w:type="spellEnd"/>
      <w:r>
        <w:rPr>
          <w:lang w:val="en-US"/>
        </w:rPr>
        <w:t>/L</w:t>
      </w:r>
      <w:r w:rsidRPr="00EC1065">
        <w:rPr>
          <w:lang w:val="en-US"/>
        </w:rPr>
        <w:t xml:space="preserve">) was added and the mixture kept at 130 </w:t>
      </w:r>
      <w:r>
        <w:rPr>
          <w:lang w:val="en-US"/>
        </w:rPr>
        <w:t>°</w:t>
      </w:r>
      <w:r w:rsidRPr="00EC1065">
        <w:rPr>
          <w:lang w:val="en-US"/>
        </w:rPr>
        <w:t xml:space="preserve">C for 4 min. The reaction temperature was lowered to 70 </w:t>
      </w:r>
      <w:r>
        <w:rPr>
          <w:lang w:val="en-US"/>
        </w:rPr>
        <w:t>°</w:t>
      </w:r>
      <w:r w:rsidRPr="00EC1065">
        <w:rPr>
          <w:lang w:val="en-US"/>
        </w:rPr>
        <w:t>C, and a solution of sodium hydroxide (1.5 mL, 4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mol</w:t>
      </w:r>
      <w:proofErr w:type="spellEnd"/>
      <w:r>
        <w:rPr>
          <w:lang w:val="en-US"/>
        </w:rPr>
        <w:t>/L</w:t>
      </w:r>
      <w:r w:rsidRPr="00EC1065">
        <w:rPr>
          <w:lang w:val="en-US"/>
        </w:rPr>
        <w:t>) added. After 5 min the reaction mixture was transferred into a quenching vessel containing a solution of sul</w:t>
      </w:r>
      <w:r>
        <w:rPr>
          <w:lang w:val="en-US"/>
        </w:rPr>
        <w:t>f</w:t>
      </w:r>
      <w:r w:rsidRPr="00EC1065">
        <w:rPr>
          <w:lang w:val="en-US"/>
        </w:rPr>
        <w:t>uric acid (34 mL, 0.12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mol</w:t>
      </w:r>
      <w:proofErr w:type="spellEnd"/>
      <w:r>
        <w:rPr>
          <w:lang w:val="en-US"/>
        </w:rPr>
        <w:t>/L</w:t>
      </w:r>
      <w:r w:rsidRPr="00EC1065">
        <w:rPr>
          <w:lang w:val="en-US"/>
        </w:rPr>
        <w:t xml:space="preserve">). The crude product was extracted on two MCX </w:t>
      </w:r>
      <w:proofErr w:type="spellStart"/>
      <w:r w:rsidRPr="00EC1065">
        <w:rPr>
          <w:lang w:val="en-US"/>
        </w:rPr>
        <w:t>SepPak</w:t>
      </w:r>
      <w:proofErr w:type="spellEnd"/>
      <w:r w:rsidRPr="00EC1065">
        <w:rPr>
          <w:lang w:val="en-US"/>
        </w:rPr>
        <w:t xml:space="preserve"> cartridges (WAT186003516, Waters, UK), washed with water (60 mL) and eluted with PBS (10 mL) </w:t>
      </w:r>
      <w:r>
        <w:rPr>
          <w:lang w:val="en-US"/>
        </w:rPr>
        <w:t>through</w:t>
      </w:r>
      <w:r w:rsidRPr="00EC1065">
        <w:rPr>
          <w:lang w:val="en-US"/>
        </w:rPr>
        <w:t xml:space="preserve"> an Alumina light </w:t>
      </w:r>
      <w:proofErr w:type="spellStart"/>
      <w:r w:rsidRPr="00EC1065">
        <w:rPr>
          <w:lang w:val="en-US"/>
        </w:rPr>
        <w:t>SepPak</w:t>
      </w:r>
      <w:proofErr w:type="spellEnd"/>
      <w:r w:rsidRPr="00EC1065">
        <w:rPr>
          <w:lang w:val="en-US"/>
        </w:rPr>
        <w:t xml:space="preserve"> cartridge (WAT023561, Waters UK) and a </w:t>
      </w:r>
      <w:proofErr w:type="spellStart"/>
      <w:r w:rsidRPr="00EC1065">
        <w:rPr>
          <w:lang w:val="en-US"/>
        </w:rPr>
        <w:t>Hypercarb</w:t>
      </w:r>
      <w:proofErr w:type="spellEnd"/>
      <w:r w:rsidRPr="00EC1065">
        <w:rPr>
          <w:lang w:val="en-US"/>
        </w:rPr>
        <w:t xml:space="preserve"> cartridge (#10233313, </w:t>
      </w:r>
      <w:proofErr w:type="spellStart"/>
      <w:r w:rsidRPr="00EC1065">
        <w:rPr>
          <w:lang w:val="en-US"/>
        </w:rPr>
        <w:t>Thermo</w:t>
      </w:r>
      <w:proofErr w:type="spellEnd"/>
      <w:r w:rsidRPr="00EC1065">
        <w:rPr>
          <w:lang w:val="en-US"/>
        </w:rPr>
        <w:t xml:space="preserve"> Fisher UK)</w:t>
      </w:r>
      <w:r>
        <w:rPr>
          <w:lang w:val="en-US"/>
        </w:rPr>
        <w:t xml:space="preserve">. </w:t>
      </w:r>
      <w:r w:rsidRPr="00EC1065">
        <w:rPr>
          <w:lang w:val="en-US"/>
        </w:rPr>
        <w:t xml:space="preserve">The product was analyzed by a radio-HPLC system [Agilent 1260 series with a variable wavelength detector and a GABI Star </w:t>
      </w:r>
      <w:proofErr w:type="spellStart"/>
      <w:proofErr w:type="gramStart"/>
      <w:r w:rsidRPr="00EC1065">
        <w:rPr>
          <w:lang w:val="en-US"/>
        </w:rPr>
        <w:t>NaI</w:t>
      </w:r>
      <w:proofErr w:type="spellEnd"/>
      <w:r w:rsidRPr="00EC1065">
        <w:rPr>
          <w:lang w:val="en-US"/>
        </w:rPr>
        <w:t>(</w:t>
      </w:r>
      <w:proofErr w:type="gramEnd"/>
      <w:r w:rsidRPr="00EC1065">
        <w:rPr>
          <w:lang w:val="en-US"/>
        </w:rPr>
        <w:t xml:space="preserve">Tl) scintillation detector. Column: </w:t>
      </w:r>
      <w:proofErr w:type="spellStart"/>
      <w:r w:rsidRPr="00EC1065">
        <w:rPr>
          <w:lang w:val="en-US"/>
        </w:rPr>
        <w:t>Chromolith</w:t>
      </w:r>
      <w:proofErr w:type="spellEnd"/>
      <w:r w:rsidRPr="00EC1065">
        <w:rPr>
          <w:lang w:val="en-US"/>
        </w:rPr>
        <w:t xml:space="preserve"> C18 (100x4.6 mm, </w:t>
      </w:r>
      <w:r>
        <w:rPr>
          <w:lang w:val="en-US"/>
        </w:rPr>
        <w:t>Merck Millipore</w:t>
      </w:r>
      <w:r w:rsidRPr="00EC1065">
        <w:rPr>
          <w:lang w:val="en-US"/>
        </w:rPr>
        <w:t>; solvent A: H</w:t>
      </w:r>
      <w:r w:rsidRPr="00EC1065">
        <w:rPr>
          <w:vertAlign w:val="subscript"/>
          <w:lang w:val="en-US"/>
        </w:rPr>
        <w:t>2</w:t>
      </w:r>
      <w:r w:rsidRPr="00EC1065">
        <w:rPr>
          <w:lang w:val="en-US"/>
        </w:rPr>
        <w:t>O (0.1 % TFA), solvent B: MeOH (0.1 % TFA), flow rate: 3 mL/min, UV detector: 314 nm, gradient: 10-90 % B in 10 min]. For UV detection, OPA reagent (10 µL, #5061-3335, Agilent UK) was incubated with the [</w:t>
      </w:r>
      <w:r w:rsidRPr="00EC1065">
        <w:rPr>
          <w:vertAlign w:val="superscript"/>
          <w:lang w:val="en-US"/>
        </w:rPr>
        <w:t>18</w:t>
      </w:r>
      <w:proofErr w:type="gramStart"/>
      <w:r w:rsidRPr="00EC1065">
        <w:rPr>
          <w:lang w:val="en-US"/>
        </w:rPr>
        <w:t>F]FSPG</w:t>
      </w:r>
      <w:proofErr w:type="gramEnd"/>
      <w:r w:rsidRPr="00EC1065">
        <w:rPr>
          <w:lang w:val="en-US"/>
        </w:rPr>
        <w:t xml:space="preserve"> solution (40 µL) for 1 min prior to the HPLC analysis.</w:t>
      </w:r>
    </w:p>
    <w:p w14:paraId="30D4521F" w14:textId="77777777" w:rsidR="000F6C4F" w:rsidRDefault="000F6C4F" w:rsidP="00241CCA">
      <w:pPr>
        <w:spacing w:after="160" w:line="259" w:lineRule="auto"/>
        <w:rPr>
          <w:b/>
          <w:lang w:val="en-US"/>
        </w:rPr>
      </w:pPr>
    </w:p>
    <w:p w14:paraId="5ED902C0" w14:textId="216CC5C1" w:rsidR="00E772DB" w:rsidRDefault="000F6C4F" w:rsidP="00241CCA">
      <w:pPr>
        <w:spacing w:after="160" w:line="259" w:lineRule="auto"/>
        <w:rPr>
          <w:b/>
          <w:lang w:val="en-US"/>
        </w:rPr>
      </w:pPr>
      <w:r>
        <w:rPr>
          <w:b/>
          <w:lang w:val="en-US"/>
        </w:rPr>
        <w:lastRenderedPageBreak/>
        <w:t>SUPPLEMENTARY FIGURES</w:t>
      </w:r>
    </w:p>
    <w:p w14:paraId="097652D8" w14:textId="77777777" w:rsidR="00EC6BA8" w:rsidRDefault="00EC6BA8" w:rsidP="00241CCA">
      <w:pPr>
        <w:spacing w:after="160" w:line="259" w:lineRule="auto"/>
        <w:rPr>
          <w:b/>
          <w:lang w:val="en-US"/>
        </w:rPr>
      </w:pPr>
    </w:p>
    <w:p w14:paraId="464B5D8F" w14:textId="77777777" w:rsidR="00241CCA" w:rsidRDefault="00541777" w:rsidP="00541777">
      <w:pPr>
        <w:spacing w:after="160" w:line="259" w:lineRule="auto"/>
        <w:jc w:val="center"/>
        <w:rPr>
          <w:b/>
          <w:lang w:val="en-US"/>
        </w:rPr>
      </w:pPr>
      <w:r>
        <w:rPr>
          <w:b/>
          <w:noProof/>
          <w:lang w:val="en-US"/>
        </w:rPr>
        <w:drawing>
          <wp:inline distT="0" distB="0" distL="0" distR="0" wp14:anchorId="788E5E35" wp14:editId="08C11CB4">
            <wp:extent cx="5722620" cy="1923415"/>
            <wp:effectExtent l="0" t="0" r="0" b="635"/>
            <wp:docPr id="16" name="Picture 16" descr="F:\CABI\Manuscripts\1st manusripts - redox and mechanism of FSPG uptake\Science Translational Medicine\Submitted files\Figures - Version 7\Figure S1 - oxidative stress PEO1, PEO14, SKOV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CABI\Manuscripts\1st manusripts - redox and mechanism of FSPG uptake\Science Translational Medicine\Submitted files\Figures - Version 7\Figure S1 - oxidative stress PEO1, PEO14, SKOV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120AC" w14:textId="77777777" w:rsidR="00D814C0" w:rsidRPr="00EC1065" w:rsidRDefault="00D814C0" w:rsidP="004D274B">
      <w:pPr>
        <w:spacing w:line="480" w:lineRule="auto"/>
        <w:jc w:val="both"/>
        <w:rPr>
          <w:b/>
          <w:lang w:val="en-US"/>
        </w:rPr>
      </w:pPr>
      <w:bookmarkStart w:id="5" w:name="_Hlk514324732"/>
      <w:r w:rsidRPr="00EC1065">
        <w:rPr>
          <w:b/>
          <w:lang w:val="en-US"/>
        </w:rPr>
        <w:t>Figure S1. [</w:t>
      </w:r>
      <w:r w:rsidRPr="00EC1065">
        <w:rPr>
          <w:b/>
          <w:vertAlign w:val="superscript"/>
          <w:lang w:val="en-US"/>
        </w:rPr>
        <w:t>18</w:t>
      </w:r>
      <w:proofErr w:type="gramStart"/>
      <w:r w:rsidRPr="00EC1065">
        <w:rPr>
          <w:b/>
          <w:lang w:val="en-US"/>
        </w:rPr>
        <w:t>F]FSPG</w:t>
      </w:r>
      <w:proofErr w:type="gramEnd"/>
      <w:r w:rsidRPr="00EC1065">
        <w:rPr>
          <w:b/>
          <w:lang w:val="en-US"/>
        </w:rPr>
        <w:t xml:space="preserve"> </w:t>
      </w:r>
      <w:r>
        <w:rPr>
          <w:b/>
          <w:lang w:val="en-US"/>
        </w:rPr>
        <w:t>retention</w:t>
      </w:r>
      <w:r w:rsidRPr="00EC1065">
        <w:rPr>
          <w:b/>
          <w:lang w:val="en-US"/>
        </w:rPr>
        <w:t xml:space="preserve"> is </w:t>
      </w:r>
      <w:r>
        <w:rPr>
          <w:b/>
          <w:lang w:val="en-US"/>
        </w:rPr>
        <w:t>decrease</w:t>
      </w:r>
      <w:r w:rsidRPr="00EC1065">
        <w:rPr>
          <w:b/>
          <w:lang w:val="en-US"/>
        </w:rPr>
        <w:t>d by oxidative stress in several ovarian cancer cell lines.</w:t>
      </w:r>
      <w:r w:rsidRPr="00EC1065">
        <w:rPr>
          <w:lang w:val="en-US"/>
        </w:rPr>
        <w:t xml:space="preserve"> </w:t>
      </w:r>
      <w:r w:rsidRPr="00EC1065">
        <w:rPr>
          <w:b/>
          <w:lang w:val="en-US"/>
        </w:rPr>
        <w:t>(A-B)</w:t>
      </w:r>
      <w:r w:rsidRPr="00EC1065">
        <w:rPr>
          <w:lang w:val="en-US"/>
        </w:rPr>
        <w:t xml:space="preserve"> Flow cytometric measurement of </w:t>
      </w:r>
      <w:r w:rsidRPr="00316F0C">
        <w:rPr>
          <w:lang w:val="en-US"/>
        </w:rPr>
        <w:t>ROS</w:t>
      </w:r>
      <w:r w:rsidRPr="00EC1065">
        <w:rPr>
          <w:lang w:val="en-US"/>
        </w:rPr>
        <w:t xml:space="preserve"> in </w:t>
      </w:r>
      <w:r w:rsidRPr="00EC1065">
        <w:rPr>
          <w:b/>
          <w:lang w:val="en-US"/>
        </w:rPr>
        <w:t xml:space="preserve">(A) </w:t>
      </w:r>
      <w:r w:rsidRPr="00EC1065">
        <w:rPr>
          <w:lang w:val="en-US"/>
        </w:rPr>
        <w:t xml:space="preserve">PEO1 and </w:t>
      </w:r>
      <w:r w:rsidRPr="00EC1065">
        <w:rPr>
          <w:b/>
          <w:lang w:val="en-US"/>
        </w:rPr>
        <w:t>(B)</w:t>
      </w:r>
      <w:r w:rsidRPr="00EC1065">
        <w:rPr>
          <w:lang w:val="en-US"/>
        </w:rPr>
        <w:t xml:space="preserve"> PEO14 ovarian cancer cells using CellROX Orange and CellROX Green, following treatment with TBHP </w:t>
      </w:r>
      <w:r w:rsidRPr="00316F0C">
        <w:rPr>
          <w:lang w:val="en-US"/>
        </w:rPr>
        <w:t>(</w:t>
      </w:r>
      <w:r w:rsidRPr="00EC1065">
        <w:rPr>
          <w:lang w:val="en-US"/>
        </w:rPr>
        <w:t xml:space="preserve">200 </w:t>
      </w:r>
      <w:proofErr w:type="spellStart"/>
      <w:r w:rsidRPr="00EC1065">
        <w:rPr>
          <w:lang w:val="en-US"/>
        </w:rPr>
        <w:t>μM</w:t>
      </w:r>
      <w:proofErr w:type="spellEnd"/>
      <w:r w:rsidRPr="00EC1065">
        <w:rPr>
          <w:lang w:val="en-US"/>
        </w:rPr>
        <w:t>, 1 h). Scat</w:t>
      </w:r>
      <w:r>
        <w:rPr>
          <w:lang w:val="en-US"/>
        </w:rPr>
        <w:t>ter plot points represent independent experiments, each performed as a single measurement</w:t>
      </w:r>
      <w:r w:rsidRPr="00EC1065">
        <w:rPr>
          <w:lang w:val="en-US"/>
        </w:rPr>
        <w:t xml:space="preserve">. * p &lt; 0.05, t test. </w:t>
      </w:r>
      <w:r w:rsidRPr="00EC1065">
        <w:rPr>
          <w:b/>
          <w:lang w:val="en-US"/>
        </w:rPr>
        <w:t xml:space="preserve">(C) </w:t>
      </w:r>
      <w:r w:rsidRPr="00EC1065">
        <w:rPr>
          <w:lang w:val="en-US"/>
        </w:rPr>
        <w:t>Effect of TBHP treatment on [</w:t>
      </w:r>
      <w:r w:rsidRPr="00EC1065">
        <w:rPr>
          <w:vertAlign w:val="superscript"/>
          <w:lang w:val="en-US"/>
        </w:rPr>
        <w:t>18</w:t>
      </w:r>
      <w:proofErr w:type="gramStart"/>
      <w:r w:rsidRPr="00EC1065">
        <w:rPr>
          <w:lang w:val="en-US"/>
        </w:rPr>
        <w:t>F]FSPG</w:t>
      </w:r>
      <w:proofErr w:type="gramEnd"/>
      <w:r w:rsidRPr="00EC1065">
        <w:rPr>
          <w:lang w:val="en-US"/>
        </w:rPr>
        <w:t xml:space="preserve"> </w:t>
      </w:r>
      <w:r>
        <w:rPr>
          <w:lang w:val="en-US"/>
        </w:rPr>
        <w:t>retention</w:t>
      </w:r>
      <w:r w:rsidRPr="00EC1065">
        <w:rPr>
          <w:lang w:val="en-US"/>
        </w:rPr>
        <w:t xml:space="preserve"> in PEO1, PEO14 and SKOV3 ovarian cancer cells. </w:t>
      </w:r>
      <w:r>
        <w:rPr>
          <w:lang w:val="en-US"/>
        </w:rPr>
        <w:t>Scatter plot</w:t>
      </w:r>
      <w:r w:rsidRPr="00F36A1F">
        <w:rPr>
          <w:lang w:val="en-US"/>
        </w:rPr>
        <w:t xml:space="preserve"> points repres</w:t>
      </w:r>
      <w:r>
        <w:rPr>
          <w:lang w:val="en-US"/>
        </w:rPr>
        <w:t>ent replicate wells collected in</w:t>
      </w:r>
      <w:r w:rsidRPr="00F36A1F">
        <w:rPr>
          <w:lang w:val="en-US"/>
        </w:rPr>
        <w:t xml:space="preserve"> one (SKOV3) or two (PEO1 and P</w:t>
      </w:r>
      <w:r>
        <w:rPr>
          <w:lang w:val="en-US"/>
        </w:rPr>
        <w:t>EO14) independent experiments.</w:t>
      </w:r>
      <w:bookmarkEnd w:id="5"/>
      <w:r w:rsidRPr="00EC1065">
        <w:rPr>
          <w:b/>
          <w:lang w:val="en-US"/>
        </w:rPr>
        <w:br w:type="page"/>
      </w:r>
    </w:p>
    <w:p w14:paraId="475F4BA3" w14:textId="77777777" w:rsidR="00D814C0" w:rsidRPr="00EC1065" w:rsidRDefault="00541777" w:rsidP="004D274B">
      <w:pPr>
        <w:spacing w:line="480" w:lineRule="auto"/>
        <w:jc w:val="center"/>
        <w:rPr>
          <w:b/>
          <w:caps/>
          <w:lang w:val="en-US"/>
        </w:rPr>
      </w:pPr>
      <w:r>
        <w:rPr>
          <w:b/>
          <w:caps/>
          <w:noProof/>
          <w:lang w:val="en-US"/>
        </w:rPr>
        <w:lastRenderedPageBreak/>
        <w:drawing>
          <wp:inline distT="0" distB="0" distL="0" distR="0" wp14:anchorId="7376EC32" wp14:editId="34502CF5">
            <wp:extent cx="5691505" cy="1812925"/>
            <wp:effectExtent l="0" t="0" r="4445" b="0"/>
            <wp:docPr id="17" name="Picture 17" descr="F:\CABI\Manuscripts\1st manusripts - redox and mechanism of FSPG uptake\Science Translational Medicine\Submitted files\Figures - Version 7\Figure S2 - Glu correlation, extracellular cyst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CABI\Manuscripts\1st manusripts - redox and mechanism of FSPG uptake\Science Translational Medicine\Submitted files\Figures - Version 7\Figure S2 - Glu correlation, extracellular cystin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DD614" w14:textId="77777777" w:rsidR="00EB2F28" w:rsidRDefault="00D814C0" w:rsidP="004D274B">
      <w:pPr>
        <w:spacing w:line="360" w:lineRule="auto"/>
        <w:jc w:val="both"/>
        <w:rPr>
          <w:lang w:val="en-US"/>
        </w:rPr>
      </w:pPr>
      <w:bookmarkStart w:id="6" w:name="_Hlk514324740"/>
      <w:r w:rsidRPr="00EC1065">
        <w:rPr>
          <w:b/>
          <w:lang w:val="en-US"/>
        </w:rPr>
        <w:t>Figure S2. [</w:t>
      </w:r>
      <w:r w:rsidRPr="00EC1065">
        <w:rPr>
          <w:b/>
          <w:vertAlign w:val="superscript"/>
          <w:lang w:val="en-US"/>
        </w:rPr>
        <w:t>18</w:t>
      </w:r>
      <w:proofErr w:type="gramStart"/>
      <w:r w:rsidRPr="00EC1065">
        <w:rPr>
          <w:b/>
          <w:lang w:val="en-US"/>
        </w:rPr>
        <w:t>F]FSPG</w:t>
      </w:r>
      <w:proofErr w:type="gramEnd"/>
      <w:r>
        <w:rPr>
          <w:b/>
          <w:lang w:val="en-US"/>
        </w:rPr>
        <w:t xml:space="preserve"> retention is influenced by levels of </w:t>
      </w:r>
      <w:r w:rsidRPr="00EC1065">
        <w:rPr>
          <w:b/>
          <w:lang w:val="en-US"/>
        </w:rPr>
        <w:t>glutamate</w:t>
      </w:r>
      <w:r>
        <w:rPr>
          <w:b/>
          <w:lang w:val="en-US"/>
        </w:rPr>
        <w:t xml:space="preserve"> and cystine</w:t>
      </w:r>
      <w:r w:rsidRPr="00EC1065">
        <w:rPr>
          <w:b/>
          <w:lang w:val="en-US"/>
        </w:rPr>
        <w:t>.</w:t>
      </w:r>
      <w:r w:rsidRPr="00EC1065">
        <w:rPr>
          <w:lang w:val="en-US"/>
        </w:rPr>
        <w:t xml:space="preserve"> </w:t>
      </w:r>
      <w:r w:rsidRPr="00EC1065">
        <w:rPr>
          <w:b/>
          <w:lang w:val="en-US"/>
        </w:rPr>
        <w:t xml:space="preserve">(A) </w:t>
      </w:r>
      <w:r w:rsidRPr="006C364C">
        <w:rPr>
          <w:lang w:val="en-US"/>
        </w:rPr>
        <w:t>Cell</w:t>
      </w:r>
      <w:r>
        <w:rPr>
          <w:lang w:val="en-US"/>
        </w:rPr>
        <w:t xml:space="preserve">-associated </w:t>
      </w:r>
      <w:r w:rsidRPr="00EC1065">
        <w:rPr>
          <w:lang w:val="en-US"/>
        </w:rPr>
        <w:t>[</w:t>
      </w:r>
      <w:r w:rsidRPr="00EC1065">
        <w:rPr>
          <w:vertAlign w:val="superscript"/>
          <w:lang w:val="en-US"/>
        </w:rPr>
        <w:t>18</w:t>
      </w:r>
      <w:proofErr w:type="gramStart"/>
      <w:r w:rsidRPr="00EC1065">
        <w:rPr>
          <w:lang w:val="en-US"/>
        </w:rPr>
        <w:t>F]FSPG</w:t>
      </w:r>
      <w:proofErr w:type="gramEnd"/>
      <w:r w:rsidRPr="00EC1065">
        <w:rPr>
          <w:lang w:val="en-US"/>
        </w:rPr>
        <w:t xml:space="preserve"> </w:t>
      </w:r>
      <w:r>
        <w:rPr>
          <w:lang w:val="en-US"/>
        </w:rPr>
        <w:t xml:space="preserve">radioactivity </w:t>
      </w:r>
      <w:r w:rsidRPr="00EC1065">
        <w:rPr>
          <w:lang w:val="en-US"/>
        </w:rPr>
        <w:t>after various durations of exposure to glutamine-free media</w:t>
      </w:r>
      <w:r w:rsidRPr="00316F0C">
        <w:rPr>
          <w:lang w:val="en-US"/>
        </w:rPr>
        <w:t>, with</w:t>
      </w:r>
      <w:r w:rsidRPr="00EC1065">
        <w:rPr>
          <w:lang w:val="en-US"/>
        </w:rPr>
        <w:t xml:space="preserve"> intracellular glutamate levels determined in the same cells. Data represent the mean ± SD </w:t>
      </w:r>
      <w:r>
        <w:rPr>
          <w:lang w:val="en-US"/>
        </w:rPr>
        <w:t xml:space="preserve">of </w:t>
      </w:r>
      <w:r w:rsidRPr="00EC1065">
        <w:rPr>
          <w:lang w:val="en-US"/>
        </w:rPr>
        <w:t>three independent determinations. †††† p &lt; 0.0001, ** p &lt; 0.01,</w:t>
      </w:r>
      <w:r>
        <w:rPr>
          <w:lang w:val="en-US"/>
        </w:rPr>
        <w:t xml:space="preserve"> Bonferroni multiple comparison-corrected</w:t>
      </w:r>
      <w:r w:rsidRPr="00EC1065">
        <w:rPr>
          <w:lang w:val="en-US"/>
        </w:rPr>
        <w:t xml:space="preserve"> t test</w:t>
      </w:r>
      <w:r w:rsidRPr="00316F0C">
        <w:rPr>
          <w:lang w:val="en-US"/>
        </w:rPr>
        <w:t xml:space="preserve"> versus cells grown in glutamine-containing media</w:t>
      </w:r>
      <w:r w:rsidRPr="00EC1065">
        <w:rPr>
          <w:lang w:val="en-US"/>
        </w:rPr>
        <w:t xml:space="preserve">. </w:t>
      </w:r>
      <w:r w:rsidRPr="00EC1065">
        <w:rPr>
          <w:b/>
          <w:lang w:val="en-US"/>
        </w:rPr>
        <w:t>(B)</w:t>
      </w:r>
      <w:r w:rsidRPr="00EC1065">
        <w:rPr>
          <w:lang w:val="en-US"/>
        </w:rPr>
        <w:t xml:space="preserve"> Correlation between [</w:t>
      </w:r>
      <w:r w:rsidRPr="00EC1065">
        <w:rPr>
          <w:vertAlign w:val="superscript"/>
          <w:lang w:val="en-US"/>
        </w:rPr>
        <w:t>18</w:t>
      </w:r>
      <w:proofErr w:type="gramStart"/>
      <w:r w:rsidRPr="00EC1065">
        <w:rPr>
          <w:lang w:val="en-US"/>
        </w:rPr>
        <w:t>F</w:t>
      </w:r>
      <w:r w:rsidRPr="00316F0C">
        <w:rPr>
          <w:lang w:val="en-US"/>
        </w:rPr>
        <w:t>]</w:t>
      </w:r>
      <w:r w:rsidRPr="00EC1065">
        <w:rPr>
          <w:lang w:val="en-US"/>
        </w:rPr>
        <w:t>FSPG</w:t>
      </w:r>
      <w:proofErr w:type="gramEnd"/>
      <w:r w:rsidRPr="00EC1065">
        <w:rPr>
          <w:lang w:val="en-US"/>
        </w:rPr>
        <w:t xml:space="preserve"> </w:t>
      </w:r>
      <w:r>
        <w:rPr>
          <w:lang w:val="en-US"/>
        </w:rPr>
        <w:t>accumulation</w:t>
      </w:r>
      <w:r w:rsidRPr="00EC1065">
        <w:rPr>
          <w:lang w:val="en-US"/>
        </w:rPr>
        <w:t xml:space="preserve"> and intracellular glutamate</w:t>
      </w:r>
      <w:r w:rsidRPr="00316F0C">
        <w:rPr>
          <w:lang w:val="en-US"/>
        </w:rPr>
        <w:t xml:space="preserve"> concentration</w:t>
      </w:r>
      <w:r w:rsidRPr="00EC1065">
        <w:rPr>
          <w:lang w:val="en-US"/>
        </w:rPr>
        <w:t>.</w:t>
      </w:r>
      <w:r>
        <w:rPr>
          <w:lang w:val="en-US"/>
        </w:rPr>
        <w:t xml:space="preserve"> (</w:t>
      </w:r>
      <w:r w:rsidRPr="00790D06">
        <w:rPr>
          <w:b/>
          <w:lang w:val="en-US"/>
        </w:rPr>
        <w:t>C</w:t>
      </w:r>
      <w:r>
        <w:rPr>
          <w:lang w:val="en-US"/>
        </w:rPr>
        <w:t>) Reduction of [</w:t>
      </w:r>
      <w:r w:rsidRPr="00790D06">
        <w:rPr>
          <w:vertAlign w:val="superscript"/>
          <w:lang w:val="en-US"/>
        </w:rPr>
        <w:t>18</w:t>
      </w:r>
      <w:proofErr w:type="gramStart"/>
      <w:r>
        <w:rPr>
          <w:lang w:val="en-US"/>
        </w:rPr>
        <w:t>F]FSPG</w:t>
      </w:r>
      <w:proofErr w:type="gramEnd"/>
      <w:r>
        <w:rPr>
          <w:lang w:val="en-US"/>
        </w:rPr>
        <w:t xml:space="preserve"> cell retention at high concentrations of extracellular cystine. Data represent mean </w:t>
      </w:r>
      <w:r w:rsidRPr="00EC1065">
        <w:rPr>
          <w:lang w:val="en-US"/>
        </w:rPr>
        <w:t>± SD</w:t>
      </w:r>
      <w:r>
        <w:rPr>
          <w:lang w:val="en-US"/>
        </w:rPr>
        <w:t xml:space="preserve"> of three replicate wells.</w:t>
      </w:r>
      <w:bookmarkEnd w:id="6"/>
    </w:p>
    <w:p w14:paraId="5556F39F" w14:textId="77777777" w:rsidR="00EB2F28" w:rsidRDefault="00EB2F28" w:rsidP="004D274B">
      <w:pPr>
        <w:spacing w:line="360" w:lineRule="auto"/>
        <w:jc w:val="both"/>
        <w:rPr>
          <w:lang w:val="en-US"/>
        </w:rPr>
      </w:pPr>
    </w:p>
    <w:p w14:paraId="30727938" w14:textId="77777777" w:rsidR="00EB2F28" w:rsidRDefault="00EB2F28">
      <w:pPr>
        <w:spacing w:after="160" w:line="259" w:lineRule="auto"/>
        <w:rPr>
          <w:b/>
          <w:caps/>
          <w:noProof/>
          <w:lang w:val="en-US"/>
        </w:rPr>
      </w:pPr>
      <w:r>
        <w:rPr>
          <w:b/>
          <w:caps/>
          <w:noProof/>
          <w:lang w:val="en-US"/>
        </w:rPr>
        <w:br w:type="page"/>
      </w:r>
    </w:p>
    <w:p w14:paraId="04D161C1" w14:textId="77777777" w:rsidR="00EB2F28" w:rsidRDefault="00EB2F28" w:rsidP="004D274B">
      <w:pPr>
        <w:spacing w:line="360" w:lineRule="auto"/>
        <w:jc w:val="both"/>
        <w:rPr>
          <w:b/>
          <w:caps/>
          <w:lang w:val="en-US"/>
        </w:rPr>
      </w:pPr>
      <w:r>
        <w:rPr>
          <w:b/>
          <w:caps/>
          <w:noProof/>
          <w:lang w:val="en-US"/>
        </w:rPr>
        <w:lastRenderedPageBreak/>
        <w:drawing>
          <wp:inline distT="0" distB="0" distL="0" distR="0" wp14:anchorId="580BB6CB" wp14:editId="79F65D24">
            <wp:extent cx="3835400" cy="248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 S3 - GSSG M+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35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FD877" w14:textId="671A4A27" w:rsidR="00EB2F28" w:rsidRDefault="00EB2F28" w:rsidP="00EB2F28">
      <w:pPr>
        <w:spacing w:line="360" w:lineRule="auto"/>
        <w:jc w:val="both"/>
        <w:rPr>
          <w:lang w:val="en-US"/>
        </w:rPr>
      </w:pPr>
      <w:r>
        <w:rPr>
          <w:b/>
          <w:lang w:val="en-US"/>
        </w:rPr>
        <w:t>Figure S3</w:t>
      </w:r>
      <w:r w:rsidRPr="00EC1065">
        <w:rPr>
          <w:b/>
          <w:lang w:val="en-US"/>
        </w:rPr>
        <w:t xml:space="preserve">. </w:t>
      </w:r>
      <w:r>
        <w:rPr>
          <w:b/>
          <w:lang w:val="en-US"/>
        </w:rPr>
        <w:t xml:space="preserve">Incorporation of </w:t>
      </w:r>
      <w:r w:rsidRPr="00EB2F28">
        <w:rPr>
          <w:b/>
          <w:lang w:val="en-US"/>
        </w:rPr>
        <w:t>[U-</w:t>
      </w:r>
      <w:r w:rsidRPr="00EB2F28">
        <w:rPr>
          <w:b/>
          <w:vertAlign w:val="superscript"/>
          <w:lang w:val="en-US"/>
        </w:rPr>
        <w:t>13</w:t>
      </w:r>
      <w:r w:rsidRPr="00EB2F28">
        <w:rPr>
          <w:b/>
          <w:lang w:val="en-US"/>
        </w:rPr>
        <w:t>C</w:t>
      </w:r>
      <w:r w:rsidRPr="00EB2F28">
        <w:rPr>
          <w:b/>
          <w:vertAlign w:val="subscript"/>
          <w:lang w:val="en-US"/>
        </w:rPr>
        <w:t>6</w:t>
      </w:r>
      <w:r w:rsidRPr="00EB2F28">
        <w:rPr>
          <w:b/>
          <w:lang w:val="en-US"/>
        </w:rPr>
        <w:t>, U-</w:t>
      </w:r>
      <w:r w:rsidRPr="00EB2F28">
        <w:rPr>
          <w:b/>
          <w:vertAlign w:val="superscript"/>
          <w:lang w:val="en-US"/>
        </w:rPr>
        <w:t>15</w:t>
      </w:r>
      <w:r w:rsidRPr="00EB2F28">
        <w:rPr>
          <w:b/>
          <w:lang w:val="en-US"/>
        </w:rPr>
        <w:t>N</w:t>
      </w:r>
      <w:proofErr w:type="gramStart"/>
      <w:r w:rsidRPr="00EB2F28">
        <w:rPr>
          <w:b/>
          <w:vertAlign w:val="subscript"/>
          <w:lang w:val="en-US"/>
        </w:rPr>
        <w:t>2</w:t>
      </w:r>
      <w:r w:rsidRPr="00EB2F28">
        <w:rPr>
          <w:b/>
          <w:lang w:val="en-US"/>
        </w:rPr>
        <w:t>]cystine</w:t>
      </w:r>
      <w:proofErr w:type="gramEnd"/>
      <w:r>
        <w:rPr>
          <w:b/>
          <w:lang w:val="en-US"/>
        </w:rPr>
        <w:t xml:space="preserve"> into dual</w:t>
      </w:r>
      <w:r w:rsidR="00CA4198">
        <w:rPr>
          <w:b/>
          <w:lang w:val="en-US"/>
        </w:rPr>
        <w:t>-labeled (M+8) GSSG</w:t>
      </w:r>
      <w:r w:rsidRPr="00EC1065">
        <w:rPr>
          <w:lang w:val="en-US"/>
        </w:rPr>
        <w:t>.</w:t>
      </w:r>
      <w:r w:rsidR="00CA4198">
        <w:rPr>
          <w:lang w:val="en-US"/>
        </w:rPr>
        <w:t xml:space="preserve"> </w:t>
      </w:r>
      <w:r w:rsidR="00CA4198" w:rsidRPr="00EC1065">
        <w:rPr>
          <w:lang w:val="en-US"/>
        </w:rPr>
        <w:t xml:space="preserve">Cells were fed with </w:t>
      </w:r>
      <w:r w:rsidR="00CA4198" w:rsidRPr="00316F0C">
        <w:rPr>
          <w:lang w:val="en-US"/>
        </w:rPr>
        <w:t>[</w:t>
      </w:r>
      <w:r w:rsidR="00CA4198">
        <w:rPr>
          <w:lang w:val="en-US"/>
        </w:rPr>
        <w:t>U-</w:t>
      </w:r>
      <w:r w:rsidR="00CA4198" w:rsidRPr="00EC1065">
        <w:rPr>
          <w:vertAlign w:val="superscript"/>
          <w:lang w:val="en-US"/>
        </w:rPr>
        <w:t>13</w:t>
      </w:r>
      <w:r w:rsidR="00CA4198" w:rsidRPr="00316F0C">
        <w:rPr>
          <w:lang w:val="en-US"/>
        </w:rPr>
        <w:t>C</w:t>
      </w:r>
      <w:r w:rsidR="00CA4198" w:rsidRPr="00EC1065">
        <w:rPr>
          <w:vertAlign w:val="subscript"/>
          <w:lang w:val="en-US"/>
        </w:rPr>
        <w:t>6</w:t>
      </w:r>
      <w:r w:rsidR="00CA4198" w:rsidRPr="00316F0C">
        <w:rPr>
          <w:lang w:val="en-US"/>
        </w:rPr>
        <w:t xml:space="preserve">, </w:t>
      </w:r>
      <w:r w:rsidR="00CA4198">
        <w:rPr>
          <w:lang w:val="en-US"/>
        </w:rPr>
        <w:t>U-</w:t>
      </w:r>
      <w:r w:rsidR="00CA4198" w:rsidRPr="00EC1065">
        <w:rPr>
          <w:vertAlign w:val="superscript"/>
          <w:lang w:val="en-US"/>
        </w:rPr>
        <w:t>15</w:t>
      </w:r>
      <w:r w:rsidR="00CA4198" w:rsidRPr="00316F0C">
        <w:rPr>
          <w:lang w:val="en-US"/>
        </w:rPr>
        <w:t>N</w:t>
      </w:r>
      <w:proofErr w:type="gramStart"/>
      <w:r w:rsidR="00CA4198" w:rsidRPr="00EC1065">
        <w:rPr>
          <w:vertAlign w:val="subscript"/>
          <w:lang w:val="en-US"/>
        </w:rPr>
        <w:t>2</w:t>
      </w:r>
      <w:r w:rsidR="00CA4198" w:rsidRPr="00316F0C">
        <w:rPr>
          <w:lang w:val="en-US"/>
        </w:rPr>
        <w:t>]</w:t>
      </w:r>
      <w:r w:rsidR="00CA4198" w:rsidRPr="00EC1065">
        <w:rPr>
          <w:lang w:val="en-US"/>
        </w:rPr>
        <w:t>cystine</w:t>
      </w:r>
      <w:proofErr w:type="gramEnd"/>
      <w:r w:rsidR="00CA4198" w:rsidRPr="00EC1065">
        <w:rPr>
          <w:lang w:val="en-US"/>
        </w:rPr>
        <w:t xml:space="preserve"> </w:t>
      </w:r>
      <w:r w:rsidR="00CA4198" w:rsidRPr="00316F0C">
        <w:rPr>
          <w:lang w:val="en-US"/>
        </w:rPr>
        <w:t>(200</w:t>
      </w:r>
      <w:r w:rsidR="00CA4198">
        <w:rPr>
          <w:lang w:val="en-US"/>
        </w:rPr>
        <w:t xml:space="preserve"> </w:t>
      </w:r>
      <w:r w:rsidR="00CA4198" w:rsidRPr="00316F0C">
        <w:rPr>
          <w:lang w:val="en-US"/>
        </w:rPr>
        <w:t xml:space="preserve">µM) </w:t>
      </w:r>
      <w:r w:rsidR="00CA4198" w:rsidRPr="00EC1065">
        <w:rPr>
          <w:lang w:val="en-US"/>
        </w:rPr>
        <w:t xml:space="preserve">and the </w:t>
      </w:r>
      <w:r w:rsidR="00CA4198">
        <w:rPr>
          <w:lang w:val="en-US"/>
        </w:rPr>
        <w:t>flux</w:t>
      </w:r>
      <w:r w:rsidR="00CA4198" w:rsidRPr="00EC1065">
        <w:rPr>
          <w:lang w:val="en-US"/>
        </w:rPr>
        <w:t xml:space="preserve"> of </w:t>
      </w:r>
      <w:r w:rsidR="00CA4198">
        <w:rPr>
          <w:lang w:val="en-US"/>
        </w:rPr>
        <w:t xml:space="preserve">two heavy-labeled cystines into GSSG </w:t>
      </w:r>
      <w:r w:rsidR="00CA4198" w:rsidRPr="00EC1065">
        <w:rPr>
          <w:lang w:val="en-US"/>
        </w:rPr>
        <w:t xml:space="preserve">was followed in cell lysates using LC-MS. Data are presented as mean ± SD of three replicate wells. </w:t>
      </w:r>
      <w:r w:rsidRPr="00EC1065">
        <w:rPr>
          <w:lang w:val="en-US"/>
        </w:rPr>
        <w:t xml:space="preserve"> </w:t>
      </w:r>
    </w:p>
    <w:p w14:paraId="2DE58E4C" w14:textId="4C0C0966" w:rsidR="00D814C0" w:rsidRPr="00EC1065" w:rsidRDefault="00D814C0" w:rsidP="004D274B">
      <w:pPr>
        <w:spacing w:line="360" w:lineRule="auto"/>
        <w:jc w:val="both"/>
        <w:rPr>
          <w:b/>
          <w:caps/>
          <w:lang w:val="en-US"/>
        </w:rPr>
      </w:pPr>
      <w:r w:rsidRPr="00EC1065">
        <w:rPr>
          <w:b/>
          <w:caps/>
          <w:lang w:val="en-US"/>
        </w:rPr>
        <w:br w:type="page"/>
      </w:r>
    </w:p>
    <w:p w14:paraId="5A90CA88" w14:textId="77777777" w:rsidR="00D814C0" w:rsidRPr="00EC1065" w:rsidRDefault="00541777" w:rsidP="004D274B">
      <w:pPr>
        <w:spacing w:line="480" w:lineRule="auto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02D970F9" wp14:editId="6ACFBC3F">
            <wp:extent cx="5722620" cy="3988435"/>
            <wp:effectExtent l="0" t="0" r="0" b="0"/>
            <wp:docPr id="19" name="Picture 19" descr="F:\CABI\Manuscripts\1st manusripts - redox and mechanism of FSPG uptake\Science Translational Medicine\Submitted files\Figures - Version 7\Figure S3 - NAC effect on cystine leve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CABI\Manuscripts\1st manusripts - redox and mechanism of FSPG uptake\Science Translational Medicine\Submitted files\Figures - Version 7\Figure S3 - NAC effect on cystine level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98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6A3D6" w14:textId="24D0C8EF" w:rsidR="00D814C0" w:rsidRDefault="00A2730C" w:rsidP="004D274B">
      <w:pPr>
        <w:spacing w:line="360" w:lineRule="auto"/>
        <w:jc w:val="both"/>
        <w:rPr>
          <w:lang w:val="en-US"/>
        </w:rPr>
      </w:pPr>
      <w:bookmarkStart w:id="7" w:name="_Hlk514324748"/>
      <w:r>
        <w:rPr>
          <w:b/>
          <w:lang w:val="en-US"/>
        </w:rPr>
        <w:t>Figure S4</w:t>
      </w:r>
      <w:r w:rsidR="00D814C0" w:rsidRPr="00EC1065">
        <w:rPr>
          <w:b/>
          <w:lang w:val="en-US"/>
        </w:rPr>
        <w:t>. Extensive disulfide exchange between cystine and N-acetylcysteine occurs in both cells and culture media</w:t>
      </w:r>
      <w:r w:rsidR="00D814C0" w:rsidRPr="00EC1065">
        <w:rPr>
          <w:lang w:val="en-US"/>
        </w:rPr>
        <w:t xml:space="preserve">. </w:t>
      </w:r>
      <w:r w:rsidR="00D814C0" w:rsidRPr="00EC1065">
        <w:rPr>
          <w:b/>
          <w:lang w:val="en-US"/>
        </w:rPr>
        <w:t>(A)</w:t>
      </w:r>
      <w:r w:rsidR="00D814C0" w:rsidRPr="00EC1065">
        <w:rPr>
          <w:lang w:val="en-US"/>
        </w:rPr>
        <w:t xml:space="preserve"> Proposed disulfide exchange reacti</w:t>
      </w:r>
      <w:r w:rsidR="00D814C0" w:rsidRPr="00316F0C">
        <w:rPr>
          <w:lang w:val="en-US"/>
        </w:rPr>
        <w:t>on</w:t>
      </w:r>
      <w:r w:rsidR="00D814C0" w:rsidRPr="00EC1065">
        <w:rPr>
          <w:lang w:val="en-US"/>
        </w:rPr>
        <w:t xml:space="preserve"> between cystine and NAC, forming cysteine and the mixed NAC-cysteine disulfide species. </w:t>
      </w:r>
      <w:r w:rsidR="00D814C0" w:rsidRPr="00EC1065">
        <w:rPr>
          <w:b/>
          <w:lang w:val="en-US"/>
        </w:rPr>
        <w:t>(B)</w:t>
      </w:r>
      <w:r w:rsidR="00D814C0" w:rsidRPr="00EC1065">
        <w:rPr>
          <w:lang w:val="en-US"/>
        </w:rPr>
        <w:t xml:space="preserve"> </w:t>
      </w:r>
      <w:r w:rsidR="00D814C0" w:rsidRPr="00316F0C">
        <w:rPr>
          <w:lang w:val="en-US"/>
        </w:rPr>
        <w:t>F</w:t>
      </w:r>
      <w:r w:rsidR="00D814C0" w:rsidRPr="00EC1065">
        <w:rPr>
          <w:lang w:val="en-US"/>
        </w:rPr>
        <w:t xml:space="preserve">ree cysteine in media after addition of NAC (NAC and BOTH conditions) relative to the untreated (UT) and TBHP-treated conditions. </w:t>
      </w:r>
      <w:r w:rsidR="00D814C0" w:rsidRPr="00EC1065">
        <w:rPr>
          <w:b/>
          <w:lang w:val="en-US"/>
        </w:rPr>
        <w:t>(C)</w:t>
      </w:r>
      <w:r w:rsidR="00D814C0" w:rsidRPr="00EC1065">
        <w:rPr>
          <w:lang w:val="en-US"/>
        </w:rPr>
        <w:t xml:space="preserve"> Appearance of NAC-cysteine disulfide species in medi</w:t>
      </w:r>
      <w:r w:rsidR="00D814C0">
        <w:rPr>
          <w:lang w:val="en-US"/>
        </w:rPr>
        <w:t>a</w:t>
      </w:r>
      <w:r w:rsidR="00D814C0" w:rsidRPr="00316F0C">
        <w:rPr>
          <w:lang w:val="en-US"/>
        </w:rPr>
        <w:t xml:space="preserve"> </w:t>
      </w:r>
      <w:r w:rsidR="00D814C0" w:rsidRPr="00EC1065">
        <w:rPr>
          <w:lang w:val="en-US"/>
        </w:rPr>
        <w:t xml:space="preserve">following NAC treatment compared to near-undetectable levels in non-NAC treated conditions. </w:t>
      </w:r>
      <w:r w:rsidR="00D814C0" w:rsidRPr="00EC1065">
        <w:rPr>
          <w:b/>
          <w:lang w:val="en-US"/>
        </w:rPr>
        <w:t>(D)</w:t>
      </w:r>
      <w:r w:rsidR="00D814C0" w:rsidRPr="00EC1065">
        <w:rPr>
          <w:lang w:val="en-US"/>
        </w:rPr>
        <w:t xml:space="preserve"> Intracellular appearance of NAC-cysteine disulfide</w:t>
      </w:r>
      <w:r w:rsidR="00D814C0" w:rsidRPr="00316F0C">
        <w:rPr>
          <w:lang w:val="en-US"/>
        </w:rPr>
        <w:t xml:space="preserve"> </w:t>
      </w:r>
      <w:r w:rsidR="00D814C0" w:rsidRPr="00EC1065">
        <w:rPr>
          <w:lang w:val="en-US"/>
        </w:rPr>
        <w:t xml:space="preserve">following NAC treatment, compared to undetectable levels in the absence of NAC treatment. Data represent mean ± SD, and </w:t>
      </w:r>
      <w:r w:rsidR="00D814C0" w:rsidRPr="00316F0C">
        <w:rPr>
          <w:lang w:val="en-US"/>
        </w:rPr>
        <w:t>i</w:t>
      </w:r>
      <w:r w:rsidR="00D814C0" w:rsidRPr="00EC1065">
        <w:rPr>
          <w:lang w:val="en-US"/>
        </w:rPr>
        <w:t>ndividual points represent replicate wells.</w:t>
      </w:r>
      <w:r w:rsidR="00D814C0">
        <w:rPr>
          <w:lang w:val="en-US"/>
        </w:rPr>
        <w:t xml:space="preserve"> [Cysteine]</w:t>
      </w:r>
      <w:r w:rsidR="00D814C0" w:rsidRPr="006C364C">
        <w:rPr>
          <w:vertAlign w:val="subscript"/>
          <w:lang w:val="en-US"/>
        </w:rPr>
        <w:t>o</w:t>
      </w:r>
      <w:r w:rsidR="00D814C0">
        <w:rPr>
          <w:lang w:val="en-US"/>
        </w:rPr>
        <w:t>, extracellular cysteine; [NAC-</w:t>
      </w:r>
      <w:proofErr w:type="gramStart"/>
      <w:r w:rsidR="00D814C0">
        <w:rPr>
          <w:lang w:val="en-US"/>
        </w:rPr>
        <w:t>cysteine]</w:t>
      </w:r>
      <w:r w:rsidR="00D814C0" w:rsidRPr="006C364C">
        <w:rPr>
          <w:vertAlign w:val="subscript"/>
          <w:lang w:val="en-US"/>
        </w:rPr>
        <w:t>o</w:t>
      </w:r>
      <w:proofErr w:type="gramEnd"/>
      <w:r w:rsidR="00D814C0">
        <w:rPr>
          <w:lang w:val="en-US"/>
        </w:rPr>
        <w:t>, extracellular NAC-cysteine conjugate; [NAC-cysteine]</w:t>
      </w:r>
      <w:proofErr w:type="spellStart"/>
      <w:r w:rsidR="00D814C0">
        <w:rPr>
          <w:vertAlign w:val="subscript"/>
          <w:lang w:val="en-US"/>
        </w:rPr>
        <w:t>i</w:t>
      </w:r>
      <w:proofErr w:type="spellEnd"/>
      <w:r w:rsidR="00D814C0">
        <w:rPr>
          <w:lang w:val="en-US"/>
        </w:rPr>
        <w:t>, intracellular NAC-cysteine conjugate.</w:t>
      </w:r>
    </w:p>
    <w:bookmarkEnd w:id="7"/>
    <w:p w14:paraId="1CB8402E" w14:textId="77777777" w:rsidR="00D814C0" w:rsidRDefault="00D814C0">
      <w:pPr>
        <w:spacing w:after="160" w:line="259" w:lineRule="auto"/>
        <w:rPr>
          <w:lang w:val="en-US"/>
        </w:rPr>
      </w:pPr>
      <w:r>
        <w:rPr>
          <w:lang w:val="en-US"/>
        </w:rPr>
        <w:br w:type="page"/>
      </w:r>
    </w:p>
    <w:p w14:paraId="6382ECDD" w14:textId="77777777" w:rsidR="00D814C0" w:rsidRPr="00316F0C" w:rsidRDefault="00541777" w:rsidP="004D274B">
      <w:pPr>
        <w:spacing w:line="360" w:lineRule="auto"/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3E75BB25" wp14:editId="45994765">
            <wp:extent cx="3563007" cy="3778292"/>
            <wp:effectExtent l="0" t="0" r="0" b="0"/>
            <wp:docPr id="20" name="Picture 20" descr="F:\CABI\Manuscripts\1st manusripts - redox and mechanism of FSPG uptake\Science Translational Medicine\Submitted files\Figures - Version 7\Figure S4 - Doxil cell 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CABI\Manuscripts\1st manusripts - redox and mechanism of FSPG uptake\Science Translational Medicine\Submitted files\Figures - Version 7\Figure S4 - Doxil cell model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5212" cy="378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5D76B" w14:textId="1E227FBF" w:rsidR="00D814C0" w:rsidRPr="00EC1065" w:rsidRDefault="00A2730C" w:rsidP="004D274B">
      <w:pPr>
        <w:spacing w:line="360" w:lineRule="auto"/>
        <w:jc w:val="both"/>
        <w:outlineLvl w:val="0"/>
        <w:rPr>
          <w:lang w:val="en-US"/>
        </w:rPr>
      </w:pPr>
      <w:bookmarkStart w:id="8" w:name="_Hlk514324755"/>
      <w:r>
        <w:rPr>
          <w:b/>
          <w:lang w:val="en-US"/>
        </w:rPr>
        <w:t>Figure S5</w:t>
      </w:r>
      <w:r w:rsidR="00D814C0" w:rsidRPr="00EC1065">
        <w:rPr>
          <w:b/>
          <w:lang w:val="en-US"/>
        </w:rPr>
        <w:t xml:space="preserve">. </w:t>
      </w:r>
      <w:r w:rsidR="00D814C0" w:rsidRPr="00316F0C">
        <w:rPr>
          <w:b/>
          <w:lang w:val="en-US"/>
        </w:rPr>
        <w:t>D</w:t>
      </w:r>
      <w:r w:rsidR="00D814C0" w:rsidRPr="00EC1065">
        <w:rPr>
          <w:b/>
          <w:lang w:val="en-US"/>
        </w:rPr>
        <w:t>oxil</w:t>
      </w:r>
      <w:r w:rsidR="00D814C0" w:rsidRPr="00316F0C">
        <w:rPr>
          <w:b/>
          <w:lang w:val="en-US"/>
        </w:rPr>
        <w:t xml:space="preserve"> treatment</w:t>
      </w:r>
      <w:r w:rsidR="00D814C0" w:rsidRPr="00EC1065">
        <w:rPr>
          <w:b/>
          <w:lang w:val="en-US"/>
        </w:rPr>
        <w:t xml:space="preserve"> </w:t>
      </w:r>
      <w:r w:rsidR="00D814C0" w:rsidRPr="00316F0C">
        <w:rPr>
          <w:b/>
          <w:lang w:val="en-US"/>
        </w:rPr>
        <w:t>results in</w:t>
      </w:r>
      <w:r w:rsidR="00D814C0" w:rsidRPr="00EC1065">
        <w:rPr>
          <w:b/>
          <w:lang w:val="en-US"/>
        </w:rPr>
        <w:t xml:space="preserve"> oxidative stress and </w:t>
      </w:r>
      <w:r w:rsidR="00D814C0">
        <w:rPr>
          <w:b/>
          <w:lang w:val="en-US"/>
        </w:rPr>
        <w:t>decreased</w:t>
      </w:r>
      <w:r w:rsidR="00D814C0" w:rsidRPr="00EC1065">
        <w:rPr>
          <w:b/>
          <w:lang w:val="en-US"/>
        </w:rPr>
        <w:t xml:space="preserve"> [</w:t>
      </w:r>
      <w:r w:rsidR="00D814C0" w:rsidRPr="00EC1065">
        <w:rPr>
          <w:b/>
          <w:vertAlign w:val="superscript"/>
          <w:lang w:val="en-US"/>
        </w:rPr>
        <w:t>18</w:t>
      </w:r>
      <w:proofErr w:type="gramStart"/>
      <w:r w:rsidR="00D814C0" w:rsidRPr="00EC1065">
        <w:rPr>
          <w:b/>
          <w:lang w:val="en-US"/>
        </w:rPr>
        <w:t>F]FSPG</w:t>
      </w:r>
      <w:proofErr w:type="gramEnd"/>
      <w:r w:rsidR="00D814C0" w:rsidRPr="00EC1065">
        <w:rPr>
          <w:b/>
          <w:lang w:val="en-US"/>
        </w:rPr>
        <w:t xml:space="preserve"> </w:t>
      </w:r>
      <w:r w:rsidR="00D814C0">
        <w:rPr>
          <w:b/>
          <w:lang w:val="en-US"/>
        </w:rPr>
        <w:t>accumulation</w:t>
      </w:r>
      <w:r w:rsidR="00D814C0" w:rsidRPr="00316F0C">
        <w:rPr>
          <w:b/>
          <w:lang w:val="en-US"/>
        </w:rPr>
        <w:t xml:space="preserve"> in A2780 cells. </w:t>
      </w:r>
      <w:r w:rsidR="00D814C0" w:rsidRPr="00EC1065">
        <w:rPr>
          <w:b/>
          <w:lang w:val="en-US"/>
        </w:rPr>
        <w:t>(A)</w:t>
      </w:r>
      <w:r w:rsidR="00D814C0" w:rsidRPr="00EC1065">
        <w:rPr>
          <w:lang w:val="en-US"/>
        </w:rPr>
        <w:t xml:space="preserve"> Intracellular [</w:t>
      </w:r>
      <w:r w:rsidR="00D814C0" w:rsidRPr="00EC1065">
        <w:rPr>
          <w:vertAlign w:val="superscript"/>
          <w:lang w:val="en-US"/>
        </w:rPr>
        <w:t>18</w:t>
      </w:r>
      <w:proofErr w:type="gramStart"/>
      <w:r w:rsidR="00D814C0" w:rsidRPr="00EC1065">
        <w:rPr>
          <w:lang w:val="en-US"/>
        </w:rPr>
        <w:t>F]FSPG</w:t>
      </w:r>
      <w:proofErr w:type="gramEnd"/>
      <w:r w:rsidR="00D814C0">
        <w:rPr>
          <w:lang w:val="en-US"/>
        </w:rPr>
        <w:t xml:space="preserve"> retention</w:t>
      </w:r>
      <w:r w:rsidR="00D814C0" w:rsidRPr="00EC1065">
        <w:rPr>
          <w:lang w:val="en-US"/>
        </w:rPr>
        <w:t xml:space="preserve">, </w:t>
      </w:r>
      <w:r w:rsidR="00D814C0" w:rsidRPr="00EC1065">
        <w:rPr>
          <w:b/>
          <w:lang w:val="en-US"/>
        </w:rPr>
        <w:t>(B)</w:t>
      </w:r>
      <w:r w:rsidR="00D814C0" w:rsidRPr="00EC1065">
        <w:rPr>
          <w:lang w:val="en-US"/>
        </w:rPr>
        <w:t xml:space="preserve"> Intracellular fl</w:t>
      </w:r>
      <w:r w:rsidR="00D814C0">
        <w:rPr>
          <w:lang w:val="en-US"/>
        </w:rPr>
        <w:t>u</w:t>
      </w:r>
      <w:r w:rsidR="00D814C0" w:rsidRPr="00EC1065">
        <w:rPr>
          <w:lang w:val="en-US"/>
        </w:rPr>
        <w:t xml:space="preserve">orescence of the </w:t>
      </w:r>
      <w:r w:rsidR="00D814C0" w:rsidRPr="00316F0C">
        <w:rPr>
          <w:lang w:val="en-US"/>
        </w:rPr>
        <w:t>ROS</w:t>
      </w:r>
      <w:r w:rsidR="00D814C0" w:rsidRPr="00EC1065">
        <w:rPr>
          <w:lang w:val="en-US"/>
        </w:rPr>
        <w:t xml:space="preserve">-sensitive fluorophore CellROX Green, </w:t>
      </w:r>
      <w:r w:rsidR="00D814C0" w:rsidRPr="00EC1065">
        <w:rPr>
          <w:b/>
          <w:lang w:val="en-US"/>
        </w:rPr>
        <w:t>(C)</w:t>
      </w:r>
      <w:r w:rsidR="00D814C0" w:rsidRPr="00EC1065">
        <w:rPr>
          <w:lang w:val="en-US"/>
        </w:rPr>
        <w:t xml:space="preserve"> intracellular total </w:t>
      </w:r>
      <w:r w:rsidR="00D814C0" w:rsidRPr="00316F0C">
        <w:rPr>
          <w:lang w:val="en-US"/>
        </w:rPr>
        <w:t>GSH</w:t>
      </w:r>
      <w:r w:rsidR="00D814C0" w:rsidRPr="00EC1065">
        <w:rPr>
          <w:lang w:val="en-US"/>
        </w:rPr>
        <w:t xml:space="preserve">, and </w:t>
      </w:r>
      <w:r w:rsidR="00D814C0" w:rsidRPr="00EC1065">
        <w:rPr>
          <w:b/>
          <w:lang w:val="en-US"/>
        </w:rPr>
        <w:t>(D)</w:t>
      </w:r>
      <w:r w:rsidR="00D814C0" w:rsidRPr="00EC1065">
        <w:rPr>
          <w:lang w:val="en-US"/>
        </w:rPr>
        <w:t xml:space="preserve"> intracellular ratio of GSSG to GSH, following treatment </w:t>
      </w:r>
      <w:r w:rsidR="00D814C0" w:rsidRPr="00316F0C">
        <w:rPr>
          <w:lang w:val="en-US"/>
        </w:rPr>
        <w:t xml:space="preserve">of A2780 cells </w:t>
      </w:r>
      <w:r w:rsidR="00D814C0" w:rsidRPr="00EC1065">
        <w:rPr>
          <w:lang w:val="en-US"/>
        </w:rPr>
        <w:t xml:space="preserve">with </w:t>
      </w:r>
      <w:r w:rsidR="00D814C0">
        <w:rPr>
          <w:lang w:val="en-US"/>
        </w:rPr>
        <w:t>D</w:t>
      </w:r>
      <w:r w:rsidR="00D814C0" w:rsidRPr="00316F0C">
        <w:rPr>
          <w:lang w:val="en-US"/>
        </w:rPr>
        <w:t>oxil (</w:t>
      </w:r>
      <w:r w:rsidR="00D814C0" w:rsidRPr="00EC1065">
        <w:rPr>
          <w:lang w:val="en-US"/>
        </w:rPr>
        <w:t>200 nM, 72 h). Data are presented as mean ± SD. Scat</w:t>
      </w:r>
      <w:r w:rsidR="00D814C0">
        <w:rPr>
          <w:lang w:val="en-US"/>
        </w:rPr>
        <w:t xml:space="preserve">ter plot points represent independent experiments performed as single measurements </w:t>
      </w:r>
      <w:r w:rsidR="00D814C0" w:rsidRPr="006C364C">
        <w:rPr>
          <w:b/>
          <w:lang w:val="en-US"/>
        </w:rPr>
        <w:t>(B)</w:t>
      </w:r>
      <w:r w:rsidR="00D814C0">
        <w:rPr>
          <w:lang w:val="en-US"/>
        </w:rPr>
        <w:t xml:space="preserve"> or in duplicate/triplicate </w:t>
      </w:r>
      <w:r w:rsidR="00D814C0" w:rsidRPr="006C364C">
        <w:rPr>
          <w:b/>
          <w:lang w:val="en-US"/>
        </w:rPr>
        <w:t>(B-D)</w:t>
      </w:r>
      <w:r w:rsidR="00D814C0" w:rsidRPr="00EC1065">
        <w:rPr>
          <w:lang w:val="en-US"/>
        </w:rPr>
        <w:t>. * p &lt; 0.05, *** p &lt; 0.001, t test versus UT; †† p &lt; 0.01, single sample t test (versus unity).</w:t>
      </w:r>
    </w:p>
    <w:bookmarkEnd w:id="8"/>
    <w:p w14:paraId="30E5E463" w14:textId="77777777" w:rsidR="00D814C0" w:rsidRPr="00EC1065" w:rsidRDefault="00D814C0" w:rsidP="004D274B">
      <w:pPr>
        <w:spacing w:line="480" w:lineRule="auto"/>
        <w:jc w:val="both"/>
        <w:rPr>
          <w:caps/>
          <w:lang w:val="en-US"/>
        </w:rPr>
      </w:pPr>
    </w:p>
    <w:p w14:paraId="7E776C7F" w14:textId="77777777" w:rsidR="00D814C0" w:rsidRPr="00EC1065" w:rsidRDefault="00D814C0" w:rsidP="004D274B">
      <w:pPr>
        <w:spacing w:line="480" w:lineRule="auto"/>
        <w:jc w:val="both"/>
        <w:rPr>
          <w:b/>
          <w:caps/>
          <w:lang w:val="en-US"/>
        </w:rPr>
      </w:pPr>
      <w:r w:rsidRPr="00EC1065">
        <w:rPr>
          <w:b/>
          <w:caps/>
          <w:lang w:val="en-US"/>
        </w:rPr>
        <w:br w:type="page"/>
      </w:r>
    </w:p>
    <w:p w14:paraId="468A4FBA" w14:textId="77777777" w:rsidR="00D814C0" w:rsidRDefault="00541777" w:rsidP="004D274B">
      <w:pPr>
        <w:spacing w:line="480" w:lineRule="auto"/>
        <w:jc w:val="center"/>
        <w:rPr>
          <w:b/>
          <w:lang w:val="en-US"/>
        </w:rPr>
      </w:pPr>
      <w:r>
        <w:rPr>
          <w:b/>
          <w:noProof/>
          <w:lang w:val="en-US"/>
        </w:rPr>
        <w:lastRenderedPageBreak/>
        <w:drawing>
          <wp:inline distT="0" distB="0" distL="0" distR="0" wp14:anchorId="2454B613" wp14:editId="60D9BC36">
            <wp:extent cx="5722620" cy="3058795"/>
            <wp:effectExtent l="0" t="0" r="0" b="8255"/>
            <wp:docPr id="21" name="Picture 21" descr="F:\CABI\Manuscripts\1st manusripts - redox and mechanism of FSPG uptake\Science Translational Medicine\Submitted files\Figures - Version 7\Figure S5 - Doxil FSPG &amp; FDG P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CABI\Manuscripts\1st manusripts - redox and mechanism of FSPG uptake\Science Translational Medicine\Submitted files\Figures - Version 7\Figure S5 - Doxil FSPG &amp; FDG PET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17BB2" w14:textId="48D75C46" w:rsidR="00D814C0" w:rsidRPr="00CD6E1B" w:rsidRDefault="00D814C0" w:rsidP="00CD6E1B">
      <w:pPr>
        <w:spacing w:line="360" w:lineRule="auto"/>
        <w:jc w:val="both"/>
        <w:rPr>
          <w:lang w:val="en-US"/>
        </w:rPr>
      </w:pPr>
      <w:r w:rsidRPr="00EC1065">
        <w:rPr>
          <w:b/>
          <w:lang w:val="en-US"/>
        </w:rPr>
        <w:t>F</w:t>
      </w:r>
      <w:r w:rsidR="00A2730C">
        <w:rPr>
          <w:b/>
          <w:lang w:val="en-US"/>
        </w:rPr>
        <w:t>igure S6</w:t>
      </w:r>
      <w:r w:rsidRPr="00316F0C">
        <w:rPr>
          <w:b/>
          <w:lang w:val="en-US"/>
        </w:rPr>
        <w:t xml:space="preserve">. </w:t>
      </w:r>
      <w:r w:rsidRPr="00EC1065">
        <w:rPr>
          <w:b/>
          <w:lang w:val="en-US"/>
        </w:rPr>
        <w:t>Doxil</w:t>
      </w:r>
      <w:r>
        <w:rPr>
          <w:b/>
          <w:lang w:val="en-US"/>
        </w:rPr>
        <w:t>-induced changes in tumor retention of [</w:t>
      </w:r>
      <w:r w:rsidRPr="00790D06">
        <w:rPr>
          <w:b/>
          <w:vertAlign w:val="superscript"/>
          <w:lang w:val="en-US"/>
        </w:rPr>
        <w:t>18</w:t>
      </w:r>
      <w:proofErr w:type="gramStart"/>
      <w:r>
        <w:rPr>
          <w:b/>
          <w:lang w:val="en-US"/>
        </w:rPr>
        <w:t>F]FSPG</w:t>
      </w:r>
      <w:proofErr w:type="gramEnd"/>
      <w:r>
        <w:rPr>
          <w:b/>
          <w:lang w:val="en-US"/>
        </w:rPr>
        <w:t xml:space="preserve"> and [</w:t>
      </w:r>
      <w:r w:rsidRPr="00790D06">
        <w:rPr>
          <w:b/>
          <w:vertAlign w:val="superscript"/>
          <w:lang w:val="en-US"/>
        </w:rPr>
        <w:t>18</w:t>
      </w:r>
      <w:r>
        <w:rPr>
          <w:b/>
          <w:lang w:val="en-US"/>
        </w:rPr>
        <w:t>F]FDG, and expression of key proteins</w:t>
      </w:r>
      <w:r w:rsidRPr="00EC1065">
        <w:rPr>
          <w:b/>
          <w:lang w:val="en-US"/>
        </w:rPr>
        <w:t xml:space="preserve">. </w:t>
      </w:r>
      <w:r w:rsidRPr="00823CF2">
        <w:rPr>
          <w:b/>
          <w:lang w:val="en-US"/>
        </w:rPr>
        <w:t>(A</w:t>
      </w:r>
      <w:r>
        <w:rPr>
          <w:b/>
          <w:lang w:val="en-US"/>
        </w:rPr>
        <w:t>-B</w:t>
      </w:r>
      <w:r w:rsidRPr="00790D06">
        <w:rPr>
          <w:b/>
          <w:lang w:val="en-US"/>
        </w:rPr>
        <w:t>)</w:t>
      </w:r>
      <w:r w:rsidRPr="00823CF2">
        <w:rPr>
          <w:lang w:val="en-US"/>
        </w:rPr>
        <w:t xml:space="preserve"> </w:t>
      </w:r>
      <w:r>
        <w:rPr>
          <w:lang w:val="en-US"/>
        </w:rPr>
        <w:t xml:space="preserve">Representative sagittal and axial </w:t>
      </w:r>
      <w:r w:rsidRPr="00790D06">
        <w:rPr>
          <w:b/>
          <w:lang w:val="en-US"/>
        </w:rPr>
        <w:t>(A)</w:t>
      </w:r>
      <w:r>
        <w:rPr>
          <w:lang w:val="en-US"/>
        </w:rPr>
        <w:t xml:space="preserve"> [</w:t>
      </w:r>
      <w:r w:rsidRPr="006C364C">
        <w:rPr>
          <w:vertAlign w:val="superscript"/>
          <w:lang w:val="en-US"/>
        </w:rPr>
        <w:t>18</w:t>
      </w:r>
      <w:proofErr w:type="gramStart"/>
      <w:r>
        <w:rPr>
          <w:lang w:val="en-US"/>
        </w:rPr>
        <w:t>F]FSPG</w:t>
      </w:r>
      <w:proofErr w:type="gramEnd"/>
      <w:r>
        <w:rPr>
          <w:lang w:val="en-US"/>
        </w:rPr>
        <w:t xml:space="preserve"> and (</w:t>
      </w:r>
      <w:r w:rsidRPr="00790D06">
        <w:rPr>
          <w:b/>
          <w:lang w:val="en-US"/>
        </w:rPr>
        <w:t>B</w:t>
      </w:r>
      <w:r>
        <w:rPr>
          <w:lang w:val="en-US"/>
        </w:rPr>
        <w:t>) [</w:t>
      </w:r>
      <w:r w:rsidRPr="00790D06">
        <w:rPr>
          <w:vertAlign w:val="superscript"/>
          <w:lang w:val="en-US"/>
        </w:rPr>
        <w:t>18</w:t>
      </w:r>
      <w:r>
        <w:rPr>
          <w:lang w:val="en-US"/>
        </w:rPr>
        <w:t xml:space="preserve">F]FDG PET images in untreated (D0) and mice treated with Doxil for 24 h (D1) or 6 days with Doxil (D6). Tumor margins are indicated by white arrow heads. Abbreviations: </w:t>
      </w:r>
      <w:proofErr w:type="spellStart"/>
      <w:r>
        <w:rPr>
          <w:lang w:val="en-US"/>
        </w:rPr>
        <w:t>Bl</w:t>
      </w:r>
      <w:proofErr w:type="spellEnd"/>
      <w:r>
        <w:rPr>
          <w:lang w:val="en-US"/>
        </w:rPr>
        <w:t xml:space="preserve">, bladder; Br, brain; Ha, </w:t>
      </w:r>
      <w:proofErr w:type="spellStart"/>
      <w:r>
        <w:rPr>
          <w:lang w:val="en-US"/>
        </w:rPr>
        <w:t>harderian</w:t>
      </w:r>
      <w:proofErr w:type="spellEnd"/>
      <w:r>
        <w:rPr>
          <w:lang w:val="en-US"/>
        </w:rPr>
        <w:t xml:space="preserve"> glands; He, heart; Ki, kidney; Pa, pancreas; Sa, salivary glands; </w:t>
      </w:r>
      <w:proofErr w:type="spellStart"/>
      <w:r>
        <w:rPr>
          <w:lang w:val="en-US"/>
        </w:rPr>
        <w:t>Sk</w:t>
      </w:r>
      <w:proofErr w:type="spellEnd"/>
      <w:r>
        <w:rPr>
          <w:lang w:val="en-US"/>
        </w:rPr>
        <w:t xml:space="preserve">, skin. </w:t>
      </w:r>
      <w:r w:rsidRPr="00815F01">
        <w:rPr>
          <w:b/>
          <w:lang w:val="en-US"/>
        </w:rPr>
        <w:t>(C)</w:t>
      </w:r>
      <w:r>
        <w:rPr>
          <w:lang w:val="en-US"/>
        </w:rPr>
        <w:t xml:space="preserve"> Quantified [</w:t>
      </w:r>
      <w:r w:rsidRPr="00815F01">
        <w:rPr>
          <w:vertAlign w:val="superscript"/>
          <w:lang w:val="en-US"/>
        </w:rPr>
        <w:t>18</w:t>
      </w:r>
      <w:proofErr w:type="gramStart"/>
      <w:r>
        <w:rPr>
          <w:lang w:val="en-US"/>
        </w:rPr>
        <w:t>F]FDG</w:t>
      </w:r>
      <w:proofErr w:type="gramEnd"/>
      <w:r>
        <w:rPr>
          <w:lang w:val="en-US"/>
        </w:rPr>
        <w:t xml:space="preserve"> tumor uptake in the above treatment groups. Scatter plot points represent determinations from individual animals. NS, not statistically significant; </w:t>
      </w:r>
      <w:r w:rsidRPr="00815F01">
        <w:rPr>
          <w:rFonts w:ascii="Arial" w:hAnsi="Arial" w:cs="Arial"/>
          <w:lang w:val="en-US"/>
        </w:rPr>
        <w:t>*</w:t>
      </w:r>
      <w:r>
        <w:rPr>
          <w:lang w:val="en-US"/>
        </w:rPr>
        <w:t xml:space="preserve"> p &lt; 0.05; Bonferroni multiple comparison-corrected t test versus D0.</w:t>
      </w:r>
      <w:r w:rsidRPr="00823CF2">
        <w:rPr>
          <w:b/>
          <w:lang w:val="en-US"/>
        </w:rPr>
        <w:t xml:space="preserve"> </w:t>
      </w:r>
      <w:r w:rsidRPr="00790D06">
        <w:rPr>
          <w:b/>
          <w:lang w:val="en-US"/>
        </w:rPr>
        <w:t>(</w:t>
      </w:r>
      <w:r>
        <w:rPr>
          <w:b/>
          <w:lang w:val="en-US"/>
        </w:rPr>
        <w:t>D</w:t>
      </w:r>
      <w:r w:rsidRPr="00790D06">
        <w:rPr>
          <w:b/>
          <w:lang w:val="en-US"/>
        </w:rPr>
        <w:t>)</w:t>
      </w:r>
      <w:r>
        <w:rPr>
          <w:lang w:val="en-US"/>
        </w:rPr>
        <w:t xml:space="preserve"> </w:t>
      </w:r>
      <w:r w:rsidRPr="00EC1065">
        <w:rPr>
          <w:lang w:val="en-US"/>
        </w:rPr>
        <w:t>Western blot</w:t>
      </w:r>
      <w:r w:rsidRPr="00316F0C">
        <w:rPr>
          <w:lang w:val="en-US"/>
        </w:rPr>
        <w:t xml:space="preserve"> indicating protein expression from tumor lysates taken from untreated mice, </w:t>
      </w:r>
      <w:r w:rsidRPr="00EC1065">
        <w:rPr>
          <w:lang w:val="en-US"/>
        </w:rPr>
        <w:t xml:space="preserve">mice </w:t>
      </w:r>
      <w:r w:rsidRPr="00316F0C">
        <w:rPr>
          <w:lang w:val="en-US"/>
        </w:rPr>
        <w:t xml:space="preserve">treated with </w:t>
      </w:r>
      <w:r>
        <w:rPr>
          <w:lang w:val="en-US"/>
        </w:rPr>
        <w:t>D</w:t>
      </w:r>
      <w:r w:rsidRPr="00316F0C">
        <w:rPr>
          <w:lang w:val="en-US"/>
        </w:rPr>
        <w:t xml:space="preserve">oxil (10 mg/kg) </w:t>
      </w:r>
      <w:r w:rsidRPr="00EC1065">
        <w:rPr>
          <w:lang w:val="en-US"/>
        </w:rPr>
        <w:t xml:space="preserve">for 24h </w:t>
      </w:r>
      <w:r w:rsidRPr="00316F0C">
        <w:rPr>
          <w:lang w:val="en-US"/>
        </w:rPr>
        <w:t xml:space="preserve">or </w:t>
      </w:r>
      <w:r w:rsidRPr="00EC1065">
        <w:rPr>
          <w:lang w:val="en-US"/>
        </w:rPr>
        <w:t>following</w:t>
      </w:r>
      <w:r w:rsidRPr="00316F0C">
        <w:rPr>
          <w:lang w:val="en-US"/>
        </w:rPr>
        <w:t xml:space="preserve"> 6 days of treatment (3 × 10 mg/kg). Separate bands represent tumors taken from individual animals, with 3 tumors evaluated per treatment group. Nrf2, Nuclear factor (erythroid-derived 2)-like 2; Casp-3, inactive form of caspase 3; ΔCasp-3, active (cleaved) form of Casp-3; GCL, glutamate-cysteine ligase, catalytic subunit. Actin was used as a loading control.</w:t>
      </w:r>
    </w:p>
    <w:p w14:paraId="76932F6E" w14:textId="77777777" w:rsidR="007B14DC" w:rsidRDefault="007B14DC">
      <w:pPr>
        <w:spacing w:after="160" w:line="259" w:lineRule="auto"/>
      </w:pPr>
      <w:r>
        <w:br w:type="page"/>
      </w:r>
    </w:p>
    <w:p w14:paraId="078F9204" w14:textId="77777777" w:rsidR="007B14DC" w:rsidRDefault="007B14DC" w:rsidP="007B14DC">
      <w:pPr>
        <w:spacing w:after="240" w:line="360" w:lineRule="auto"/>
        <w:jc w:val="both"/>
        <w:rPr>
          <w:b/>
          <w:lang w:val="en-US"/>
        </w:rPr>
      </w:pPr>
      <w:r>
        <w:rPr>
          <w:b/>
          <w:lang w:val="en-US"/>
        </w:rPr>
        <w:lastRenderedPageBreak/>
        <w:t xml:space="preserve">Movie S1. </w:t>
      </w:r>
      <w:r w:rsidRPr="000B15A7">
        <w:rPr>
          <w:b/>
          <w:lang w:val="en-US"/>
        </w:rPr>
        <w:t xml:space="preserve">Overlaid </w:t>
      </w:r>
      <w:r>
        <w:rPr>
          <w:b/>
          <w:lang w:val="en-US"/>
        </w:rPr>
        <w:t>[</w:t>
      </w:r>
      <w:r w:rsidRPr="00D32589">
        <w:rPr>
          <w:b/>
          <w:vertAlign w:val="superscript"/>
          <w:lang w:val="en-US"/>
        </w:rPr>
        <w:t>18</w:t>
      </w:r>
      <w:proofErr w:type="gramStart"/>
      <w:r>
        <w:rPr>
          <w:b/>
          <w:lang w:val="en-US"/>
        </w:rPr>
        <w:t>F]FSPG</w:t>
      </w:r>
      <w:proofErr w:type="gramEnd"/>
      <w:r>
        <w:rPr>
          <w:b/>
          <w:lang w:val="en-US"/>
        </w:rPr>
        <w:t xml:space="preserve"> </w:t>
      </w:r>
      <w:r w:rsidRPr="000B15A7">
        <w:rPr>
          <w:b/>
          <w:lang w:val="en-US"/>
        </w:rPr>
        <w:t>PET/CT 3D VRT movie of a</w:t>
      </w:r>
      <w:r>
        <w:rPr>
          <w:b/>
          <w:lang w:val="en-US"/>
        </w:rPr>
        <w:t xml:space="preserve"> drug-naïve mouse bearing a subcutaneous</w:t>
      </w:r>
      <w:r w:rsidRPr="000B15A7">
        <w:rPr>
          <w:b/>
          <w:lang w:val="en-US"/>
        </w:rPr>
        <w:t xml:space="preserve"> </w:t>
      </w:r>
      <w:r>
        <w:rPr>
          <w:b/>
          <w:lang w:val="en-US"/>
        </w:rPr>
        <w:t xml:space="preserve">A2780 ovarian cancer </w:t>
      </w:r>
      <w:r w:rsidRPr="000B15A7">
        <w:rPr>
          <w:b/>
          <w:lang w:val="en-US"/>
        </w:rPr>
        <w:t>xenograft</w:t>
      </w:r>
    </w:p>
    <w:p w14:paraId="29E14B18" w14:textId="77777777" w:rsidR="007B14DC" w:rsidRDefault="007B14DC" w:rsidP="007B14DC">
      <w:pPr>
        <w:spacing w:after="240" w:line="360" w:lineRule="auto"/>
        <w:jc w:val="both"/>
        <w:rPr>
          <w:b/>
          <w:lang w:val="en-US"/>
        </w:rPr>
      </w:pPr>
      <w:r>
        <w:rPr>
          <w:b/>
          <w:lang w:val="en-US"/>
        </w:rPr>
        <w:t xml:space="preserve">Movie S2: </w:t>
      </w:r>
      <w:r w:rsidRPr="000B15A7">
        <w:rPr>
          <w:b/>
          <w:lang w:val="en-US"/>
        </w:rPr>
        <w:t xml:space="preserve">Overlaid </w:t>
      </w:r>
      <w:r>
        <w:rPr>
          <w:b/>
          <w:lang w:val="en-US"/>
        </w:rPr>
        <w:t>[</w:t>
      </w:r>
      <w:r w:rsidRPr="00D32589">
        <w:rPr>
          <w:b/>
          <w:vertAlign w:val="superscript"/>
          <w:lang w:val="en-US"/>
        </w:rPr>
        <w:t>18</w:t>
      </w:r>
      <w:proofErr w:type="gramStart"/>
      <w:r>
        <w:rPr>
          <w:b/>
          <w:lang w:val="en-US"/>
        </w:rPr>
        <w:t>F]FSPG</w:t>
      </w:r>
      <w:proofErr w:type="gramEnd"/>
      <w:r>
        <w:rPr>
          <w:b/>
          <w:lang w:val="en-US"/>
        </w:rPr>
        <w:t xml:space="preserve"> PET/CT 3D VRT movie of a mouse bearing a subcutaneous</w:t>
      </w:r>
      <w:r w:rsidRPr="000B15A7">
        <w:rPr>
          <w:b/>
          <w:lang w:val="en-US"/>
        </w:rPr>
        <w:t xml:space="preserve"> </w:t>
      </w:r>
      <w:r>
        <w:rPr>
          <w:b/>
          <w:lang w:val="en-US"/>
        </w:rPr>
        <w:t xml:space="preserve">A2780 ovarian cancer </w:t>
      </w:r>
      <w:r w:rsidRPr="000B15A7">
        <w:rPr>
          <w:b/>
          <w:lang w:val="en-US"/>
        </w:rPr>
        <w:t>xenograft</w:t>
      </w:r>
      <w:r>
        <w:rPr>
          <w:b/>
          <w:lang w:val="en-US"/>
        </w:rPr>
        <w:t xml:space="preserve"> after 24 h of Doxil treatment</w:t>
      </w:r>
    </w:p>
    <w:p w14:paraId="430A8E91" w14:textId="77777777" w:rsidR="007B14DC" w:rsidRPr="00572A1C" w:rsidRDefault="007B14DC" w:rsidP="007B14DC">
      <w:pPr>
        <w:spacing w:after="240" w:line="360" w:lineRule="auto"/>
        <w:jc w:val="both"/>
        <w:rPr>
          <w:b/>
          <w:lang w:val="en-US"/>
        </w:rPr>
      </w:pPr>
      <w:r>
        <w:rPr>
          <w:b/>
          <w:lang w:val="en-US"/>
        </w:rPr>
        <w:t xml:space="preserve">Movie S3: </w:t>
      </w:r>
      <w:r w:rsidRPr="000B15A7">
        <w:rPr>
          <w:b/>
          <w:lang w:val="en-US"/>
        </w:rPr>
        <w:t xml:space="preserve">Overlaid </w:t>
      </w:r>
      <w:r>
        <w:rPr>
          <w:b/>
          <w:lang w:val="en-US"/>
        </w:rPr>
        <w:t>[</w:t>
      </w:r>
      <w:r w:rsidRPr="00D32589">
        <w:rPr>
          <w:b/>
          <w:vertAlign w:val="superscript"/>
          <w:lang w:val="en-US"/>
        </w:rPr>
        <w:t>18</w:t>
      </w:r>
      <w:proofErr w:type="gramStart"/>
      <w:r>
        <w:rPr>
          <w:b/>
          <w:lang w:val="en-US"/>
        </w:rPr>
        <w:t>F]FSPG</w:t>
      </w:r>
      <w:proofErr w:type="gramEnd"/>
      <w:r>
        <w:rPr>
          <w:b/>
          <w:lang w:val="en-US"/>
        </w:rPr>
        <w:t xml:space="preserve"> PET/CT 3D VRT movie of a mouse bearing a subcutaneous</w:t>
      </w:r>
      <w:r w:rsidRPr="000B15A7">
        <w:rPr>
          <w:b/>
          <w:lang w:val="en-US"/>
        </w:rPr>
        <w:t xml:space="preserve"> </w:t>
      </w:r>
      <w:r>
        <w:rPr>
          <w:b/>
          <w:lang w:val="en-US"/>
        </w:rPr>
        <w:t xml:space="preserve">A2780 ovarian cancer </w:t>
      </w:r>
      <w:r w:rsidRPr="000B15A7">
        <w:rPr>
          <w:b/>
          <w:lang w:val="en-US"/>
        </w:rPr>
        <w:t>xenograft</w:t>
      </w:r>
      <w:r>
        <w:rPr>
          <w:b/>
          <w:lang w:val="en-US"/>
        </w:rPr>
        <w:t xml:space="preserve"> after 6 d of Doxil treatment</w:t>
      </w:r>
    </w:p>
    <w:p w14:paraId="070C2905" w14:textId="77777777" w:rsidR="00B62EE5" w:rsidRDefault="00B62EE5"/>
    <w:sectPr w:rsidR="00B62EE5" w:rsidSect="004D274B">
      <w:footerReference w:type="even" r:id="rId13"/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76FDA9" w14:textId="77777777" w:rsidR="002D5F0C" w:rsidRDefault="002D5F0C">
      <w:r>
        <w:separator/>
      </w:r>
    </w:p>
  </w:endnote>
  <w:endnote w:type="continuationSeparator" w:id="0">
    <w:p w14:paraId="59753877" w14:textId="77777777" w:rsidR="002D5F0C" w:rsidRDefault="002D5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348686834"/>
      <w:docPartObj>
        <w:docPartGallery w:val="Page Numbers (Bottom of Page)"/>
        <w:docPartUnique/>
      </w:docPartObj>
    </w:sdtPr>
    <w:sdtContent>
      <w:p w14:paraId="3FD33743" w14:textId="77777777" w:rsidR="004D274B" w:rsidRDefault="00782DFF" w:rsidP="004D274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4FBDEF5" w14:textId="77777777" w:rsidR="004D274B" w:rsidRDefault="004D274B" w:rsidP="004D274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799957148"/>
      <w:docPartObj>
        <w:docPartGallery w:val="Page Numbers (Bottom of Page)"/>
        <w:docPartUnique/>
      </w:docPartObj>
    </w:sdtPr>
    <w:sdtContent>
      <w:p w14:paraId="71DA8051" w14:textId="77777777" w:rsidR="004D274B" w:rsidRDefault="00782DFF" w:rsidP="004D274B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F82331">
          <w:rPr>
            <w:rStyle w:val="PageNumber"/>
            <w:noProof/>
          </w:rPr>
          <w:t>6</w:t>
        </w:r>
        <w:r>
          <w:rPr>
            <w:rStyle w:val="PageNumber"/>
          </w:rPr>
          <w:fldChar w:fldCharType="end"/>
        </w:r>
      </w:p>
    </w:sdtContent>
  </w:sdt>
  <w:p w14:paraId="6679970A" w14:textId="77777777" w:rsidR="004D274B" w:rsidRDefault="004D274B" w:rsidP="004D274B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0F2F99" w14:textId="77777777" w:rsidR="002D5F0C" w:rsidRDefault="002D5F0C">
      <w:r>
        <w:separator/>
      </w:r>
    </w:p>
  </w:footnote>
  <w:footnote w:type="continuationSeparator" w:id="0">
    <w:p w14:paraId="6F455E6A" w14:textId="77777777" w:rsidR="002D5F0C" w:rsidRDefault="002D5F0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F10331"/>
    <w:multiLevelType w:val="multilevel"/>
    <w:tmpl w:val="3CD08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D67F8C"/>
    <w:multiLevelType w:val="hybridMultilevel"/>
    <w:tmpl w:val="74461A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5FA1ED2"/>
    <w:multiLevelType w:val="hybridMultilevel"/>
    <w:tmpl w:val="2D104B4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494874"/>
    <w:multiLevelType w:val="multilevel"/>
    <w:tmpl w:val="94B08B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B880E55"/>
    <w:multiLevelType w:val="hybridMultilevel"/>
    <w:tmpl w:val="AEB4E3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</w:docVars>
  <w:rsids>
    <w:rsidRoot w:val="00D814C0"/>
    <w:rsid w:val="00025FCA"/>
    <w:rsid w:val="00060E6C"/>
    <w:rsid w:val="000F6C4F"/>
    <w:rsid w:val="00101C61"/>
    <w:rsid w:val="001210CC"/>
    <w:rsid w:val="001F5AD0"/>
    <w:rsid w:val="00241CCA"/>
    <w:rsid w:val="002D5F0C"/>
    <w:rsid w:val="004216C2"/>
    <w:rsid w:val="00483AB2"/>
    <w:rsid w:val="004A2842"/>
    <w:rsid w:val="004D274B"/>
    <w:rsid w:val="00541777"/>
    <w:rsid w:val="00572A1C"/>
    <w:rsid w:val="00576489"/>
    <w:rsid w:val="005A6A1C"/>
    <w:rsid w:val="005D035A"/>
    <w:rsid w:val="005D7FC9"/>
    <w:rsid w:val="007427E4"/>
    <w:rsid w:val="00782DFF"/>
    <w:rsid w:val="007B14DC"/>
    <w:rsid w:val="0094356B"/>
    <w:rsid w:val="00A2730C"/>
    <w:rsid w:val="00B62EE5"/>
    <w:rsid w:val="00B92234"/>
    <w:rsid w:val="00BE6A0B"/>
    <w:rsid w:val="00C444AC"/>
    <w:rsid w:val="00CA4198"/>
    <w:rsid w:val="00CD6E1B"/>
    <w:rsid w:val="00D352F0"/>
    <w:rsid w:val="00D814C0"/>
    <w:rsid w:val="00DA4968"/>
    <w:rsid w:val="00E04253"/>
    <w:rsid w:val="00E772DB"/>
    <w:rsid w:val="00E939B4"/>
    <w:rsid w:val="00EB2F28"/>
    <w:rsid w:val="00EC6BA8"/>
    <w:rsid w:val="00F82331"/>
    <w:rsid w:val="00F95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D7A66D"/>
  <w14:defaultImageDpi w14:val="32767"/>
  <w15:chartTrackingRefBased/>
  <w15:docId w15:val="{6ECDF7D3-88CB-DB47-97F0-7763617AF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14C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D814C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814C0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ListParagraph">
    <w:name w:val="List Paragraph"/>
    <w:basedOn w:val="Normal"/>
    <w:uiPriority w:val="34"/>
    <w:qFormat/>
    <w:rsid w:val="00D814C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EndNoteBibliographyTitle">
    <w:name w:val="EndNote Bibliography Title"/>
    <w:basedOn w:val="Normal"/>
    <w:link w:val="EndNoteBibliographyTitleChar"/>
    <w:rsid w:val="00D814C0"/>
    <w:pPr>
      <w:spacing w:line="259" w:lineRule="auto"/>
      <w:jc w:val="center"/>
    </w:pPr>
    <w:rPr>
      <w:rFonts w:eastAsiaTheme="minorHAnsi"/>
      <w:noProof/>
      <w:szCs w:val="22"/>
      <w:lang w:val="en-US" w:eastAsia="en-US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D814C0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814C0"/>
    <w:pPr>
      <w:spacing w:after="160"/>
      <w:jc w:val="both"/>
    </w:pPr>
    <w:rPr>
      <w:rFonts w:eastAsiaTheme="minorHAnsi"/>
      <w:noProof/>
      <w:szCs w:val="22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D814C0"/>
    <w:rPr>
      <w:rFonts w:ascii="Times New Roman" w:hAnsi="Times New Roman" w:cs="Times New Roman"/>
      <w:noProof/>
      <w:sz w:val="24"/>
      <w:lang w:val="en-US"/>
    </w:rPr>
  </w:style>
  <w:style w:type="character" w:styleId="Hyperlink">
    <w:name w:val="Hyperlink"/>
    <w:basedOn w:val="DefaultParagraphFont"/>
    <w:uiPriority w:val="99"/>
    <w:unhideWhenUsed/>
    <w:rsid w:val="00D814C0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14C0"/>
    <w:rPr>
      <w:rFonts w:eastAsiaTheme="minorHAnsi"/>
      <w:sz w:val="26"/>
      <w:szCs w:val="2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4C0"/>
    <w:rPr>
      <w:rFonts w:ascii="Times New Roman" w:hAnsi="Times New Roman" w:cs="Times New Roman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D814C0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D814C0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814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4C0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4C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4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4C0"/>
    <w:rPr>
      <w:b/>
      <w:bCs/>
      <w:sz w:val="20"/>
      <w:szCs w:val="20"/>
    </w:rPr>
  </w:style>
  <w:style w:type="character" w:customStyle="1" w:styleId="apple-converted-space">
    <w:name w:val="apple-converted-space"/>
    <w:basedOn w:val="DefaultParagraphFont"/>
    <w:rsid w:val="00D814C0"/>
  </w:style>
  <w:style w:type="character" w:styleId="LineNumber">
    <w:name w:val="line number"/>
    <w:basedOn w:val="DefaultParagraphFont"/>
    <w:uiPriority w:val="99"/>
    <w:semiHidden/>
    <w:unhideWhenUsed/>
    <w:rsid w:val="00D814C0"/>
  </w:style>
  <w:style w:type="paragraph" w:styleId="Footer">
    <w:name w:val="footer"/>
    <w:basedOn w:val="Normal"/>
    <w:link w:val="FooterChar"/>
    <w:uiPriority w:val="99"/>
    <w:unhideWhenUsed/>
    <w:rsid w:val="00D814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14C0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D814C0"/>
  </w:style>
  <w:style w:type="character" w:customStyle="1" w:styleId="js-separator">
    <w:name w:val="js-separator"/>
    <w:basedOn w:val="DefaultParagraphFont"/>
    <w:rsid w:val="00D814C0"/>
  </w:style>
  <w:style w:type="character" w:customStyle="1" w:styleId="visually-hidden">
    <w:name w:val="visually-hidden"/>
    <w:basedOn w:val="DefaultParagraphFont"/>
    <w:rsid w:val="00D814C0"/>
  </w:style>
  <w:style w:type="character" w:styleId="HTMLCite">
    <w:name w:val="HTML Cite"/>
    <w:basedOn w:val="DefaultParagraphFont"/>
    <w:uiPriority w:val="99"/>
    <w:semiHidden/>
    <w:unhideWhenUsed/>
    <w:rsid w:val="00D814C0"/>
    <w:rPr>
      <w:i/>
      <w:iCs/>
    </w:rPr>
  </w:style>
  <w:style w:type="character" w:customStyle="1" w:styleId="ref-journal">
    <w:name w:val="ref-journal"/>
    <w:basedOn w:val="DefaultParagraphFont"/>
    <w:rsid w:val="00D814C0"/>
  </w:style>
  <w:style w:type="character" w:customStyle="1" w:styleId="ref-vol">
    <w:name w:val="ref-vol"/>
    <w:basedOn w:val="DefaultParagraphFont"/>
    <w:rsid w:val="00D814C0"/>
  </w:style>
  <w:style w:type="character" w:customStyle="1" w:styleId="hiddenreadable">
    <w:name w:val="hiddenreadable"/>
    <w:basedOn w:val="DefaultParagraphFont"/>
    <w:rsid w:val="00D814C0"/>
  </w:style>
  <w:style w:type="character" w:customStyle="1" w:styleId="currenthithighlight">
    <w:name w:val="currenthithighlight"/>
    <w:basedOn w:val="DefaultParagraphFont"/>
    <w:rsid w:val="00D814C0"/>
  </w:style>
  <w:style w:type="character" w:customStyle="1" w:styleId="highlight">
    <w:name w:val="highlight"/>
    <w:basedOn w:val="DefaultParagraphFont"/>
    <w:rsid w:val="00D814C0"/>
  </w:style>
  <w:style w:type="paragraph" w:styleId="Header">
    <w:name w:val="header"/>
    <w:basedOn w:val="Normal"/>
    <w:link w:val="HeaderChar"/>
    <w:uiPriority w:val="99"/>
    <w:unhideWhenUsed/>
    <w:rsid w:val="00D814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14C0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14C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1570</Words>
  <Characters>8949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McCormick</dc:creator>
  <cp:keywords/>
  <dc:description/>
  <cp:lastModifiedBy>Microsoft Office User</cp:lastModifiedBy>
  <cp:revision>1</cp:revision>
  <dcterms:created xsi:type="dcterms:W3CDTF">2018-06-13T11:19:00Z</dcterms:created>
  <dcterms:modified xsi:type="dcterms:W3CDTF">2018-10-10T09:24:00Z</dcterms:modified>
</cp:coreProperties>
</file>