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C0AE" w14:textId="0471B100" w:rsidR="00F63F23" w:rsidRPr="00893C11" w:rsidRDefault="00F63F23" w:rsidP="00EF7BFC">
      <w:pPr>
        <w:spacing w:after="0" w:line="240" w:lineRule="auto"/>
        <w:rPr>
          <w:rFonts w:cs="Arial"/>
          <w:color w:val="000000" w:themeColor="text1"/>
          <w:sz w:val="22"/>
          <w:lang w:val="en-US"/>
        </w:rPr>
      </w:pPr>
      <w:bookmarkStart w:id="0" w:name="_GoBack"/>
      <w:bookmarkEnd w:id="0"/>
    </w:p>
    <w:p w14:paraId="048337C7" w14:textId="77777777" w:rsidR="00D53B13" w:rsidRPr="00893C11" w:rsidRDefault="00D53B13" w:rsidP="00D53B13">
      <w:pPr>
        <w:spacing w:line="360" w:lineRule="auto"/>
        <w:jc w:val="both"/>
        <w:rPr>
          <w:rFonts w:cs="Arial"/>
          <w:b/>
          <w:color w:val="000000" w:themeColor="text1"/>
          <w:sz w:val="22"/>
          <w:lang w:val="en-US"/>
        </w:rPr>
      </w:pPr>
      <w:r w:rsidRPr="00893C11">
        <w:rPr>
          <w:rFonts w:cs="Arial"/>
          <w:b/>
          <w:color w:val="000000" w:themeColor="text1"/>
          <w:sz w:val="22"/>
          <w:lang w:val="en-US"/>
        </w:rPr>
        <w:t>Supplementary Data</w:t>
      </w:r>
    </w:p>
    <w:p w14:paraId="38FF72AF" w14:textId="4089D2C1" w:rsidR="00D53B13" w:rsidRPr="00893C11" w:rsidRDefault="008714F4" w:rsidP="00D53B13">
      <w:pPr>
        <w:spacing w:after="0" w:line="360" w:lineRule="auto"/>
        <w:jc w:val="both"/>
        <w:rPr>
          <w:rFonts w:cs="Arial"/>
          <w:b/>
          <w:color w:val="000000" w:themeColor="text1"/>
          <w:sz w:val="22"/>
          <w:shd w:val="clear" w:color="auto" w:fill="FFFFFF"/>
          <w:lang w:val="en-US"/>
        </w:rPr>
      </w:pPr>
      <w:r w:rsidRPr="00893C11">
        <w:rPr>
          <w:rFonts w:cs="Arial"/>
          <w:b/>
          <w:color w:val="000000" w:themeColor="text1"/>
          <w:sz w:val="22"/>
          <w:shd w:val="clear" w:color="auto" w:fill="FFFFFF"/>
          <w:lang w:val="en-US"/>
        </w:rPr>
        <w:t>Supplementary Methods.</w:t>
      </w:r>
    </w:p>
    <w:p w14:paraId="0C085D42" w14:textId="514CD37A" w:rsidR="008714F4" w:rsidRPr="00893C11" w:rsidRDefault="008714F4" w:rsidP="00D53B13">
      <w:pPr>
        <w:spacing w:after="0" w:line="360" w:lineRule="auto"/>
        <w:jc w:val="both"/>
        <w:rPr>
          <w:rFonts w:cs="Arial"/>
          <w:color w:val="000000" w:themeColor="text1"/>
          <w:sz w:val="22"/>
          <w:lang w:val="en-US"/>
        </w:rPr>
      </w:pPr>
    </w:p>
    <w:p w14:paraId="0B59E2A3" w14:textId="1C4479E4" w:rsidR="008714F4" w:rsidRPr="00893C11" w:rsidRDefault="008714F4" w:rsidP="00D53B13">
      <w:pPr>
        <w:spacing w:after="0" w:line="360" w:lineRule="auto"/>
        <w:jc w:val="both"/>
        <w:rPr>
          <w:rFonts w:cs="Arial"/>
          <w:color w:val="000000" w:themeColor="text1"/>
          <w:sz w:val="22"/>
          <w:lang w:val="en-US"/>
        </w:rPr>
      </w:pPr>
      <w:r w:rsidRPr="00893C11">
        <w:rPr>
          <w:rFonts w:cs="Arial"/>
          <w:i/>
          <w:color w:val="000000" w:themeColor="text1"/>
          <w:sz w:val="22"/>
          <w:lang w:val="en-US"/>
        </w:rPr>
        <w:t>Inter-tumoral coefficient of variation</w:t>
      </w:r>
      <w:r w:rsidRPr="00893C11">
        <w:rPr>
          <w:rFonts w:cs="Arial"/>
          <w:color w:val="000000" w:themeColor="text1"/>
          <w:sz w:val="22"/>
          <w:lang w:val="en-US"/>
        </w:rPr>
        <w:t xml:space="preserve">. </w:t>
      </w:r>
      <w:r w:rsidR="00C87DEF" w:rsidRPr="00893C11">
        <w:rPr>
          <w:rFonts w:cs="Arial"/>
          <w:color w:val="000000" w:themeColor="text1"/>
          <w:sz w:val="22"/>
          <w:lang w:val="en-US"/>
        </w:rPr>
        <w:t>The i</w:t>
      </w:r>
      <w:r w:rsidRPr="00893C11">
        <w:rPr>
          <w:rFonts w:cs="Arial"/>
          <w:color w:val="000000" w:themeColor="text1"/>
          <w:sz w:val="22"/>
          <w:lang w:val="en-US"/>
        </w:rPr>
        <w:t xml:space="preserve">ntertumoral </w:t>
      </w:r>
      <w:proofErr w:type="spellStart"/>
      <w:r w:rsidRPr="00893C11">
        <w:rPr>
          <w:rFonts w:cs="Arial"/>
          <w:color w:val="000000" w:themeColor="text1"/>
          <w:sz w:val="22"/>
          <w:lang w:val="en-US"/>
        </w:rPr>
        <w:t>C</w:t>
      </w:r>
      <w:r w:rsidR="00C87DEF" w:rsidRPr="00893C11">
        <w:rPr>
          <w:rFonts w:cs="Arial"/>
          <w:color w:val="000000" w:themeColor="text1"/>
          <w:sz w:val="22"/>
          <w:lang w:val="en-US"/>
        </w:rPr>
        <w:t>o</w:t>
      </w:r>
      <w:r w:rsidRPr="00893C11">
        <w:rPr>
          <w:rFonts w:cs="Arial"/>
          <w:color w:val="000000" w:themeColor="text1"/>
          <w:sz w:val="22"/>
          <w:lang w:val="en-US"/>
        </w:rPr>
        <w:t>V</w:t>
      </w:r>
      <w:proofErr w:type="spellEnd"/>
      <w:r w:rsidRPr="00893C11">
        <w:rPr>
          <w:rFonts w:cs="Arial"/>
          <w:color w:val="000000" w:themeColor="text1"/>
          <w:sz w:val="22"/>
          <w:lang w:val="en-US"/>
        </w:rPr>
        <w:t xml:space="preserve"> </w:t>
      </w:r>
      <w:r w:rsidR="00C87DEF" w:rsidRPr="00893C11">
        <w:rPr>
          <w:rFonts w:cs="Arial"/>
          <w:color w:val="000000" w:themeColor="text1"/>
          <w:sz w:val="22"/>
          <w:lang w:val="en-US"/>
        </w:rPr>
        <w:t>for G</w:t>
      </w:r>
      <w:r w:rsidR="00C87DEF" w:rsidRPr="00893C11">
        <w:rPr>
          <w:rFonts w:cs="Arial"/>
          <w:i/>
          <w:color w:val="000000" w:themeColor="text1"/>
          <w:sz w:val="22"/>
          <w:vertAlign w:val="subscript"/>
          <w:lang w:val="en-US"/>
        </w:rPr>
        <w:t>d</w:t>
      </w:r>
      <w:r w:rsidR="00C87DEF" w:rsidRPr="00893C11">
        <w:rPr>
          <w:rFonts w:cs="Arial"/>
          <w:color w:val="000000" w:themeColor="text1"/>
          <w:sz w:val="22"/>
          <w:lang w:val="en-US"/>
        </w:rPr>
        <w:t xml:space="preserve"> and </w:t>
      </w:r>
      <w:proofErr w:type="spellStart"/>
      <w:r w:rsidR="00C87DEF" w:rsidRPr="00893C11">
        <w:rPr>
          <w:rFonts w:cs="Arial"/>
          <w:color w:val="000000" w:themeColor="text1"/>
          <w:sz w:val="22"/>
          <w:lang w:val="en-US"/>
        </w:rPr>
        <w:t>G</w:t>
      </w:r>
      <w:r w:rsidR="00C87DEF" w:rsidRPr="00893C11">
        <w:rPr>
          <w:rFonts w:cs="Arial"/>
          <w:i/>
          <w:color w:val="000000" w:themeColor="text1"/>
          <w:sz w:val="22"/>
          <w:vertAlign w:val="subscript"/>
          <w:lang w:val="en-US"/>
        </w:rPr>
        <w:t>l</w:t>
      </w:r>
      <w:proofErr w:type="spellEnd"/>
      <w:r w:rsidR="00C87DEF" w:rsidRPr="00893C11">
        <w:rPr>
          <w:rFonts w:cs="Arial"/>
          <w:color w:val="000000" w:themeColor="text1"/>
          <w:sz w:val="22"/>
          <w:lang w:val="en-US"/>
        </w:rPr>
        <w:t xml:space="preserve"> </w:t>
      </w:r>
      <w:r w:rsidR="00245039" w:rsidRPr="00893C11">
        <w:rPr>
          <w:rFonts w:cs="Arial"/>
          <w:color w:val="000000" w:themeColor="text1"/>
          <w:sz w:val="22"/>
          <w:lang w:val="en-US"/>
        </w:rPr>
        <w:t xml:space="preserve">measured </w:t>
      </w:r>
      <w:r w:rsidRPr="00893C11">
        <w:rPr>
          <w:rFonts w:cs="Arial"/>
          <w:color w:val="000000" w:themeColor="text1"/>
          <w:sz w:val="22"/>
          <w:lang w:val="en-US"/>
        </w:rPr>
        <w:t xml:space="preserve">on our MR elastography preclinical platform was calculated from repeated measurements </w:t>
      </w:r>
      <w:r w:rsidR="00245039" w:rsidRPr="00893C11">
        <w:rPr>
          <w:rFonts w:cs="Arial"/>
          <w:color w:val="000000" w:themeColor="text1"/>
          <w:sz w:val="22"/>
          <w:lang w:val="en-US"/>
        </w:rPr>
        <w:t xml:space="preserve">made </w:t>
      </w:r>
      <w:r w:rsidRPr="00893C11">
        <w:rPr>
          <w:rFonts w:cs="Arial"/>
          <w:color w:val="000000" w:themeColor="text1"/>
          <w:sz w:val="22"/>
          <w:lang w:val="en-US"/>
        </w:rPr>
        <w:t>over 24 hours in tumors from the Th-</w:t>
      </w:r>
      <w:r w:rsidRPr="00893C11">
        <w:rPr>
          <w:rFonts w:cs="Arial"/>
          <w:i/>
          <w:color w:val="000000" w:themeColor="text1"/>
          <w:sz w:val="22"/>
          <w:lang w:val="en-US"/>
        </w:rPr>
        <w:t>MYCN</w:t>
      </w:r>
      <w:r w:rsidRPr="00893C11">
        <w:rPr>
          <w:rFonts w:cs="Arial"/>
          <w:color w:val="000000" w:themeColor="text1"/>
          <w:sz w:val="22"/>
          <w:lang w:val="en-US"/>
        </w:rPr>
        <w:t xml:space="preserve"> 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transgenic </w:t>
      </w:r>
      <w:r w:rsidRPr="00893C11">
        <w:rPr>
          <w:rFonts w:cs="Arial"/>
          <w:color w:val="000000" w:themeColor="text1"/>
          <w:sz w:val="22"/>
          <w:lang w:val="en-US"/>
        </w:rPr>
        <w:t xml:space="preserve">mouse 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model </w:t>
      </w:r>
      <w:r w:rsidRPr="00893C11">
        <w:rPr>
          <w:rFonts w:cs="Arial"/>
          <w:color w:val="000000" w:themeColor="text1"/>
          <w:sz w:val="22"/>
          <w:lang w:val="en-US"/>
        </w:rPr>
        <w:t>(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untreated, </w:t>
      </w:r>
      <w:r w:rsidRPr="00893C11">
        <w:rPr>
          <w:rFonts w:cs="Arial"/>
          <w:color w:val="000000" w:themeColor="text1"/>
          <w:sz w:val="22"/>
          <w:lang w:val="en-US"/>
        </w:rPr>
        <w:t xml:space="preserve">n=3), 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from the </w:t>
      </w:r>
      <w:r w:rsidRPr="00893C11">
        <w:rPr>
          <w:rFonts w:cs="Arial"/>
          <w:color w:val="000000" w:themeColor="text1"/>
          <w:sz w:val="22"/>
          <w:lang w:val="en-US"/>
        </w:rPr>
        <w:t>GTML</w:t>
      </w:r>
      <w:r w:rsidRPr="00893C11">
        <w:rPr>
          <w:rFonts w:cs="Arial"/>
          <w:i/>
          <w:color w:val="000000" w:themeColor="text1"/>
          <w:sz w:val="22"/>
          <w:lang w:val="en-US"/>
        </w:rPr>
        <w:t>/Trp53</w:t>
      </w:r>
      <w:r w:rsidRPr="00893C11">
        <w:rPr>
          <w:rFonts w:cs="Arial"/>
          <w:i/>
          <w:color w:val="000000" w:themeColor="text1"/>
          <w:sz w:val="22"/>
          <w:vertAlign w:val="superscript"/>
          <w:lang w:val="en-US"/>
        </w:rPr>
        <w:t>KI/</w:t>
      </w:r>
      <w:r w:rsidR="005E2A21" w:rsidRPr="00893C11">
        <w:rPr>
          <w:rFonts w:cs="Arial"/>
          <w:i/>
          <w:color w:val="000000" w:themeColor="text1"/>
          <w:sz w:val="22"/>
          <w:vertAlign w:val="superscript"/>
          <w:lang w:val="en-US"/>
        </w:rPr>
        <w:t>KI</w:t>
      </w:r>
      <w:r w:rsidRPr="00893C11">
        <w:rPr>
          <w:rFonts w:cs="Arial"/>
          <w:color w:val="000000" w:themeColor="text1"/>
          <w:sz w:val="22"/>
          <w:vertAlign w:val="superscript"/>
          <w:lang w:val="en-US"/>
        </w:rPr>
        <w:t xml:space="preserve"> 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transgenic mouse model </w:t>
      </w:r>
      <w:r w:rsidRPr="00893C11">
        <w:rPr>
          <w:rFonts w:cs="Arial"/>
          <w:color w:val="000000" w:themeColor="text1"/>
          <w:sz w:val="22"/>
          <w:lang w:val="en-US"/>
        </w:rPr>
        <w:t>(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untreated, </w:t>
      </w:r>
      <w:r w:rsidRPr="00893C11">
        <w:rPr>
          <w:rFonts w:cs="Arial"/>
          <w:color w:val="000000" w:themeColor="text1"/>
          <w:sz w:val="22"/>
          <w:lang w:val="en-US"/>
        </w:rPr>
        <w:t xml:space="preserve">n=1), </w:t>
      </w:r>
      <w:r w:rsidR="00B91C41" w:rsidRPr="00893C11">
        <w:rPr>
          <w:rFonts w:cs="Arial"/>
          <w:color w:val="000000" w:themeColor="text1"/>
          <w:sz w:val="22"/>
          <w:lang w:val="en-US"/>
        </w:rPr>
        <w:t xml:space="preserve">orthotopic </w:t>
      </w:r>
      <w:r w:rsidRPr="00893C11">
        <w:rPr>
          <w:rFonts w:cs="Arial"/>
          <w:color w:val="000000" w:themeColor="text1"/>
          <w:sz w:val="22"/>
          <w:lang w:val="en-US"/>
        </w:rPr>
        <w:t xml:space="preserve">BT-474 </w:t>
      </w:r>
      <w:r w:rsidR="005E2A21" w:rsidRPr="00893C11">
        <w:rPr>
          <w:rFonts w:cs="Arial"/>
          <w:color w:val="000000" w:themeColor="text1"/>
          <w:sz w:val="22"/>
          <w:lang w:val="en-US"/>
        </w:rPr>
        <w:t>xenograft</w:t>
      </w:r>
      <w:r w:rsidR="00B91C41" w:rsidRPr="00893C11">
        <w:rPr>
          <w:rFonts w:cs="Arial"/>
          <w:color w:val="000000" w:themeColor="text1"/>
          <w:sz w:val="22"/>
          <w:lang w:val="en-US"/>
        </w:rPr>
        <w:t>s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 </w:t>
      </w:r>
      <w:r w:rsidRPr="00893C11">
        <w:rPr>
          <w:rFonts w:cs="Arial"/>
          <w:color w:val="000000" w:themeColor="text1"/>
          <w:sz w:val="22"/>
          <w:lang w:val="en-US"/>
        </w:rPr>
        <w:t>(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vehicle control, </w:t>
      </w:r>
      <w:r w:rsidRPr="00893C11">
        <w:rPr>
          <w:rFonts w:cs="Arial"/>
          <w:color w:val="000000" w:themeColor="text1"/>
          <w:sz w:val="22"/>
          <w:lang w:val="en-US"/>
        </w:rPr>
        <w:t xml:space="preserve">n=3), </w:t>
      </w:r>
      <w:r w:rsidR="00B91C41" w:rsidRPr="00893C11">
        <w:rPr>
          <w:rFonts w:cs="Arial"/>
          <w:color w:val="000000" w:themeColor="text1"/>
          <w:sz w:val="22"/>
          <w:lang w:val="en-US"/>
        </w:rPr>
        <w:t xml:space="preserve">orthotopic </w:t>
      </w:r>
      <w:r w:rsidR="005E2A21" w:rsidRPr="00893C11">
        <w:rPr>
          <w:rFonts w:cs="Arial"/>
          <w:color w:val="000000" w:themeColor="text1"/>
          <w:sz w:val="22"/>
          <w:lang w:val="en-US"/>
        </w:rPr>
        <w:t>MDA-MB-231 xenograft</w:t>
      </w:r>
      <w:r w:rsidR="00B91C41" w:rsidRPr="00893C11">
        <w:rPr>
          <w:rFonts w:cs="Arial"/>
          <w:color w:val="000000" w:themeColor="text1"/>
          <w:sz w:val="22"/>
          <w:lang w:val="en-US"/>
        </w:rPr>
        <w:t>s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 </w:t>
      </w:r>
      <w:r w:rsidRPr="00893C11">
        <w:rPr>
          <w:rFonts w:cs="Arial"/>
          <w:color w:val="000000" w:themeColor="text1"/>
          <w:sz w:val="22"/>
          <w:lang w:val="en-US"/>
        </w:rPr>
        <w:t>(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vehicle control, </w:t>
      </w:r>
      <w:r w:rsidRPr="00893C11">
        <w:rPr>
          <w:rFonts w:cs="Arial"/>
          <w:color w:val="000000" w:themeColor="text1"/>
          <w:sz w:val="22"/>
          <w:lang w:val="en-US"/>
        </w:rPr>
        <w:t>n=7) and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 </w:t>
      </w:r>
      <w:r w:rsidR="00B91C41" w:rsidRPr="00893C11">
        <w:rPr>
          <w:rFonts w:cs="Arial"/>
          <w:color w:val="000000" w:themeColor="text1"/>
          <w:sz w:val="22"/>
          <w:lang w:val="en-US"/>
        </w:rPr>
        <w:t xml:space="preserve">subcutaneous </w:t>
      </w:r>
      <w:r w:rsidR="005E2A21" w:rsidRPr="00893C11">
        <w:rPr>
          <w:rFonts w:cs="Arial"/>
          <w:color w:val="000000" w:themeColor="text1"/>
          <w:sz w:val="22"/>
          <w:lang w:val="en-US"/>
        </w:rPr>
        <w:t>SW620 xenografts</w:t>
      </w:r>
      <w:r w:rsidRPr="00893C11">
        <w:rPr>
          <w:rFonts w:cs="Arial"/>
          <w:color w:val="000000" w:themeColor="text1"/>
          <w:sz w:val="22"/>
          <w:lang w:val="en-US"/>
        </w:rPr>
        <w:t xml:space="preserve"> </w:t>
      </w:r>
      <w:r w:rsidR="005E2A21" w:rsidRPr="00893C11">
        <w:rPr>
          <w:rFonts w:cs="Arial"/>
          <w:color w:val="000000" w:themeColor="text1"/>
          <w:sz w:val="22"/>
          <w:lang w:val="en-US"/>
        </w:rPr>
        <w:t xml:space="preserve">(vehicle control, n=6, published in </w:t>
      </w:r>
      <w:r w:rsidR="005E2A21" w:rsidRPr="00893C11">
        <w:rPr>
          <w:rFonts w:cs="Arial"/>
          <w:color w:val="000000" w:themeColor="text1"/>
          <w:sz w:val="22"/>
          <w:lang w:val="en-US"/>
        </w:rPr>
        <w:fldChar w:fldCharType="begin"/>
      </w:r>
      <w:r w:rsidR="005E2A21" w:rsidRPr="00893C11">
        <w:rPr>
          <w:rFonts w:cs="Arial"/>
          <w:color w:val="000000" w:themeColor="text1"/>
          <w:sz w:val="22"/>
          <w:lang w:val="en-US"/>
        </w:rPr>
        <w:instrText xml:space="preserve"> ADDIN EN.CITE &lt;EndNote&gt;&lt;Cite&gt;&lt;Author&gt;Li&lt;/Author&gt;&lt;Year&gt;2014&lt;/Year&gt;&lt;RecNum&gt;17&lt;/RecNum&gt;&lt;DisplayText&gt;(18)&lt;/DisplayText&gt;&lt;record&gt;&lt;rec-number&gt;17&lt;/rec-number&gt;&lt;foreign-keys&gt;&lt;key app="EN" db-id="pssrvp2ptpesrvexdp9vaepced0dttdazt0w" timestamp="1557237836"&gt;17&lt;/key&gt;&lt;/foreign-keys&gt;&lt;ref-type name="Journal Article"&gt;17&lt;/ref-type&gt;&lt;contributors&gt;&lt;authors&gt;&lt;author&gt;Li, J.&lt;/author&gt;&lt;author&gt;Jamin, Y.&lt;/author&gt;&lt;author&gt;Boult, J. K. R.&lt;/author&gt;&lt;author&gt;Cummings, C.&lt;/author&gt;&lt;author&gt;Waterton, J. C.&lt;/author&gt;&lt;author&gt;Ulloa, J.&lt;/author&gt;&lt;author&gt;Sinkus, Ralph&lt;/author&gt;&lt;author&gt;Bamber, J.C.&lt;/author&gt;&lt;author&gt;Robinson, S. P.&lt;/author&gt;&lt;/authors&gt;&lt;/contributors&gt;&lt;titles&gt;&lt;title&gt;Tumour biomechanical response to the vascular disrupting agent ZD6126 in vivo assessed by magnetic resonance elastography&lt;/title&gt;&lt;secondary-title&gt;British Journal of Cancer&lt;/secondary-title&gt;&lt;/titles&gt;&lt;periodical&gt;&lt;full-title&gt;British Journal of Cancer&lt;/full-title&gt;&lt;/periodical&gt;&lt;pages&gt;1727-1732&lt;/pages&gt;&lt;volume&gt;110&lt;/volume&gt;&lt;dates&gt;&lt;year&gt;2014&lt;/year&gt;&lt;/dates&gt;&lt;urls&gt;&lt;/urls&gt;&lt;/record&gt;&lt;/Cite&gt;&lt;/EndNote&gt;</w:instrText>
      </w:r>
      <w:r w:rsidR="005E2A21" w:rsidRPr="00893C11">
        <w:rPr>
          <w:rFonts w:cs="Arial"/>
          <w:color w:val="000000" w:themeColor="text1"/>
          <w:sz w:val="22"/>
          <w:lang w:val="en-US"/>
        </w:rPr>
        <w:fldChar w:fldCharType="separate"/>
      </w:r>
      <w:r w:rsidR="005E2A21" w:rsidRPr="00893C11">
        <w:rPr>
          <w:rFonts w:cs="Arial"/>
          <w:noProof/>
          <w:color w:val="000000" w:themeColor="text1"/>
          <w:sz w:val="22"/>
          <w:lang w:val="en-US"/>
        </w:rPr>
        <w:t>(18)</w:t>
      </w:r>
      <w:r w:rsidR="005E2A21" w:rsidRPr="00893C11">
        <w:rPr>
          <w:rFonts w:cs="Arial"/>
          <w:color w:val="000000" w:themeColor="text1"/>
          <w:sz w:val="22"/>
          <w:lang w:val="en-US"/>
        </w:rPr>
        <w:fldChar w:fldCharType="end"/>
      </w:r>
      <w:r w:rsidR="005E2A21" w:rsidRPr="00893C11">
        <w:rPr>
          <w:rFonts w:cs="Arial"/>
          <w:color w:val="000000" w:themeColor="text1"/>
          <w:sz w:val="22"/>
          <w:lang w:val="en-US"/>
        </w:rPr>
        <w:t>).</w:t>
      </w:r>
    </w:p>
    <w:p w14:paraId="21A0FB5C" w14:textId="77777777" w:rsidR="008714F4" w:rsidRPr="00893C11" w:rsidRDefault="008714F4" w:rsidP="00D53B13">
      <w:pPr>
        <w:spacing w:after="0" w:line="360" w:lineRule="auto"/>
        <w:jc w:val="both"/>
        <w:rPr>
          <w:rFonts w:cs="Arial"/>
          <w:color w:val="000000" w:themeColor="text1"/>
          <w:sz w:val="22"/>
          <w:lang w:val="en-US"/>
        </w:rPr>
      </w:pPr>
    </w:p>
    <w:p w14:paraId="3ADF6F8D" w14:textId="1D720252" w:rsidR="00D53B13" w:rsidRPr="00893C11" w:rsidRDefault="00D53B13" w:rsidP="00D53B13">
      <w:pPr>
        <w:spacing w:line="360" w:lineRule="auto"/>
        <w:jc w:val="both"/>
        <w:rPr>
          <w:rFonts w:cs="Arial"/>
          <w:color w:val="000000" w:themeColor="text1"/>
          <w:sz w:val="22"/>
          <w:shd w:val="clear" w:color="auto" w:fill="FFFFFF"/>
          <w:lang w:val="en-US"/>
        </w:rPr>
      </w:pPr>
      <w:r w:rsidRPr="00893C11">
        <w:rPr>
          <w:rFonts w:cs="Arial"/>
          <w:b/>
          <w:color w:val="000000" w:themeColor="text1"/>
          <w:sz w:val="22"/>
          <w:shd w:val="clear" w:color="auto" w:fill="FFFFFF"/>
          <w:lang w:val="en-US"/>
        </w:rPr>
        <w:t>Supplementary Table 1.</w:t>
      </w:r>
      <w:r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 xml:space="preserve"> Summary of the origin, characteristics, provenance and culture conditions of the cell lines implanted intracranially. </w:t>
      </w:r>
      <w:r w:rsidR="001C43CC"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 xml:space="preserve">The prefix </w:t>
      </w:r>
      <w:proofErr w:type="spellStart"/>
      <w:r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>luc</w:t>
      </w:r>
      <w:proofErr w:type="spellEnd"/>
      <w:r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 xml:space="preserve"> indicates </w:t>
      </w:r>
      <w:r w:rsidR="001C43CC"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 xml:space="preserve">cells that have been transfected with </w:t>
      </w:r>
      <w:r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 xml:space="preserve">luciferase for bioluminescence imaging. </w:t>
      </w:r>
    </w:p>
    <w:tbl>
      <w:tblPr>
        <w:tblStyle w:val="PlainTable11"/>
        <w:tblW w:w="9640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2127"/>
        <w:gridCol w:w="4536"/>
      </w:tblGrid>
      <w:tr w:rsidR="00893C11" w:rsidRPr="00893C11" w14:paraId="5482A570" w14:textId="77777777" w:rsidTr="00595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8C7551B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Cell line</w:t>
            </w:r>
          </w:p>
        </w:tc>
        <w:tc>
          <w:tcPr>
            <w:tcW w:w="1842" w:type="dxa"/>
          </w:tcPr>
          <w:p w14:paraId="0218C155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Characteristics</w:t>
            </w:r>
          </w:p>
        </w:tc>
        <w:tc>
          <w:tcPr>
            <w:tcW w:w="2127" w:type="dxa"/>
          </w:tcPr>
          <w:p w14:paraId="0ABD892A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Provenance</w:t>
            </w:r>
          </w:p>
        </w:tc>
        <w:tc>
          <w:tcPr>
            <w:tcW w:w="4536" w:type="dxa"/>
          </w:tcPr>
          <w:p w14:paraId="2443B4FA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Culture conditions  </w:t>
            </w:r>
          </w:p>
        </w:tc>
      </w:tr>
      <w:tr w:rsidR="00893C11" w:rsidRPr="00893C11" w14:paraId="57F16DE9" w14:textId="77777777" w:rsidTr="00595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311A759" w14:textId="77777777" w:rsidR="00D53B13" w:rsidRPr="00893C11" w:rsidRDefault="00D53B13" w:rsidP="00595C25">
            <w:pPr>
              <w:widowControl w:val="0"/>
              <w:jc w:val="both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luc-MDA-MB-231 LM2–4</w:t>
            </w:r>
          </w:p>
        </w:tc>
        <w:tc>
          <w:tcPr>
            <w:tcW w:w="1842" w:type="dxa"/>
          </w:tcPr>
          <w:p w14:paraId="474DC178" w14:textId="77777777" w:rsidR="00D53B13" w:rsidRPr="00893C11" w:rsidRDefault="00D53B13" w:rsidP="00595C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Highly malignant human triple negative breast cancer cells isolated from a lung metastasis</w:t>
            </w:r>
          </w:p>
        </w:tc>
        <w:tc>
          <w:tcPr>
            <w:tcW w:w="2127" w:type="dxa"/>
          </w:tcPr>
          <w:p w14:paraId="0D040505" w14:textId="77777777" w:rsidR="00D53B13" w:rsidRPr="00893C11" w:rsidRDefault="00D53B13" w:rsidP="00595C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Kindly provided by Dr. R. </w:t>
            </w:r>
            <w:proofErr w:type="spellStart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Kerbel</w:t>
            </w:r>
            <w:proofErr w:type="spellEnd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, University of Toronto, Canada</w:t>
            </w:r>
          </w:p>
        </w:tc>
        <w:tc>
          <w:tcPr>
            <w:tcW w:w="4536" w:type="dxa"/>
            <w:vMerge w:val="restart"/>
          </w:tcPr>
          <w:p w14:paraId="6E413DEC" w14:textId="77777777" w:rsidR="00D53B13" w:rsidRPr="00893C11" w:rsidRDefault="00D53B13" w:rsidP="00595C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Dulbecco's modified Eagle's medium (Invitrogen, Life Technologies) supplemented with 10% (v/v) </w:t>
            </w:r>
            <w:proofErr w:type="spellStart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foetal</w:t>
            </w:r>
            <w:proofErr w:type="spellEnd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 bovine serum</w:t>
            </w:r>
          </w:p>
        </w:tc>
      </w:tr>
      <w:tr w:rsidR="00893C11" w:rsidRPr="00893C11" w14:paraId="5F63ADCF" w14:textId="77777777" w:rsidTr="00595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4126221" w14:textId="77777777" w:rsidR="00D53B13" w:rsidRPr="00893C11" w:rsidRDefault="00D53B13" w:rsidP="00595C25">
            <w:pPr>
              <w:widowControl w:val="0"/>
              <w:jc w:val="both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shd w:val="clear" w:color="auto" w:fill="FFFFFF"/>
                <w:lang w:val="en-US"/>
              </w:rPr>
              <w:t>luc-RG2</w:t>
            </w:r>
          </w:p>
        </w:tc>
        <w:tc>
          <w:tcPr>
            <w:tcW w:w="1842" w:type="dxa"/>
          </w:tcPr>
          <w:p w14:paraId="304B67B4" w14:textId="77777777" w:rsidR="00D53B13" w:rsidRPr="00893C11" w:rsidRDefault="00D53B13" w:rsidP="00595C2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shd w:val="clear" w:color="auto" w:fill="FFFFFF"/>
                <w:lang w:val="en-US"/>
              </w:rPr>
              <w:t xml:space="preserve">Rat glioma cells </w:t>
            </w:r>
          </w:p>
        </w:tc>
        <w:tc>
          <w:tcPr>
            <w:tcW w:w="2127" w:type="dxa"/>
          </w:tcPr>
          <w:p w14:paraId="57D62474" w14:textId="77777777" w:rsidR="00D53B13" w:rsidRPr="00893C11" w:rsidRDefault="00D53B13" w:rsidP="00595C2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shd w:val="clear" w:color="auto" w:fill="FFFFFF"/>
                <w:lang w:val="en-US"/>
              </w:rPr>
              <w:t>Kindly provided by Dr. D. Crichton, Cancer Research Technology, Glasgow</w:t>
            </w:r>
          </w:p>
        </w:tc>
        <w:tc>
          <w:tcPr>
            <w:tcW w:w="4536" w:type="dxa"/>
            <w:vMerge/>
          </w:tcPr>
          <w:p w14:paraId="4D415B98" w14:textId="77777777" w:rsidR="00D53B13" w:rsidRPr="00893C11" w:rsidRDefault="00D53B13" w:rsidP="00595C2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</w:p>
        </w:tc>
      </w:tr>
      <w:tr w:rsidR="00893C11" w:rsidRPr="00893C11" w14:paraId="5F271FB3" w14:textId="77777777" w:rsidTr="00595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E0FC501" w14:textId="77777777" w:rsidR="00D53B13" w:rsidRPr="00893C11" w:rsidRDefault="00D53B13" w:rsidP="00595C25">
            <w:pPr>
              <w:widowControl w:val="0"/>
              <w:jc w:val="both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luc-U-87 MG</w:t>
            </w:r>
          </w:p>
        </w:tc>
        <w:tc>
          <w:tcPr>
            <w:tcW w:w="1842" w:type="dxa"/>
          </w:tcPr>
          <w:p w14:paraId="0E0572EF" w14:textId="77777777" w:rsidR="00D53B13" w:rsidRPr="00893C11" w:rsidRDefault="00D53B13" w:rsidP="00595C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Human glioblastoma cells </w:t>
            </w:r>
          </w:p>
        </w:tc>
        <w:tc>
          <w:tcPr>
            <w:tcW w:w="2127" w:type="dxa"/>
          </w:tcPr>
          <w:p w14:paraId="0216FDD0" w14:textId="77777777" w:rsidR="00D53B13" w:rsidRPr="00893C11" w:rsidRDefault="00D53B13" w:rsidP="00595C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American Type Culture Collection (ATCC, LGC Standards, </w:t>
            </w:r>
            <w:proofErr w:type="spellStart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Teddington</w:t>
            </w:r>
            <w:proofErr w:type="spellEnd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, UK), modified to express luciferase by Mr. G. Box, The Institute of Cancer Research</w:t>
            </w:r>
          </w:p>
        </w:tc>
        <w:tc>
          <w:tcPr>
            <w:tcW w:w="4536" w:type="dxa"/>
            <w:vMerge/>
          </w:tcPr>
          <w:p w14:paraId="4713D6E0" w14:textId="77777777" w:rsidR="00D53B13" w:rsidRPr="00893C11" w:rsidRDefault="00D53B13" w:rsidP="00595C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</w:p>
        </w:tc>
      </w:tr>
      <w:tr w:rsidR="00893C11" w:rsidRPr="00893C11" w14:paraId="27B0FFFB" w14:textId="77777777" w:rsidTr="00595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AF7FC14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rPr>
                <w:rFonts w:cs="Arial"/>
                <w:color w:val="000000" w:themeColor="text1"/>
                <w:sz w:val="13"/>
                <w:szCs w:val="13"/>
                <w:shd w:val="clear" w:color="auto" w:fill="FFFFFF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shd w:val="clear" w:color="auto" w:fill="FFFFFF"/>
                <w:lang w:val="en-US"/>
              </w:rPr>
              <w:t>luc-D-212 MG</w:t>
            </w:r>
          </w:p>
        </w:tc>
        <w:tc>
          <w:tcPr>
            <w:tcW w:w="1842" w:type="dxa"/>
          </w:tcPr>
          <w:p w14:paraId="168E743E" w14:textId="77777777" w:rsidR="00D53B13" w:rsidRPr="00893C11" w:rsidRDefault="00D53B13" w:rsidP="00595C2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shd w:val="clear" w:color="auto" w:fill="FFFFFF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Derived from a pediatric hemispheric giant-cell glioblastoma</w:t>
            </w:r>
          </w:p>
        </w:tc>
        <w:tc>
          <w:tcPr>
            <w:tcW w:w="2127" w:type="dxa"/>
          </w:tcPr>
          <w:p w14:paraId="720E346E" w14:textId="77777777" w:rsidR="00D53B13" w:rsidRPr="00893C11" w:rsidRDefault="00D53B13" w:rsidP="00595C25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Duke University, North Carolina</w:t>
            </w:r>
          </w:p>
        </w:tc>
        <w:tc>
          <w:tcPr>
            <w:tcW w:w="4536" w:type="dxa"/>
          </w:tcPr>
          <w:p w14:paraId="25FE4BDC" w14:textId="77777777" w:rsidR="00D53B13" w:rsidRPr="00893C11" w:rsidRDefault="00D53B13" w:rsidP="00595C2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Serial propagation of subcutaneous xenografts before being established </w:t>
            </w:r>
            <w:r w:rsidRPr="00893C11">
              <w:rPr>
                <w:rFonts w:cs="Arial"/>
                <w:i/>
                <w:color w:val="000000" w:themeColor="text1"/>
                <w:sz w:val="13"/>
                <w:szCs w:val="13"/>
                <w:lang w:val="en-US"/>
              </w:rPr>
              <w:t>in vitro</w:t>
            </w: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 and grown on laminin coated flasks in </w:t>
            </w:r>
            <w:r w:rsidRPr="00893C11">
              <w:rPr>
                <w:rFonts w:cs="Arial"/>
                <w:color w:val="000000" w:themeColor="text1"/>
                <w:spacing w:val="3"/>
                <w:sz w:val="13"/>
                <w:szCs w:val="13"/>
                <w:shd w:val="clear" w:color="auto" w:fill="FFFFFF"/>
                <w:lang w:val="en-US"/>
              </w:rPr>
              <w:t>neural stem cell culture medium RHB-A (</w:t>
            </w:r>
            <w:proofErr w:type="spellStart"/>
            <w:r w:rsidRPr="00893C11">
              <w:rPr>
                <w:rFonts w:cs="Arial"/>
                <w:color w:val="000000" w:themeColor="text1"/>
                <w:spacing w:val="3"/>
                <w:sz w:val="13"/>
                <w:szCs w:val="13"/>
                <w:shd w:val="clear" w:color="auto" w:fill="FFFFFF"/>
                <w:lang w:val="en-US"/>
              </w:rPr>
              <w:t>StemCells</w:t>
            </w:r>
            <w:proofErr w:type="spellEnd"/>
            <w:r w:rsidRPr="00893C11">
              <w:rPr>
                <w:rFonts w:cs="Arial"/>
                <w:color w:val="000000" w:themeColor="text1"/>
                <w:spacing w:val="3"/>
                <w:sz w:val="13"/>
                <w:szCs w:val="13"/>
                <w:shd w:val="clear" w:color="auto" w:fill="FFFFFF"/>
                <w:lang w:val="en-US"/>
              </w:rPr>
              <w:t xml:space="preserve">, Cambridge, UK), supplemented with human </w:t>
            </w:r>
            <w:proofErr w:type="spellStart"/>
            <w:r w:rsidRPr="00893C11">
              <w:rPr>
                <w:rFonts w:cs="Arial"/>
                <w:color w:val="000000" w:themeColor="text1"/>
                <w:spacing w:val="3"/>
                <w:sz w:val="13"/>
                <w:szCs w:val="13"/>
                <w:shd w:val="clear" w:color="auto" w:fill="FFFFFF"/>
                <w:lang w:val="en-US"/>
              </w:rPr>
              <w:t>bFGF</w:t>
            </w:r>
            <w:proofErr w:type="spellEnd"/>
            <w:r w:rsidRPr="00893C11">
              <w:rPr>
                <w:rFonts w:cs="Arial"/>
                <w:color w:val="000000" w:themeColor="text1"/>
                <w:spacing w:val="3"/>
                <w:sz w:val="13"/>
                <w:szCs w:val="13"/>
                <w:shd w:val="clear" w:color="auto" w:fill="FFFFFF"/>
                <w:lang w:val="en-US"/>
              </w:rPr>
              <w:t xml:space="preserve"> (20 ng/mL), human EGF (20 ng/mL), human PDGF-AB (20 ng/mL) (</w:t>
            </w:r>
            <w:proofErr w:type="spellStart"/>
            <w:r w:rsidRPr="00893C11">
              <w:rPr>
                <w:rFonts w:cs="Arial"/>
                <w:color w:val="000000" w:themeColor="text1"/>
                <w:spacing w:val="3"/>
                <w:sz w:val="13"/>
                <w:szCs w:val="13"/>
                <w:shd w:val="clear" w:color="auto" w:fill="FFFFFF"/>
                <w:lang w:val="en-US"/>
              </w:rPr>
              <w:t>Miltenyi</w:t>
            </w:r>
            <w:proofErr w:type="spellEnd"/>
            <w:r w:rsidRPr="00893C11">
              <w:rPr>
                <w:rFonts w:cs="Arial"/>
                <w:color w:val="000000" w:themeColor="text1"/>
                <w:spacing w:val="3"/>
                <w:sz w:val="13"/>
                <w:szCs w:val="1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93C11">
              <w:rPr>
                <w:rFonts w:cs="Arial"/>
                <w:color w:val="000000" w:themeColor="text1"/>
                <w:spacing w:val="3"/>
                <w:sz w:val="13"/>
                <w:szCs w:val="13"/>
                <w:shd w:val="clear" w:color="auto" w:fill="FFFFFF"/>
                <w:lang w:val="en-US"/>
              </w:rPr>
              <w:t>Biotec</w:t>
            </w:r>
            <w:proofErr w:type="spellEnd"/>
            <w:r w:rsidRPr="00893C11">
              <w:rPr>
                <w:rFonts w:cs="Arial"/>
                <w:color w:val="000000" w:themeColor="text1"/>
                <w:spacing w:val="3"/>
                <w:sz w:val="13"/>
                <w:szCs w:val="13"/>
                <w:shd w:val="clear" w:color="auto" w:fill="FFFFFF"/>
                <w:lang w:val="en-US"/>
              </w:rPr>
              <w:t>, Bisley, UK) and heparin (2 ng/mL) (Stem Cell Technologies, Vancouver, Canada)</w:t>
            </w:r>
          </w:p>
        </w:tc>
      </w:tr>
    </w:tbl>
    <w:p w14:paraId="4C58F77B" w14:textId="77777777" w:rsidR="00D53B13" w:rsidRPr="00893C11" w:rsidRDefault="00D53B13" w:rsidP="00D53B13">
      <w:pPr>
        <w:spacing w:line="360" w:lineRule="auto"/>
        <w:ind w:left="-284"/>
        <w:jc w:val="both"/>
        <w:rPr>
          <w:rFonts w:cs="Arial"/>
          <w:color w:val="000000" w:themeColor="text1"/>
          <w:sz w:val="22"/>
          <w:lang w:val="en-US"/>
        </w:rPr>
      </w:pPr>
    </w:p>
    <w:p w14:paraId="0C1B0579" w14:textId="4EBEAB5F" w:rsidR="00D53B13" w:rsidRPr="00893C11" w:rsidRDefault="00D53B13" w:rsidP="00D53B13">
      <w:pPr>
        <w:spacing w:line="360" w:lineRule="auto"/>
        <w:ind w:left="-284"/>
        <w:jc w:val="both"/>
        <w:rPr>
          <w:rFonts w:cs="Arial"/>
          <w:color w:val="000000" w:themeColor="text1"/>
          <w:sz w:val="22"/>
          <w:lang w:val="en-US"/>
        </w:rPr>
      </w:pPr>
    </w:p>
    <w:p w14:paraId="03C14C6F" w14:textId="6F5A67FA" w:rsidR="000D4D05" w:rsidRPr="00893C11" w:rsidRDefault="000D4D05" w:rsidP="00D53B13">
      <w:pPr>
        <w:spacing w:line="360" w:lineRule="auto"/>
        <w:ind w:left="-284"/>
        <w:jc w:val="both"/>
        <w:rPr>
          <w:rFonts w:cs="Arial"/>
          <w:color w:val="000000" w:themeColor="text1"/>
          <w:sz w:val="22"/>
          <w:lang w:val="en-US"/>
        </w:rPr>
      </w:pPr>
    </w:p>
    <w:p w14:paraId="7A53E697" w14:textId="198D67D6" w:rsidR="000D4D05" w:rsidRPr="00893C11" w:rsidRDefault="000D4D05" w:rsidP="00D53B13">
      <w:pPr>
        <w:spacing w:line="360" w:lineRule="auto"/>
        <w:ind w:left="-284"/>
        <w:jc w:val="both"/>
        <w:rPr>
          <w:rFonts w:cs="Arial"/>
          <w:color w:val="000000" w:themeColor="text1"/>
          <w:sz w:val="22"/>
          <w:lang w:val="en-US"/>
        </w:rPr>
      </w:pPr>
    </w:p>
    <w:p w14:paraId="60D53923" w14:textId="2A2A2F6C" w:rsidR="000D4D05" w:rsidRPr="00893C11" w:rsidRDefault="000D4D05" w:rsidP="00D53B13">
      <w:pPr>
        <w:spacing w:line="360" w:lineRule="auto"/>
        <w:ind w:left="-284"/>
        <w:jc w:val="both"/>
        <w:rPr>
          <w:rFonts w:cs="Arial"/>
          <w:color w:val="000000" w:themeColor="text1"/>
          <w:sz w:val="22"/>
          <w:lang w:val="en-US"/>
        </w:rPr>
      </w:pPr>
    </w:p>
    <w:p w14:paraId="2F6A0239" w14:textId="77777777" w:rsidR="000D4D05" w:rsidRPr="00893C11" w:rsidRDefault="000D4D05" w:rsidP="00D53B13">
      <w:pPr>
        <w:spacing w:line="360" w:lineRule="auto"/>
        <w:ind w:left="-284"/>
        <w:jc w:val="both"/>
        <w:rPr>
          <w:rFonts w:cs="Arial"/>
          <w:color w:val="000000" w:themeColor="text1"/>
          <w:sz w:val="22"/>
          <w:lang w:val="en-US"/>
        </w:rPr>
      </w:pPr>
    </w:p>
    <w:p w14:paraId="03ADB9FE" w14:textId="4A43B213" w:rsidR="00D53B13" w:rsidRPr="00893C11" w:rsidRDefault="00D53B13" w:rsidP="00D53B13">
      <w:pPr>
        <w:spacing w:line="360" w:lineRule="auto"/>
        <w:jc w:val="both"/>
        <w:rPr>
          <w:rFonts w:cs="Arial"/>
          <w:color w:val="000000" w:themeColor="text1"/>
          <w:sz w:val="22"/>
          <w:shd w:val="clear" w:color="auto" w:fill="FFFFFF"/>
          <w:lang w:val="en-US"/>
        </w:rPr>
      </w:pPr>
      <w:r w:rsidRPr="00893C11">
        <w:rPr>
          <w:rFonts w:cs="Arial"/>
          <w:b/>
          <w:color w:val="000000" w:themeColor="text1"/>
          <w:sz w:val="22"/>
          <w:shd w:val="clear" w:color="auto" w:fill="FFFFFF"/>
          <w:lang w:val="en-US"/>
        </w:rPr>
        <w:lastRenderedPageBreak/>
        <w:t>Supplementary Table 2.</w:t>
      </w:r>
      <w:r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 xml:space="preserve"> Summary of the origin, characteristics, provenance and culture conditions of the cell lines used to propagate orthotopic models of breast and pancreatic cancer. </w:t>
      </w:r>
      <w:r w:rsidR="001C43CC"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 xml:space="preserve">The prefix </w:t>
      </w:r>
      <w:proofErr w:type="spellStart"/>
      <w:r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>luc</w:t>
      </w:r>
      <w:proofErr w:type="spellEnd"/>
      <w:r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 xml:space="preserve"> indicates </w:t>
      </w:r>
      <w:r w:rsidR="001C43CC"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 xml:space="preserve">cells that have been transfected with </w:t>
      </w:r>
      <w:r w:rsidRPr="00893C11">
        <w:rPr>
          <w:rFonts w:cs="Arial"/>
          <w:color w:val="000000" w:themeColor="text1"/>
          <w:sz w:val="22"/>
          <w:shd w:val="clear" w:color="auto" w:fill="FFFFFF"/>
          <w:lang w:val="en-US"/>
        </w:rPr>
        <w:t>luciferase for bioluminescence imaging.</w:t>
      </w:r>
    </w:p>
    <w:tbl>
      <w:tblPr>
        <w:tblStyle w:val="PlainTable12"/>
        <w:tblW w:w="9640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2127"/>
        <w:gridCol w:w="4536"/>
      </w:tblGrid>
      <w:tr w:rsidR="00893C11" w:rsidRPr="00893C11" w14:paraId="6A0CC458" w14:textId="77777777" w:rsidTr="00595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AC5003E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Cell line</w:t>
            </w:r>
          </w:p>
        </w:tc>
        <w:tc>
          <w:tcPr>
            <w:tcW w:w="1842" w:type="dxa"/>
          </w:tcPr>
          <w:p w14:paraId="32A7227E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Characteristics</w:t>
            </w:r>
          </w:p>
        </w:tc>
        <w:tc>
          <w:tcPr>
            <w:tcW w:w="2127" w:type="dxa"/>
          </w:tcPr>
          <w:p w14:paraId="50E2F8B0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Provenance</w:t>
            </w:r>
          </w:p>
        </w:tc>
        <w:tc>
          <w:tcPr>
            <w:tcW w:w="4536" w:type="dxa"/>
          </w:tcPr>
          <w:p w14:paraId="2E6B6BA1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Culture conditions  </w:t>
            </w:r>
          </w:p>
        </w:tc>
      </w:tr>
      <w:tr w:rsidR="00893C11" w:rsidRPr="00893C11" w14:paraId="5619A9F7" w14:textId="77777777" w:rsidTr="00595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6D56167" w14:textId="77777777" w:rsidR="00D53B13" w:rsidRPr="00893C11" w:rsidRDefault="00D53B13" w:rsidP="00595C25">
            <w:pPr>
              <w:widowControl w:val="0"/>
              <w:jc w:val="both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MDA-MB-231</w:t>
            </w:r>
          </w:p>
        </w:tc>
        <w:tc>
          <w:tcPr>
            <w:tcW w:w="1842" w:type="dxa"/>
          </w:tcPr>
          <w:p w14:paraId="43066271" w14:textId="77777777" w:rsidR="00D53B13" w:rsidRPr="00893C11" w:rsidRDefault="00D53B13" w:rsidP="00595C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highly malignant human triple negative breast cancer cells</w:t>
            </w:r>
          </w:p>
        </w:tc>
        <w:tc>
          <w:tcPr>
            <w:tcW w:w="2127" w:type="dxa"/>
          </w:tcPr>
          <w:p w14:paraId="66FB6177" w14:textId="77777777" w:rsidR="00D53B13" w:rsidRPr="00893C11" w:rsidRDefault="00D53B13" w:rsidP="00595C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ATCC</w:t>
            </w:r>
          </w:p>
        </w:tc>
        <w:tc>
          <w:tcPr>
            <w:tcW w:w="4536" w:type="dxa"/>
            <w:vMerge w:val="restart"/>
          </w:tcPr>
          <w:p w14:paraId="54D6F8F5" w14:textId="77777777" w:rsidR="00D53B13" w:rsidRPr="00893C11" w:rsidRDefault="00D53B13" w:rsidP="00595C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Dulbecco's modified Eagle's medium (Invitrogen, Life Technologies) supplemented with 10% (v/v) </w:t>
            </w:r>
            <w:proofErr w:type="spellStart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foetal</w:t>
            </w:r>
            <w:proofErr w:type="spellEnd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 bovine serum</w:t>
            </w:r>
          </w:p>
        </w:tc>
      </w:tr>
      <w:tr w:rsidR="00893C11" w:rsidRPr="00893C11" w14:paraId="43E9D092" w14:textId="77777777" w:rsidTr="00595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19A5634" w14:textId="77777777" w:rsidR="00D53B13" w:rsidRPr="00893C11" w:rsidRDefault="00D53B13" w:rsidP="00595C25">
            <w:pPr>
              <w:widowControl w:val="0"/>
              <w:jc w:val="both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luc-MDA-MB-231 LM2–4</w:t>
            </w:r>
          </w:p>
        </w:tc>
        <w:tc>
          <w:tcPr>
            <w:tcW w:w="1842" w:type="dxa"/>
          </w:tcPr>
          <w:p w14:paraId="08E9CAD5" w14:textId="77777777" w:rsidR="00D53B13" w:rsidRPr="00893C11" w:rsidRDefault="00D53B13" w:rsidP="00595C2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highly malignant human triple negative breast cancer cells isolated from a lung metastasis</w:t>
            </w:r>
          </w:p>
        </w:tc>
        <w:tc>
          <w:tcPr>
            <w:tcW w:w="2127" w:type="dxa"/>
          </w:tcPr>
          <w:p w14:paraId="0C16FADD" w14:textId="77777777" w:rsidR="00D53B13" w:rsidRPr="00893C11" w:rsidRDefault="00D53B13" w:rsidP="00595C2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Kindly provided by Dr. R. </w:t>
            </w:r>
            <w:proofErr w:type="spellStart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Kerbel</w:t>
            </w:r>
            <w:proofErr w:type="spellEnd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, University of Toronto, Canada</w:t>
            </w:r>
          </w:p>
        </w:tc>
        <w:tc>
          <w:tcPr>
            <w:tcW w:w="4536" w:type="dxa"/>
            <w:vMerge/>
          </w:tcPr>
          <w:p w14:paraId="68A2AD93" w14:textId="77777777" w:rsidR="00D53B13" w:rsidRPr="00893C11" w:rsidRDefault="00D53B13" w:rsidP="00595C2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</w:p>
        </w:tc>
      </w:tr>
      <w:tr w:rsidR="00893C11" w:rsidRPr="00893C11" w14:paraId="6AF7346A" w14:textId="77777777" w:rsidTr="00595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BF347A7" w14:textId="77777777" w:rsidR="00D53B13" w:rsidRPr="00893C11" w:rsidRDefault="00D53B13" w:rsidP="00595C25">
            <w:pPr>
              <w:widowControl w:val="0"/>
              <w:jc w:val="both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shd w:val="clear" w:color="auto" w:fill="FFFFFF"/>
                <w:lang w:val="en-US"/>
              </w:rPr>
              <w:t xml:space="preserve">BT-474 </w:t>
            </w:r>
          </w:p>
        </w:tc>
        <w:tc>
          <w:tcPr>
            <w:tcW w:w="1842" w:type="dxa"/>
          </w:tcPr>
          <w:p w14:paraId="3F10D0F9" w14:textId="77777777" w:rsidR="00D53B13" w:rsidRPr="00893C11" w:rsidRDefault="00D53B13" w:rsidP="00595C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invasive ductal breast carcinoma cells</w:t>
            </w:r>
          </w:p>
        </w:tc>
        <w:tc>
          <w:tcPr>
            <w:tcW w:w="2127" w:type="dxa"/>
          </w:tcPr>
          <w:p w14:paraId="032DAB50" w14:textId="77777777" w:rsidR="00D53B13" w:rsidRPr="00893C11" w:rsidRDefault="00D53B13" w:rsidP="00595C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ATCC</w:t>
            </w:r>
          </w:p>
        </w:tc>
        <w:tc>
          <w:tcPr>
            <w:tcW w:w="4536" w:type="dxa"/>
            <w:vMerge/>
          </w:tcPr>
          <w:p w14:paraId="0A11E126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</w:p>
        </w:tc>
      </w:tr>
      <w:tr w:rsidR="00893C11" w:rsidRPr="00893C11" w14:paraId="0B0CAE96" w14:textId="77777777" w:rsidTr="00595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8A2AD87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luc-PANC-1</w:t>
            </w:r>
          </w:p>
        </w:tc>
        <w:tc>
          <w:tcPr>
            <w:tcW w:w="1842" w:type="dxa"/>
          </w:tcPr>
          <w:p w14:paraId="03E7D54F" w14:textId="77777777" w:rsidR="00D53B13" w:rsidRPr="00893C11" w:rsidRDefault="00D53B13" w:rsidP="00595C2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pancreatic </w:t>
            </w:r>
            <w:proofErr w:type="spellStart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epitheloid</w:t>
            </w:r>
            <w:proofErr w:type="spellEnd"/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 xml:space="preserve"> carcinoma cells</w:t>
            </w:r>
          </w:p>
        </w:tc>
        <w:tc>
          <w:tcPr>
            <w:tcW w:w="2127" w:type="dxa"/>
          </w:tcPr>
          <w:p w14:paraId="6FEEF331" w14:textId="77777777" w:rsidR="00D53B13" w:rsidRPr="00893C11" w:rsidRDefault="00D53B13" w:rsidP="00595C25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  <w:r w:rsidRPr="00893C11">
              <w:rPr>
                <w:rFonts w:cs="Arial"/>
                <w:color w:val="000000" w:themeColor="text1"/>
                <w:sz w:val="13"/>
                <w:szCs w:val="13"/>
                <w:lang w:val="en-US"/>
              </w:rPr>
              <w:t>ATCC</w:t>
            </w:r>
          </w:p>
        </w:tc>
        <w:tc>
          <w:tcPr>
            <w:tcW w:w="4536" w:type="dxa"/>
            <w:vMerge/>
          </w:tcPr>
          <w:p w14:paraId="3CF4812F" w14:textId="77777777" w:rsidR="00D53B13" w:rsidRPr="00893C11" w:rsidRDefault="00D53B13" w:rsidP="00595C25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3"/>
                <w:szCs w:val="13"/>
                <w:lang w:val="en-US"/>
              </w:rPr>
            </w:pPr>
          </w:p>
        </w:tc>
      </w:tr>
    </w:tbl>
    <w:p w14:paraId="0092610D" w14:textId="77777777" w:rsidR="00D53B13" w:rsidRPr="00893C11" w:rsidRDefault="00D53B13" w:rsidP="00D53B13">
      <w:pPr>
        <w:spacing w:line="360" w:lineRule="auto"/>
        <w:ind w:left="-284"/>
        <w:jc w:val="both"/>
        <w:rPr>
          <w:rFonts w:cs="Arial"/>
          <w:color w:val="000000" w:themeColor="text1"/>
          <w:sz w:val="22"/>
          <w:lang w:val="en-US"/>
        </w:rPr>
      </w:pPr>
    </w:p>
    <w:p w14:paraId="0AA1D7D0" w14:textId="77777777" w:rsidR="00D53B13" w:rsidRPr="00893C11" w:rsidRDefault="00D53B13" w:rsidP="00D53B13">
      <w:pPr>
        <w:spacing w:line="360" w:lineRule="auto"/>
        <w:ind w:left="-284"/>
        <w:jc w:val="both"/>
        <w:rPr>
          <w:rFonts w:cs="Arial"/>
          <w:color w:val="000000" w:themeColor="text1"/>
          <w:sz w:val="22"/>
          <w:lang w:val="en-US"/>
        </w:rPr>
      </w:pPr>
    </w:p>
    <w:p w14:paraId="4241907B" w14:textId="77777777" w:rsidR="008714F4" w:rsidRPr="00893C11" w:rsidRDefault="008714F4">
      <w:pPr>
        <w:rPr>
          <w:color w:val="000000" w:themeColor="text1"/>
        </w:rPr>
      </w:pPr>
    </w:p>
    <w:p w14:paraId="23C69629" w14:textId="319A1CD1" w:rsidR="008714F4" w:rsidRPr="00893C11" w:rsidRDefault="008714F4">
      <w:pPr>
        <w:rPr>
          <w:color w:val="000000" w:themeColor="text1"/>
        </w:rPr>
      </w:pPr>
    </w:p>
    <w:p w14:paraId="00504F61" w14:textId="77777777" w:rsidR="008714F4" w:rsidRPr="00893C11" w:rsidRDefault="008714F4">
      <w:pPr>
        <w:rPr>
          <w:color w:val="000000" w:themeColor="text1"/>
        </w:rPr>
      </w:pPr>
    </w:p>
    <w:p w14:paraId="1B66A477" w14:textId="740CC284" w:rsidR="008714F4" w:rsidRPr="00893C11" w:rsidRDefault="008714F4">
      <w:pPr>
        <w:rPr>
          <w:color w:val="000000" w:themeColor="text1"/>
        </w:rPr>
      </w:pPr>
    </w:p>
    <w:p w14:paraId="288F3592" w14:textId="77777777" w:rsidR="008714F4" w:rsidRPr="00893C11" w:rsidRDefault="008714F4">
      <w:pPr>
        <w:rPr>
          <w:color w:val="000000" w:themeColor="text1"/>
        </w:rPr>
      </w:pPr>
    </w:p>
    <w:p w14:paraId="291BDE9A" w14:textId="7E0DECB7" w:rsidR="00640859" w:rsidRPr="00893C11" w:rsidRDefault="00640859">
      <w:pPr>
        <w:rPr>
          <w:color w:val="000000" w:themeColor="text1"/>
        </w:rPr>
      </w:pPr>
    </w:p>
    <w:sectPr w:rsidR="00640859" w:rsidRPr="00893C11" w:rsidSect="00D53B13">
      <w:headerReference w:type="default" r:id="rId7"/>
      <w:footerReference w:type="even" r:id="rId8"/>
      <w:footerReference w:type="default" r:id="rId9"/>
      <w:pgSz w:w="11906" w:h="16838" w:code="9"/>
      <w:pgMar w:top="1440" w:right="1440" w:bottom="1440" w:left="1440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DCBB" w14:textId="77777777" w:rsidR="00703A50" w:rsidRDefault="00703A50">
      <w:pPr>
        <w:spacing w:after="0" w:line="240" w:lineRule="auto"/>
      </w:pPr>
      <w:r>
        <w:separator/>
      </w:r>
    </w:p>
  </w:endnote>
  <w:endnote w:type="continuationSeparator" w:id="0">
    <w:p w14:paraId="1B8F78AB" w14:textId="77777777" w:rsidR="00703A50" w:rsidRDefault="0070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16710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E5138" w14:textId="77777777" w:rsidR="00F564B0" w:rsidRDefault="00F564B0" w:rsidP="00595C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BEBAC4" w14:textId="77777777" w:rsidR="00F564B0" w:rsidRDefault="00F564B0" w:rsidP="00595C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0725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31B10A" w14:textId="77777777" w:rsidR="00F564B0" w:rsidRDefault="00F564B0" w:rsidP="00595C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368EC"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14:paraId="5E6175B1" w14:textId="77777777" w:rsidR="00F564B0" w:rsidRDefault="00F564B0" w:rsidP="00595C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8275" w14:textId="77777777" w:rsidR="00703A50" w:rsidRDefault="00703A50">
      <w:pPr>
        <w:spacing w:after="0" w:line="240" w:lineRule="auto"/>
      </w:pPr>
      <w:r>
        <w:separator/>
      </w:r>
    </w:p>
  </w:footnote>
  <w:footnote w:type="continuationSeparator" w:id="0">
    <w:p w14:paraId="052A5FE1" w14:textId="77777777" w:rsidR="00703A50" w:rsidRDefault="0070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843F" w14:textId="77777777" w:rsidR="00F564B0" w:rsidRDefault="00F56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7A2"/>
    <w:multiLevelType w:val="hybridMultilevel"/>
    <w:tmpl w:val="C9B011FA"/>
    <w:lvl w:ilvl="0" w:tplc="D98663F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3237"/>
    <w:multiLevelType w:val="hybridMultilevel"/>
    <w:tmpl w:val="B4C6BB6C"/>
    <w:lvl w:ilvl="0" w:tplc="8C306DE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srvp2ptpesrvexdp9vaepced0dttdazt0w&quot;&gt;MRE_collagen_paper_final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62&lt;/item&gt;&lt;/record-ids&gt;&lt;/item&gt;&lt;/Libraries&gt;"/>
  </w:docVars>
  <w:rsids>
    <w:rsidRoot w:val="00D53B13"/>
    <w:rsid w:val="00004F43"/>
    <w:rsid w:val="00014A18"/>
    <w:rsid w:val="0001588F"/>
    <w:rsid w:val="000230C4"/>
    <w:rsid w:val="00045783"/>
    <w:rsid w:val="00045F5D"/>
    <w:rsid w:val="000563E8"/>
    <w:rsid w:val="00057E41"/>
    <w:rsid w:val="00067D1B"/>
    <w:rsid w:val="00071F6E"/>
    <w:rsid w:val="000A353F"/>
    <w:rsid w:val="000A4F2B"/>
    <w:rsid w:val="000B711A"/>
    <w:rsid w:val="000C1347"/>
    <w:rsid w:val="000C7BB9"/>
    <w:rsid w:val="000C7D27"/>
    <w:rsid w:val="000D18BF"/>
    <w:rsid w:val="000D4D05"/>
    <w:rsid w:val="000E5210"/>
    <w:rsid w:val="00107C05"/>
    <w:rsid w:val="001105A7"/>
    <w:rsid w:val="001108A2"/>
    <w:rsid w:val="00124313"/>
    <w:rsid w:val="00136212"/>
    <w:rsid w:val="00143A08"/>
    <w:rsid w:val="00152143"/>
    <w:rsid w:val="0015444E"/>
    <w:rsid w:val="001577ED"/>
    <w:rsid w:val="00165EEC"/>
    <w:rsid w:val="00176228"/>
    <w:rsid w:val="00176358"/>
    <w:rsid w:val="00177D4C"/>
    <w:rsid w:val="001837B3"/>
    <w:rsid w:val="00186587"/>
    <w:rsid w:val="00194493"/>
    <w:rsid w:val="001B7FB1"/>
    <w:rsid w:val="001C217F"/>
    <w:rsid w:val="001C43CC"/>
    <w:rsid w:val="001D3F42"/>
    <w:rsid w:val="001E0C77"/>
    <w:rsid w:val="001E3291"/>
    <w:rsid w:val="001E45EA"/>
    <w:rsid w:val="001E73C0"/>
    <w:rsid w:val="001F1BEA"/>
    <w:rsid w:val="00205492"/>
    <w:rsid w:val="002144F2"/>
    <w:rsid w:val="002209D3"/>
    <w:rsid w:val="00230B6F"/>
    <w:rsid w:val="002341C5"/>
    <w:rsid w:val="00236225"/>
    <w:rsid w:val="002370D5"/>
    <w:rsid w:val="002428A7"/>
    <w:rsid w:val="00245039"/>
    <w:rsid w:val="002644C2"/>
    <w:rsid w:val="002947D5"/>
    <w:rsid w:val="002A7BCA"/>
    <w:rsid w:val="002B37F2"/>
    <w:rsid w:val="002B6CCB"/>
    <w:rsid w:val="002D6759"/>
    <w:rsid w:val="002F0D38"/>
    <w:rsid w:val="0030400E"/>
    <w:rsid w:val="0031093E"/>
    <w:rsid w:val="003162F6"/>
    <w:rsid w:val="00320ED1"/>
    <w:rsid w:val="00321F65"/>
    <w:rsid w:val="00323CCA"/>
    <w:rsid w:val="00330EED"/>
    <w:rsid w:val="003402E0"/>
    <w:rsid w:val="00353171"/>
    <w:rsid w:val="00353245"/>
    <w:rsid w:val="00353AF9"/>
    <w:rsid w:val="00362CA6"/>
    <w:rsid w:val="00381007"/>
    <w:rsid w:val="00390A39"/>
    <w:rsid w:val="003B44E5"/>
    <w:rsid w:val="003B7D3D"/>
    <w:rsid w:val="003C5230"/>
    <w:rsid w:val="003C566C"/>
    <w:rsid w:val="003C6F9D"/>
    <w:rsid w:val="003D36FD"/>
    <w:rsid w:val="003E28C7"/>
    <w:rsid w:val="003E351A"/>
    <w:rsid w:val="003E55C4"/>
    <w:rsid w:val="003E7587"/>
    <w:rsid w:val="003F0B06"/>
    <w:rsid w:val="00402DB2"/>
    <w:rsid w:val="00444F45"/>
    <w:rsid w:val="00454D48"/>
    <w:rsid w:val="00457DAF"/>
    <w:rsid w:val="004600F5"/>
    <w:rsid w:val="00467853"/>
    <w:rsid w:val="00473DB4"/>
    <w:rsid w:val="00485AC9"/>
    <w:rsid w:val="00490EC9"/>
    <w:rsid w:val="00496042"/>
    <w:rsid w:val="004A0C5C"/>
    <w:rsid w:val="004A25B0"/>
    <w:rsid w:val="004A2AC8"/>
    <w:rsid w:val="004A6BB6"/>
    <w:rsid w:val="004B7B00"/>
    <w:rsid w:val="004C0A20"/>
    <w:rsid w:val="004C3D93"/>
    <w:rsid w:val="004C7ABF"/>
    <w:rsid w:val="004E29AC"/>
    <w:rsid w:val="004F188F"/>
    <w:rsid w:val="004F4A52"/>
    <w:rsid w:val="004F71C7"/>
    <w:rsid w:val="005118DE"/>
    <w:rsid w:val="005159C5"/>
    <w:rsid w:val="005238CC"/>
    <w:rsid w:val="00535210"/>
    <w:rsid w:val="00546921"/>
    <w:rsid w:val="00563FDD"/>
    <w:rsid w:val="0057143D"/>
    <w:rsid w:val="00571E5C"/>
    <w:rsid w:val="00572382"/>
    <w:rsid w:val="00574128"/>
    <w:rsid w:val="0057432A"/>
    <w:rsid w:val="00575898"/>
    <w:rsid w:val="005901A7"/>
    <w:rsid w:val="005914E6"/>
    <w:rsid w:val="005921CC"/>
    <w:rsid w:val="00595C25"/>
    <w:rsid w:val="005A3BAD"/>
    <w:rsid w:val="005A4B35"/>
    <w:rsid w:val="005C50A1"/>
    <w:rsid w:val="005E2795"/>
    <w:rsid w:val="005E2A21"/>
    <w:rsid w:val="005E2B6B"/>
    <w:rsid w:val="005F1F0F"/>
    <w:rsid w:val="00604B14"/>
    <w:rsid w:val="00604F54"/>
    <w:rsid w:val="00610D34"/>
    <w:rsid w:val="00616CAB"/>
    <w:rsid w:val="006204A9"/>
    <w:rsid w:val="00640859"/>
    <w:rsid w:val="00645553"/>
    <w:rsid w:val="006546E2"/>
    <w:rsid w:val="00656BE4"/>
    <w:rsid w:val="00664A78"/>
    <w:rsid w:val="0066601B"/>
    <w:rsid w:val="006676B5"/>
    <w:rsid w:val="00674284"/>
    <w:rsid w:val="00684C1A"/>
    <w:rsid w:val="00685A9E"/>
    <w:rsid w:val="00687303"/>
    <w:rsid w:val="006A61FE"/>
    <w:rsid w:val="006B1DB9"/>
    <w:rsid w:val="006D2FFB"/>
    <w:rsid w:val="006D5835"/>
    <w:rsid w:val="006D6C97"/>
    <w:rsid w:val="006E4189"/>
    <w:rsid w:val="006E66DE"/>
    <w:rsid w:val="006E6915"/>
    <w:rsid w:val="006E6ECE"/>
    <w:rsid w:val="00702DCA"/>
    <w:rsid w:val="00703A50"/>
    <w:rsid w:val="00713DE8"/>
    <w:rsid w:val="00732F4F"/>
    <w:rsid w:val="007766FF"/>
    <w:rsid w:val="00786871"/>
    <w:rsid w:val="00793EBC"/>
    <w:rsid w:val="007A0107"/>
    <w:rsid w:val="007B3283"/>
    <w:rsid w:val="007C04C2"/>
    <w:rsid w:val="007C6BB2"/>
    <w:rsid w:val="007C773E"/>
    <w:rsid w:val="007D1D8E"/>
    <w:rsid w:val="007D40A7"/>
    <w:rsid w:val="007E40F2"/>
    <w:rsid w:val="007E4A3E"/>
    <w:rsid w:val="007F0C2E"/>
    <w:rsid w:val="007F4366"/>
    <w:rsid w:val="007F4451"/>
    <w:rsid w:val="008024F7"/>
    <w:rsid w:val="00807D09"/>
    <w:rsid w:val="008228B1"/>
    <w:rsid w:val="00833210"/>
    <w:rsid w:val="00844992"/>
    <w:rsid w:val="00844B49"/>
    <w:rsid w:val="00846F2E"/>
    <w:rsid w:val="0084772C"/>
    <w:rsid w:val="00857046"/>
    <w:rsid w:val="00860076"/>
    <w:rsid w:val="008714F4"/>
    <w:rsid w:val="00881616"/>
    <w:rsid w:val="008837B3"/>
    <w:rsid w:val="00884056"/>
    <w:rsid w:val="00890771"/>
    <w:rsid w:val="00893C11"/>
    <w:rsid w:val="0089438A"/>
    <w:rsid w:val="00894395"/>
    <w:rsid w:val="008B17B4"/>
    <w:rsid w:val="008C30F0"/>
    <w:rsid w:val="008D055C"/>
    <w:rsid w:val="008D416B"/>
    <w:rsid w:val="008D57EB"/>
    <w:rsid w:val="008E09E6"/>
    <w:rsid w:val="008E647A"/>
    <w:rsid w:val="008F0A7E"/>
    <w:rsid w:val="008F34F0"/>
    <w:rsid w:val="008F42D7"/>
    <w:rsid w:val="008F48F8"/>
    <w:rsid w:val="008F7376"/>
    <w:rsid w:val="00901EE7"/>
    <w:rsid w:val="00936226"/>
    <w:rsid w:val="0095645F"/>
    <w:rsid w:val="0096160D"/>
    <w:rsid w:val="009665D8"/>
    <w:rsid w:val="009746C3"/>
    <w:rsid w:val="0097742F"/>
    <w:rsid w:val="00980F9B"/>
    <w:rsid w:val="009915E5"/>
    <w:rsid w:val="00992D2E"/>
    <w:rsid w:val="00995633"/>
    <w:rsid w:val="009A4472"/>
    <w:rsid w:val="009D3DA5"/>
    <w:rsid w:val="009D494D"/>
    <w:rsid w:val="009E7EC1"/>
    <w:rsid w:val="009F1D56"/>
    <w:rsid w:val="009F5A78"/>
    <w:rsid w:val="009F76BA"/>
    <w:rsid w:val="00A02A49"/>
    <w:rsid w:val="00A0369E"/>
    <w:rsid w:val="00A04D00"/>
    <w:rsid w:val="00A04F1D"/>
    <w:rsid w:val="00A07779"/>
    <w:rsid w:val="00A22549"/>
    <w:rsid w:val="00A34CDA"/>
    <w:rsid w:val="00A35C44"/>
    <w:rsid w:val="00A37B3A"/>
    <w:rsid w:val="00A54F60"/>
    <w:rsid w:val="00A611BB"/>
    <w:rsid w:val="00A632E2"/>
    <w:rsid w:val="00A63BEE"/>
    <w:rsid w:val="00A64A97"/>
    <w:rsid w:val="00A64AE9"/>
    <w:rsid w:val="00A6720D"/>
    <w:rsid w:val="00A6797D"/>
    <w:rsid w:val="00A83AE4"/>
    <w:rsid w:val="00A965DD"/>
    <w:rsid w:val="00AA073E"/>
    <w:rsid w:val="00AA2D75"/>
    <w:rsid w:val="00AA573D"/>
    <w:rsid w:val="00AB47B7"/>
    <w:rsid w:val="00AC4C10"/>
    <w:rsid w:val="00AC5C4B"/>
    <w:rsid w:val="00AC6541"/>
    <w:rsid w:val="00AC6C2C"/>
    <w:rsid w:val="00AE2689"/>
    <w:rsid w:val="00AE31F1"/>
    <w:rsid w:val="00AE5C67"/>
    <w:rsid w:val="00AF0C07"/>
    <w:rsid w:val="00AF7AEF"/>
    <w:rsid w:val="00B14961"/>
    <w:rsid w:val="00B20F7C"/>
    <w:rsid w:val="00B3686C"/>
    <w:rsid w:val="00B505C0"/>
    <w:rsid w:val="00B50F34"/>
    <w:rsid w:val="00B64CE9"/>
    <w:rsid w:val="00B655CE"/>
    <w:rsid w:val="00B7183F"/>
    <w:rsid w:val="00B73CE5"/>
    <w:rsid w:val="00B85945"/>
    <w:rsid w:val="00B91C41"/>
    <w:rsid w:val="00BB4751"/>
    <w:rsid w:val="00BD0324"/>
    <w:rsid w:val="00BD1ECB"/>
    <w:rsid w:val="00BE66CE"/>
    <w:rsid w:val="00C00863"/>
    <w:rsid w:val="00C07687"/>
    <w:rsid w:val="00C2604D"/>
    <w:rsid w:val="00C31FEC"/>
    <w:rsid w:val="00C36595"/>
    <w:rsid w:val="00C44E38"/>
    <w:rsid w:val="00C50D9C"/>
    <w:rsid w:val="00C6154D"/>
    <w:rsid w:val="00C63265"/>
    <w:rsid w:val="00C63A8B"/>
    <w:rsid w:val="00C66040"/>
    <w:rsid w:val="00C6746D"/>
    <w:rsid w:val="00C72A7F"/>
    <w:rsid w:val="00C7510F"/>
    <w:rsid w:val="00C752E7"/>
    <w:rsid w:val="00C81FE4"/>
    <w:rsid w:val="00C823C5"/>
    <w:rsid w:val="00C8600D"/>
    <w:rsid w:val="00C87DEF"/>
    <w:rsid w:val="00CA7A11"/>
    <w:rsid w:val="00CB5C3F"/>
    <w:rsid w:val="00CC1397"/>
    <w:rsid w:val="00CC18D9"/>
    <w:rsid w:val="00CC3160"/>
    <w:rsid w:val="00CD0CD7"/>
    <w:rsid w:val="00CD381F"/>
    <w:rsid w:val="00CE5E75"/>
    <w:rsid w:val="00CF64D6"/>
    <w:rsid w:val="00D0164E"/>
    <w:rsid w:val="00D1179A"/>
    <w:rsid w:val="00D121C4"/>
    <w:rsid w:val="00D45CD1"/>
    <w:rsid w:val="00D53B13"/>
    <w:rsid w:val="00D7685F"/>
    <w:rsid w:val="00D86700"/>
    <w:rsid w:val="00D92B33"/>
    <w:rsid w:val="00DA596B"/>
    <w:rsid w:val="00DC279A"/>
    <w:rsid w:val="00DC5D87"/>
    <w:rsid w:val="00DD07EA"/>
    <w:rsid w:val="00DE17EB"/>
    <w:rsid w:val="00DF1B24"/>
    <w:rsid w:val="00E03074"/>
    <w:rsid w:val="00E072F0"/>
    <w:rsid w:val="00E23656"/>
    <w:rsid w:val="00E27BED"/>
    <w:rsid w:val="00E368EC"/>
    <w:rsid w:val="00E51C97"/>
    <w:rsid w:val="00E65E39"/>
    <w:rsid w:val="00E74D91"/>
    <w:rsid w:val="00E75DD8"/>
    <w:rsid w:val="00E81653"/>
    <w:rsid w:val="00E84367"/>
    <w:rsid w:val="00EA291D"/>
    <w:rsid w:val="00EA34CA"/>
    <w:rsid w:val="00EB17B2"/>
    <w:rsid w:val="00EB2577"/>
    <w:rsid w:val="00EC740B"/>
    <w:rsid w:val="00ED26C9"/>
    <w:rsid w:val="00EE0630"/>
    <w:rsid w:val="00EE1E9B"/>
    <w:rsid w:val="00EE4F0F"/>
    <w:rsid w:val="00EE5C54"/>
    <w:rsid w:val="00EE66D6"/>
    <w:rsid w:val="00EF14F4"/>
    <w:rsid w:val="00EF7BFC"/>
    <w:rsid w:val="00F1308D"/>
    <w:rsid w:val="00F13847"/>
    <w:rsid w:val="00F272FF"/>
    <w:rsid w:val="00F368C1"/>
    <w:rsid w:val="00F3755C"/>
    <w:rsid w:val="00F564B0"/>
    <w:rsid w:val="00F63F23"/>
    <w:rsid w:val="00F64DDF"/>
    <w:rsid w:val="00F835B8"/>
    <w:rsid w:val="00FB45B2"/>
    <w:rsid w:val="00FB6563"/>
    <w:rsid w:val="00FC494D"/>
    <w:rsid w:val="00FD077B"/>
    <w:rsid w:val="00FD126C"/>
    <w:rsid w:val="00FD16F5"/>
    <w:rsid w:val="00FD20D9"/>
    <w:rsid w:val="00FD705A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11C1"/>
  <w14:defaultImageDpi w14:val="32767"/>
  <w15:docId w15:val="{4E0E9CAD-1813-8344-A0AE-E34428C0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B13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B13"/>
    <w:rPr>
      <w:color w:val="0000FF"/>
      <w:u w:val="single"/>
    </w:rPr>
  </w:style>
  <w:style w:type="table" w:styleId="TableGrid">
    <w:name w:val="Table Grid"/>
    <w:basedOn w:val="TableNormal"/>
    <w:uiPriority w:val="59"/>
    <w:rsid w:val="00D53B13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53B13"/>
    <w:pPr>
      <w:spacing w:after="0"/>
      <w:jc w:val="center"/>
    </w:pPr>
    <w:rPr>
      <w:rFonts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3B13"/>
    <w:rPr>
      <w:rFonts w:ascii="Arial" w:hAnsi="Arial" w:cs="Arial"/>
      <w:noProof/>
      <w:sz w:val="20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53B13"/>
    <w:pPr>
      <w:spacing w:line="240" w:lineRule="auto"/>
      <w:jc w:val="both"/>
    </w:pPr>
    <w:rPr>
      <w:rFonts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53B13"/>
    <w:rPr>
      <w:rFonts w:ascii="Arial" w:hAnsi="Arial" w:cs="Arial"/>
      <w:noProof/>
      <w:sz w:val="20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D53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B13"/>
    <w:rPr>
      <w:rFonts w:ascii="Arial" w:hAnsi="Arial"/>
      <w:sz w:val="20"/>
      <w:szCs w:val="20"/>
    </w:rPr>
  </w:style>
  <w:style w:type="paragraph" w:customStyle="1" w:styleId="Paragraph">
    <w:name w:val="Paragraph"/>
    <w:basedOn w:val="Normal"/>
    <w:rsid w:val="00D53B13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Cs w:val="24"/>
      <w:lang w:val="en-US"/>
    </w:rPr>
  </w:style>
  <w:style w:type="table" w:customStyle="1" w:styleId="PlainTable11">
    <w:name w:val="Plain Table 11"/>
    <w:basedOn w:val="TableNormal"/>
    <w:uiPriority w:val="99"/>
    <w:rsid w:val="00D53B13"/>
    <w:rPr>
      <w:rFonts w:ascii="Arial" w:hAnsi="Arial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1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B13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13"/>
    <w:rPr>
      <w:rFonts w:ascii="Arial" w:hAnsi="Arial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3B13"/>
  </w:style>
  <w:style w:type="character" w:styleId="LineNumber">
    <w:name w:val="line number"/>
    <w:basedOn w:val="DefaultParagraphFont"/>
    <w:uiPriority w:val="99"/>
    <w:semiHidden/>
    <w:unhideWhenUsed/>
    <w:rsid w:val="00D53B13"/>
  </w:style>
  <w:style w:type="character" w:customStyle="1" w:styleId="apple-converted-space">
    <w:name w:val="apple-converted-space"/>
    <w:basedOn w:val="DefaultParagraphFont"/>
    <w:rsid w:val="00D53B13"/>
  </w:style>
  <w:style w:type="paragraph" w:styleId="Header">
    <w:name w:val="header"/>
    <w:basedOn w:val="Normal"/>
    <w:link w:val="HeaderChar"/>
    <w:uiPriority w:val="99"/>
    <w:unhideWhenUsed/>
    <w:rsid w:val="00D5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13"/>
    <w:rPr>
      <w:rFonts w:ascii="Arial" w:hAnsi="Arial"/>
      <w:szCs w:val="22"/>
    </w:rPr>
  </w:style>
  <w:style w:type="table" w:customStyle="1" w:styleId="PlainTable12">
    <w:name w:val="Plain Table 12"/>
    <w:basedOn w:val="TableNormal"/>
    <w:uiPriority w:val="99"/>
    <w:rsid w:val="00D53B13"/>
    <w:rPr>
      <w:rFonts w:ascii="Arial" w:hAnsi="Arial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D53B13"/>
    <w:rPr>
      <w:i/>
      <w:iCs/>
    </w:rPr>
  </w:style>
  <w:style w:type="paragraph" w:styleId="Revision">
    <w:name w:val="Revision"/>
    <w:hidden/>
    <w:uiPriority w:val="99"/>
    <w:semiHidden/>
    <w:rsid w:val="00D53B13"/>
    <w:rPr>
      <w:rFonts w:ascii="Arial" w:eastAsia="SimSun" w:hAnsi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D53B1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3B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Jamin</dc:creator>
  <cp:lastModifiedBy>Yann Jamin</cp:lastModifiedBy>
  <cp:revision>2</cp:revision>
  <cp:lastPrinted>2019-07-26T17:01:00Z</cp:lastPrinted>
  <dcterms:created xsi:type="dcterms:W3CDTF">2019-08-15T20:53:00Z</dcterms:created>
  <dcterms:modified xsi:type="dcterms:W3CDTF">2019-08-15T20:53:00Z</dcterms:modified>
</cp:coreProperties>
</file>