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5F" w:rsidRPr="00C3727C" w:rsidRDefault="00592E5F" w:rsidP="00CB3EB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3727C">
        <w:rPr>
          <w:rFonts w:ascii="Times New Roman" w:hAnsi="Times New Roman" w:cs="Times New Roman"/>
          <w:b/>
          <w:sz w:val="24"/>
          <w:szCs w:val="24"/>
        </w:rPr>
        <w:t>Nucleic acid extraction</w:t>
      </w:r>
    </w:p>
    <w:p w:rsidR="00592E5F" w:rsidRPr="00C3727C" w:rsidRDefault="00592E5F" w:rsidP="006872C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727C">
        <w:rPr>
          <w:rFonts w:ascii="Times New Roman" w:hAnsi="Times New Roman" w:cs="Times New Roman"/>
          <w:sz w:val="24"/>
          <w:szCs w:val="24"/>
        </w:rPr>
        <w:t>Whole blood was collected in Becton Dickinson EDTA Vacutainer tubes (Becton Dickinson, NJ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3727C">
        <w:rPr>
          <w:rFonts w:ascii="Times New Roman" w:hAnsi="Times New Roman" w:cs="Times New Roman"/>
          <w:sz w:val="24"/>
          <w:szCs w:val="24"/>
        </w:rPr>
        <w:t xml:space="preserve">The DNA was isolated from 400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of whole blood on the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QIAsymphony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nucleic acid isolation robot using the “Blood_400_V6_DSP” protocol. Saliva samples were collected in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Oragene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saliva kits containing a stabilizing agent (either OGR-250 or OGR-500;</w:t>
      </w:r>
      <w:r>
        <w:rPr>
          <w:rFonts w:ascii="Times New Roman" w:hAnsi="Times New Roman" w:cs="Times New Roman"/>
          <w:sz w:val="24"/>
          <w:szCs w:val="24"/>
        </w:rPr>
        <w:t xml:space="preserve"> DNA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Ottawa, Canada). </w:t>
      </w:r>
      <w:r w:rsidRPr="00C3727C">
        <w:rPr>
          <w:rFonts w:ascii="Times New Roman" w:hAnsi="Times New Roman" w:cs="Times New Roman"/>
          <w:sz w:val="24"/>
          <w:szCs w:val="24"/>
        </w:rPr>
        <w:t xml:space="preserve">DNA was isolated from 1 ml of saliva on the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QIAsymphony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using the “Oragene_CR2358_ID485_V2” protocol, a custom protocol for the isolation of DNA from the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Oragene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kits. DNA was eluted in 100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buffer ATE (10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, 0.1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EDTA, 0.04%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azide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>, pH 8.3). DNA is routinely checked for quality and quantity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Nanodrop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spectrophotometer.</w:t>
      </w:r>
    </w:p>
    <w:p w:rsidR="00592E5F" w:rsidRPr="00C3727C" w:rsidRDefault="00592E5F" w:rsidP="006872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727C">
        <w:rPr>
          <w:rFonts w:ascii="Times New Roman" w:hAnsi="Times New Roman" w:cs="Times New Roman"/>
          <w:sz w:val="24"/>
          <w:szCs w:val="24"/>
        </w:rPr>
        <w:tab/>
        <w:t xml:space="preserve">Tumor and normal tissue DNA was extracted using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AllPrep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DNA/RNA Mini Kits (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, CA) according to the manufacturer’s instructions with the following modifications: 30 mg of minced tissue was mixed with 160 </w:t>
      </w:r>
      <w:r w:rsidRPr="00C3727C">
        <w:rPr>
          <w:rFonts w:ascii="Times New Roman" w:hAnsi="Times New Roman" w:cs="Times New Roman"/>
          <w:sz w:val="24"/>
          <w:szCs w:val="24"/>
        </w:rPr>
        <w:sym w:font="Symbol" w:char="F06D"/>
      </w:r>
      <w:r w:rsidRPr="00C3727C">
        <w:rPr>
          <w:rFonts w:ascii="Times New Roman" w:hAnsi="Times New Roman" w:cs="Times New Roman"/>
          <w:sz w:val="24"/>
          <w:szCs w:val="24"/>
        </w:rPr>
        <w:t>l of buffer RPL plus (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, CA) 50 </w:t>
      </w:r>
      <w:r w:rsidRPr="00C3727C">
        <w:rPr>
          <w:rFonts w:ascii="Times New Roman" w:hAnsi="Times New Roman" w:cs="Times New Roman"/>
          <w:sz w:val="24"/>
          <w:szCs w:val="24"/>
        </w:rPr>
        <w:sym w:font="Symbol" w:char="F06D"/>
      </w:r>
      <w:r w:rsidRPr="00C3727C">
        <w:rPr>
          <w:rFonts w:ascii="Times New Roman" w:hAnsi="Times New Roman" w:cs="Times New Roman"/>
          <w:sz w:val="24"/>
          <w:szCs w:val="24"/>
        </w:rPr>
        <w:t xml:space="preserve">l of 0.9 – 2 mm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RNAse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-free stainless steel beads (Next Advance, Inc., NY), and homogenized for 3 minutes in a Bullet Blender tissue homogenizer (Next Advance, Inc., NY). Subsequently, 340 </w:t>
      </w:r>
      <w:r w:rsidRPr="00C3727C">
        <w:rPr>
          <w:rFonts w:ascii="Times New Roman" w:hAnsi="Times New Roman" w:cs="Times New Roman"/>
          <w:sz w:val="24"/>
          <w:szCs w:val="24"/>
        </w:rPr>
        <w:sym w:font="Symbol" w:char="F06D"/>
      </w:r>
      <w:r w:rsidRPr="00C3727C">
        <w:rPr>
          <w:rFonts w:ascii="Times New Roman" w:hAnsi="Times New Roman" w:cs="Times New Roman"/>
          <w:sz w:val="24"/>
          <w:szCs w:val="24"/>
        </w:rPr>
        <w:t>l of buffer RPL plus was added and the samples were homogenized for three minutes, incubated at 37˚C for two minutes, homogenized for three minutes, and pelleted by centrifugation for three minutes. Nucleic acids were then extracted from the supernatant according to the manufacturer’s instructions.</w:t>
      </w:r>
    </w:p>
    <w:p w:rsidR="00592E5F" w:rsidRDefault="00592E5F" w:rsidP="00CB3EB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2E5F" w:rsidRPr="00C3727C" w:rsidRDefault="00592E5F" w:rsidP="00CB3E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727C">
        <w:rPr>
          <w:rFonts w:ascii="Times New Roman" w:hAnsi="Times New Roman" w:cs="Times New Roman"/>
          <w:b/>
          <w:sz w:val="24"/>
          <w:szCs w:val="24"/>
        </w:rPr>
        <w:t>Whole exome capture and next-generation sequencing</w:t>
      </w:r>
    </w:p>
    <w:p w:rsidR="00592E5F" w:rsidRPr="00C3727C" w:rsidRDefault="00592E5F" w:rsidP="00C3647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727C">
        <w:rPr>
          <w:rFonts w:ascii="Times New Roman" w:hAnsi="Times New Roman" w:cs="Times New Roman"/>
          <w:sz w:val="24"/>
          <w:szCs w:val="24"/>
        </w:rPr>
        <w:t xml:space="preserve">Genomic DNA (1.5 to 3 </w:t>
      </w:r>
      <w:r w:rsidRPr="00C3727C">
        <w:rPr>
          <w:rFonts w:ascii="Times New Roman" w:hAnsi="Times New Roman" w:cs="Times New Roman"/>
          <w:sz w:val="24"/>
          <w:szCs w:val="24"/>
        </w:rPr>
        <w:sym w:font="Symbol" w:char="F06D"/>
      </w:r>
      <w:r w:rsidRPr="00C3727C">
        <w:rPr>
          <w:rFonts w:ascii="Times New Roman" w:hAnsi="Times New Roman" w:cs="Times New Roman"/>
          <w:sz w:val="24"/>
          <w:szCs w:val="24"/>
        </w:rPr>
        <w:t xml:space="preserve">g) was sheared using a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Covaris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E220 instrument operating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SonoLab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v6.2.6 according to the manufacturer’s protocol for a 200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target peak size. The </w:t>
      </w:r>
      <w:r w:rsidRPr="00C3727C">
        <w:rPr>
          <w:rFonts w:ascii="Times New Roman" w:hAnsi="Times New Roman" w:cs="Times New Roman"/>
          <w:sz w:val="24"/>
          <w:szCs w:val="24"/>
        </w:rPr>
        <w:lastRenderedPageBreak/>
        <w:t xml:space="preserve">presence of ~260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DNA fragments was verified using an Agilent 2100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Bioanalyzer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(Agilent, CA). Sheared DNA (500 to 1,000 ng) was processed into Illumina compatible sequencing libraries with a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PrepX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ILM DNA Library Kit (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Wafergen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>, Fremont, CA) on an Apollo 324 instrument (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Wafergen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>, CA). Libraries were uniquely barcoded with DNA adapters (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BioO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Scientific, TX) and amplified using High-Fidelity PCR Master Mix according to manufacturer’s instructions. Equimolar concentrations of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QiaQuick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, Hilden, Germany) or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AMPure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XP (Beckman-Coulter, CA) purified libraries were pooled prior to multiplex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SeqCap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EZ Exome V3.0 (Roche, Basel, Switzerla</w:t>
      </w:r>
      <w:r w:rsidR="00BD37A4">
        <w:rPr>
          <w:rFonts w:ascii="Times New Roman" w:hAnsi="Times New Roman" w:cs="Times New Roman"/>
          <w:sz w:val="24"/>
          <w:szCs w:val="24"/>
        </w:rPr>
        <w:t xml:space="preserve">nd) hybridization and capture. </w:t>
      </w:r>
      <w:r w:rsidRPr="00C3727C">
        <w:rPr>
          <w:rFonts w:ascii="Times New Roman" w:hAnsi="Times New Roman" w:cs="Times New Roman"/>
          <w:sz w:val="24"/>
          <w:szCs w:val="24"/>
        </w:rPr>
        <w:t xml:space="preserve">Adapter ligated library concentrations were determined using KAPA Library quantification kits (KAPA Biosystems, MA) and Agilent 2100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Bioanalyzer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analysis. Libraries were sequenced on an Illumina 2500 (Illumina Inc., CA) using 2x10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reads in high-output mode.</w:t>
      </w:r>
    </w:p>
    <w:p w:rsidR="00592E5F" w:rsidRPr="00C3727C" w:rsidRDefault="00592E5F" w:rsidP="00CB3E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92E5F" w:rsidRPr="00C3727C" w:rsidRDefault="00592E5F" w:rsidP="00CB3E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727C">
        <w:rPr>
          <w:rFonts w:ascii="Times New Roman" w:hAnsi="Times New Roman" w:cs="Times New Roman"/>
          <w:b/>
          <w:sz w:val="24"/>
          <w:szCs w:val="24"/>
        </w:rPr>
        <w:t>Processing of raw sequencing data</w:t>
      </w:r>
    </w:p>
    <w:p w:rsidR="00592E5F" w:rsidRPr="00C3727C" w:rsidRDefault="00592E5F" w:rsidP="00FA5CA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727C">
        <w:rPr>
          <w:rFonts w:ascii="Times New Roman" w:hAnsi="Times New Roman" w:cs="Times New Roman"/>
          <w:sz w:val="24"/>
          <w:szCs w:val="24"/>
        </w:rPr>
        <w:t xml:space="preserve">Illumina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Fastq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files were aligned to the Human Reference Genome (NCVI Build 37) using the Burrows-Wheeler Alignment Tool (BWA) v0.7.3a </w:t>
      </w:r>
      <w:r w:rsidRPr="00C3727C">
        <w:rPr>
          <w:rFonts w:ascii="Times New Roman" w:hAnsi="Times New Roman" w:cs="Times New Roman"/>
          <w:noProof/>
          <w:sz w:val="24"/>
          <w:szCs w:val="24"/>
        </w:rPr>
        <w:t>(1)</w:t>
      </w:r>
      <w:r w:rsidRPr="00C3727C">
        <w:rPr>
          <w:rFonts w:ascii="Times New Roman" w:hAnsi="Times New Roman" w:cs="Times New Roman"/>
          <w:sz w:val="24"/>
          <w:szCs w:val="24"/>
        </w:rPr>
        <w:t xml:space="preserve">. Picard Tools v1.102 </w:t>
      </w:r>
      <w:r w:rsidRPr="00C3727C">
        <w:rPr>
          <w:rFonts w:ascii="Times New Roman" w:hAnsi="Times New Roman" w:cs="Times New Roman"/>
          <w:noProof/>
          <w:sz w:val="24"/>
          <w:szCs w:val="24"/>
        </w:rPr>
        <w:t>(2)</w:t>
      </w:r>
      <w:r w:rsidRPr="00C3727C">
        <w:rPr>
          <w:rFonts w:ascii="Times New Roman" w:hAnsi="Times New Roman" w:cs="Times New Roman"/>
          <w:sz w:val="24"/>
          <w:szCs w:val="24"/>
        </w:rPr>
        <w:t xml:space="preserve"> was used to remove duplicate reads and generate BAM files for each sample. Base quality score recalibration and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indel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realignment was accomplished using the Genome Analysis Tool Kit (GATK) v. 2.7.4 </w:t>
      </w:r>
      <w:r w:rsidRPr="00C3727C">
        <w:rPr>
          <w:rFonts w:ascii="Times New Roman" w:hAnsi="Times New Roman" w:cs="Times New Roman"/>
          <w:noProof/>
          <w:sz w:val="24"/>
          <w:szCs w:val="24"/>
        </w:rPr>
        <w:t>(3)</w:t>
      </w:r>
      <w:r w:rsidRPr="00C3727C">
        <w:rPr>
          <w:rFonts w:ascii="Times New Roman" w:hAnsi="Times New Roman" w:cs="Times New Roman"/>
          <w:sz w:val="24"/>
          <w:szCs w:val="24"/>
        </w:rPr>
        <w:t>.</w:t>
      </w:r>
    </w:p>
    <w:p w:rsidR="00592E5F" w:rsidRPr="00C3727C" w:rsidRDefault="00592E5F" w:rsidP="007255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92E5F" w:rsidRPr="00C3727C" w:rsidRDefault="00592E5F" w:rsidP="0072558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3727C">
        <w:rPr>
          <w:rFonts w:ascii="Times New Roman" w:hAnsi="Times New Roman" w:cs="Times New Roman"/>
          <w:b/>
          <w:sz w:val="24"/>
          <w:szCs w:val="24"/>
        </w:rPr>
        <w:t xml:space="preserve">“Panel of </w:t>
      </w:r>
      <w:proofErr w:type="spellStart"/>
      <w:r w:rsidRPr="00C3727C">
        <w:rPr>
          <w:rFonts w:ascii="Times New Roman" w:hAnsi="Times New Roman" w:cs="Times New Roman"/>
          <w:b/>
          <w:sz w:val="24"/>
          <w:szCs w:val="24"/>
        </w:rPr>
        <w:t>Normals</w:t>
      </w:r>
      <w:proofErr w:type="spellEnd"/>
      <w:r w:rsidRPr="00C3727C">
        <w:rPr>
          <w:rFonts w:ascii="Times New Roman" w:hAnsi="Times New Roman" w:cs="Times New Roman"/>
          <w:b/>
          <w:sz w:val="24"/>
          <w:szCs w:val="24"/>
        </w:rPr>
        <w:t>” creation</w:t>
      </w:r>
    </w:p>
    <w:p w:rsidR="00592E5F" w:rsidRPr="00C3727C" w:rsidRDefault="00592E5F" w:rsidP="00C3647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727C">
        <w:rPr>
          <w:rFonts w:ascii="Times New Roman" w:hAnsi="Times New Roman" w:cs="Times New Roman"/>
          <w:sz w:val="24"/>
          <w:szCs w:val="24"/>
        </w:rPr>
        <w:t xml:space="preserve">The “panel of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normals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” was generated using white blood cell whole-exome sequence data from 50 patients with no known hematologic malignancy. “Panel of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normals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” variants were called using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Mutect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v1.1.7 implementing the -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ArtifactDetectionMode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option and the resultant </w:t>
      </w:r>
      <w:r w:rsidRPr="00C3727C">
        <w:rPr>
          <w:rFonts w:ascii="Times New Roman" w:hAnsi="Times New Roman" w:cs="Times New Roman"/>
          <w:sz w:val="24"/>
          <w:szCs w:val="24"/>
        </w:rPr>
        <w:lastRenderedPageBreak/>
        <w:t xml:space="preserve">VCFs were combined using the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CombineVariants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tool in the Genome Analysis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ToolKit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(GATK) v2.7.4 </w:t>
      </w:r>
      <w:r w:rsidRPr="00C3727C">
        <w:rPr>
          <w:rFonts w:ascii="Times New Roman" w:hAnsi="Times New Roman" w:cs="Times New Roman"/>
          <w:noProof/>
          <w:sz w:val="24"/>
          <w:szCs w:val="24"/>
        </w:rPr>
        <w:t xml:space="preserve">(3) </w:t>
      </w:r>
      <w:r w:rsidRPr="00C3727C">
        <w:rPr>
          <w:rFonts w:ascii="Times New Roman" w:hAnsi="Times New Roman" w:cs="Times New Roman"/>
          <w:sz w:val="24"/>
          <w:szCs w:val="24"/>
        </w:rPr>
        <w:t>with the following options: -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filteredrecordsmergetype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KEEP_IF_ANY_UNFILTERED, -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filteredAreUncalled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genotypeMergeOptions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UNIQUIFY. The “panel of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normals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” filter removes mutations with corresponding alternate alleles in &gt;0.2% of reads at a given site or with corresponding alternate alleles in &gt;0.2% of the samples within the panel of normal </w:t>
      </w:r>
      <w:r w:rsidRPr="00C3727C">
        <w:rPr>
          <w:rFonts w:ascii="Times New Roman" w:hAnsi="Times New Roman" w:cs="Times New Roman"/>
          <w:noProof/>
          <w:sz w:val="24"/>
          <w:szCs w:val="24"/>
        </w:rPr>
        <w:t>(4)</w:t>
      </w:r>
      <w:r w:rsidRPr="00C3727C">
        <w:rPr>
          <w:rFonts w:ascii="Times New Roman" w:hAnsi="Times New Roman" w:cs="Times New Roman"/>
          <w:sz w:val="24"/>
          <w:szCs w:val="24"/>
        </w:rPr>
        <w:t>.</w:t>
      </w:r>
    </w:p>
    <w:p w:rsidR="00592E5F" w:rsidRPr="00C3727C" w:rsidRDefault="00592E5F" w:rsidP="007255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92E5F" w:rsidRPr="00C3727C" w:rsidRDefault="00592E5F" w:rsidP="0072558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3727C">
        <w:rPr>
          <w:rFonts w:ascii="Times New Roman" w:hAnsi="Times New Roman" w:cs="Times New Roman"/>
          <w:b/>
          <w:sz w:val="24"/>
          <w:szCs w:val="24"/>
        </w:rPr>
        <w:t>PCR amplification</w:t>
      </w:r>
    </w:p>
    <w:p w:rsidR="00592E5F" w:rsidRPr="00C3727C" w:rsidRDefault="00592E5F" w:rsidP="00FA5CA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727C">
        <w:rPr>
          <w:rFonts w:ascii="Times New Roman" w:hAnsi="Times New Roman" w:cs="Times New Roman"/>
          <w:sz w:val="24"/>
          <w:szCs w:val="24"/>
        </w:rPr>
        <w:t>PCR amplification of regions spanning DUOX2</w:t>
      </w:r>
      <w:r w:rsidRPr="00C3727C">
        <w:rPr>
          <w:rFonts w:ascii="Times New Roman" w:hAnsi="Times New Roman" w:cs="Times New Roman"/>
          <w:sz w:val="24"/>
          <w:szCs w:val="24"/>
          <w:vertAlign w:val="subscript"/>
        </w:rPr>
        <w:t>Y1203H</w:t>
      </w:r>
      <w:r w:rsidRPr="00C3727C">
        <w:rPr>
          <w:rFonts w:ascii="Times New Roman" w:hAnsi="Times New Roman" w:cs="Times New Roman"/>
          <w:sz w:val="24"/>
          <w:szCs w:val="24"/>
        </w:rPr>
        <w:t>, rs965513, BRAF</w:t>
      </w:r>
      <w:r w:rsidRPr="00C3727C">
        <w:rPr>
          <w:rFonts w:ascii="Times New Roman" w:hAnsi="Times New Roman" w:cs="Times New Roman"/>
          <w:sz w:val="24"/>
          <w:szCs w:val="24"/>
          <w:vertAlign w:val="subscript"/>
        </w:rPr>
        <w:t>V600</w:t>
      </w:r>
      <w:r w:rsidRPr="00C3727C">
        <w:rPr>
          <w:rFonts w:ascii="Times New Roman" w:hAnsi="Times New Roman" w:cs="Times New Roman"/>
          <w:sz w:val="24"/>
          <w:szCs w:val="24"/>
        </w:rPr>
        <w:t>, KRAS</w:t>
      </w:r>
      <w:r w:rsidRPr="00C3727C">
        <w:rPr>
          <w:rFonts w:ascii="Times New Roman" w:hAnsi="Times New Roman" w:cs="Times New Roman"/>
          <w:sz w:val="24"/>
          <w:szCs w:val="24"/>
          <w:vertAlign w:val="subscript"/>
        </w:rPr>
        <w:t>Q61</w:t>
      </w:r>
      <w:r w:rsidRPr="00C3727C">
        <w:rPr>
          <w:rFonts w:ascii="Times New Roman" w:hAnsi="Times New Roman" w:cs="Times New Roman"/>
          <w:sz w:val="24"/>
          <w:szCs w:val="24"/>
        </w:rPr>
        <w:t>, HRAS</w:t>
      </w:r>
      <w:r w:rsidRPr="00C3727C">
        <w:rPr>
          <w:rFonts w:ascii="Times New Roman" w:hAnsi="Times New Roman" w:cs="Times New Roman"/>
          <w:sz w:val="24"/>
          <w:szCs w:val="24"/>
          <w:vertAlign w:val="subscript"/>
        </w:rPr>
        <w:t>Q61</w:t>
      </w:r>
      <w:r w:rsidRPr="00C3727C">
        <w:rPr>
          <w:rFonts w:ascii="Times New Roman" w:hAnsi="Times New Roman" w:cs="Times New Roman"/>
          <w:sz w:val="24"/>
          <w:szCs w:val="24"/>
        </w:rPr>
        <w:t>, and NRAS</w:t>
      </w:r>
      <w:r w:rsidRPr="00C3727C">
        <w:rPr>
          <w:rFonts w:ascii="Times New Roman" w:hAnsi="Times New Roman" w:cs="Times New Roman"/>
          <w:sz w:val="24"/>
          <w:szCs w:val="24"/>
          <w:vertAlign w:val="subscript"/>
        </w:rPr>
        <w:t>Q61</w:t>
      </w:r>
      <w:r w:rsidRPr="00C3727C">
        <w:rPr>
          <w:rFonts w:ascii="Times New Roman" w:hAnsi="Times New Roman" w:cs="Times New Roman"/>
          <w:sz w:val="24"/>
          <w:szCs w:val="24"/>
        </w:rPr>
        <w:t xml:space="preserve"> was performed using the specific primers outlined in Supplemental Table 1. PCR was performed using the following conditions: 98˚C for 30 sec; 25 cycles of 98˚C for 5 sec, annealing for 30 sec, 72˚C for 30 sec; final extension at 72˚C for 5 minutes, and a 4˚C hold (</w:t>
      </w:r>
      <w:r>
        <w:rPr>
          <w:rFonts w:ascii="Times New Roman" w:hAnsi="Times New Roman" w:cs="Times New Roman"/>
          <w:sz w:val="24"/>
          <w:szCs w:val="24"/>
        </w:rPr>
        <w:t>Supplemental</w:t>
      </w:r>
      <w:r w:rsidRPr="00C3727C">
        <w:rPr>
          <w:rFonts w:ascii="Times New Roman" w:hAnsi="Times New Roman" w:cs="Times New Roman"/>
          <w:sz w:val="24"/>
          <w:szCs w:val="24"/>
        </w:rPr>
        <w:t xml:space="preserve"> 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727C">
        <w:rPr>
          <w:rFonts w:ascii="Times New Roman" w:hAnsi="Times New Roman" w:cs="Times New Roman"/>
          <w:sz w:val="24"/>
          <w:szCs w:val="24"/>
        </w:rPr>
        <w:t>). PCR products were visualized on 1% Agarose Gels using SYBR Safe DNA Stain (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ThermoFisher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, MA) and extracted using a 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QIAquick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 xml:space="preserve"> gel extraction kit (</w:t>
      </w:r>
      <w:proofErr w:type="spellStart"/>
      <w:r w:rsidRPr="00C3727C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C3727C">
        <w:rPr>
          <w:rFonts w:ascii="Times New Roman" w:hAnsi="Times New Roman" w:cs="Times New Roman"/>
          <w:sz w:val="24"/>
          <w:szCs w:val="24"/>
        </w:rPr>
        <w:t>, CA).</w:t>
      </w:r>
    </w:p>
    <w:p w:rsidR="00592E5F" w:rsidRPr="00C3727C" w:rsidRDefault="00592E5F">
      <w:pPr>
        <w:rPr>
          <w:rFonts w:ascii="Times New Roman" w:hAnsi="Times New Roman" w:cs="Times New Roman"/>
          <w:sz w:val="24"/>
          <w:szCs w:val="24"/>
        </w:rPr>
      </w:pPr>
      <w:r w:rsidRPr="00C3727C">
        <w:rPr>
          <w:rFonts w:ascii="Times New Roman" w:hAnsi="Times New Roman" w:cs="Times New Roman"/>
          <w:sz w:val="24"/>
          <w:szCs w:val="24"/>
        </w:rPr>
        <w:br w:type="page"/>
      </w:r>
    </w:p>
    <w:p w:rsidR="00592E5F" w:rsidRPr="005C24BB" w:rsidRDefault="00592E5F" w:rsidP="00FA5CAB">
      <w:pPr>
        <w:pStyle w:val="EndNoteBibliographyTitle"/>
        <w:spacing w:line="480" w:lineRule="auto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5C24B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References</w:t>
      </w:r>
    </w:p>
    <w:p w:rsidR="00592E5F" w:rsidRPr="00C3727C" w:rsidRDefault="00592E5F" w:rsidP="00C3727C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3727C">
        <w:rPr>
          <w:rFonts w:ascii="Times New Roman" w:hAnsi="Times New Roman" w:cs="Times New Roman"/>
          <w:noProof/>
          <w:sz w:val="24"/>
          <w:szCs w:val="24"/>
        </w:rPr>
        <w:t>1.</w:t>
      </w:r>
      <w:r w:rsidRPr="00C3727C">
        <w:rPr>
          <w:rFonts w:ascii="Times New Roman" w:hAnsi="Times New Roman" w:cs="Times New Roman"/>
          <w:noProof/>
          <w:sz w:val="24"/>
          <w:szCs w:val="24"/>
        </w:rPr>
        <w:tab/>
        <w:t xml:space="preserve">Li H, Durbin R. Fast and accurate short read alignment with Burrows-Wheeler transform. Bioinformatics </w:t>
      </w:r>
      <w:r w:rsidRPr="00BD37A4">
        <w:rPr>
          <w:rFonts w:ascii="Times New Roman" w:hAnsi="Times New Roman" w:cs="Times New Roman"/>
          <w:noProof/>
          <w:sz w:val="24"/>
          <w:szCs w:val="24"/>
        </w:rPr>
        <w:t>2009</w:t>
      </w:r>
      <w:r w:rsidRPr="00C3727C">
        <w:rPr>
          <w:rFonts w:ascii="Times New Roman" w:hAnsi="Times New Roman" w:cs="Times New Roman"/>
          <w:noProof/>
          <w:sz w:val="24"/>
          <w:szCs w:val="24"/>
        </w:rPr>
        <w:t>;25:1754-60</w:t>
      </w:r>
      <w:r w:rsidR="00BD37A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92E5F" w:rsidRPr="00C3727C" w:rsidRDefault="00592E5F" w:rsidP="00C3727C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3727C">
        <w:rPr>
          <w:rFonts w:ascii="Times New Roman" w:hAnsi="Times New Roman" w:cs="Times New Roman"/>
          <w:noProof/>
          <w:sz w:val="24"/>
          <w:szCs w:val="24"/>
        </w:rPr>
        <w:t>2.</w:t>
      </w:r>
      <w:r w:rsidRPr="00C3727C">
        <w:rPr>
          <w:rFonts w:ascii="Times New Roman" w:hAnsi="Times New Roman" w:cs="Times New Roman"/>
          <w:noProof/>
          <w:sz w:val="24"/>
          <w:szCs w:val="24"/>
        </w:rPr>
        <w:tab/>
        <w:t>Computational Research and Development Group. Picard 1.139. Cambridge, MA: Broad Institute of MIT and Harvard; 2015.</w:t>
      </w:r>
      <w:bookmarkStart w:id="0" w:name="_GoBack"/>
      <w:bookmarkEnd w:id="0"/>
    </w:p>
    <w:p w:rsidR="00592E5F" w:rsidRPr="00C3727C" w:rsidRDefault="00592E5F" w:rsidP="00C3727C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3727C">
        <w:rPr>
          <w:rFonts w:ascii="Times New Roman" w:hAnsi="Times New Roman" w:cs="Times New Roman"/>
          <w:noProof/>
          <w:sz w:val="24"/>
          <w:szCs w:val="24"/>
        </w:rPr>
        <w:t>3.</w:t>
      </w:r>
      <w:r w:rsidRPr="00C3727C">
        <w:rPr>
          <w:rFonts w:ascii="Times New Roman" w:hAnsi="Times New Roman" w:cs="Times New Roman"/>
          <w:noProof/>
          <w:sz w:val="24"/>
          <w:szCs w:val="24"/>
        </w:rPr>
        <w:tab/>
        <w:t>McKenna A, Hanna M, Banks E, Sivachenko A, Cibulskis K, Kernytsky A</w:t>
      </w:r>
      <w:r w:rsidRPr="00C3727C">
        <w:rPr>
          <w:rFonts w:ascii="Times New Roman" w:hAnsi="Times New Roman" w:cs="Times New Roman"/>
          <w:i/>
          <w:noProof/>
          <w:sz w:val="24"/>
          <w:szCs w:val="24"/>
        </w:rPr>
        <w:t>, et al.</w:t>
      </w:r>
      <w:r w:rsidRPr="00C3727C">
        <w:rPr>
          <w:rFonts w:ascii="Times New Roman" w:hAnsi="Times New Roman" w:cs="Times New Roman"/>
          <w:noProof/>
          <w:sz w:val="24"/>
          <w:szCs w:val="24"/>
        </w:rPr>
        <w:t xml:space="preserve"> The Genome Analysis Toolkit: a MapReduce framework for analyzing next-generation DNA sequencing data. Genome </w:t>
      </w:r>
      <w:r w:rsidR="00BD37A4">
        <w:rPr>
          <w:rFonts w:ascii="Times New Roman" w:hAnsi="Times New Roman" w:cs="Times New Roman"/>
          <w:noProof/>
          <w:sz w:val="24"/>
          <w:szCs w:val="24"/>
        </w:rPr>
        <w:t>R</w:t>
      </w:r>
      <w:r w:rsidRPr="00C3727C">
        <w:rPr>
          <w:rFonts w:ascii="Times New Roman" w:hAnsi="Times New Roman" w:cs="Times New Roman"/>
          <w:noProof/>
          <w:sz w:val="24"/>
          <w:szCs w:val="24"/>
        </w:rPr>
        <w:t xml:space="preserve">es </w:t>
      </w:r>
      <w:r w:rsidRPr="00BD37A4">
        <w:rPr>
          <w:rFonts w:ascii="Times New Roman" w:hAnsi="Times New Roman" w:cs="Times New Roman"/>
          <w:noProof/>
          <w:sz w:val="24"/>
          <w:szCs w:val="24"/>
        </w:rPr>
        <w:t>2010</w:t>
      </w:r>
      <w:r w:rsidRPr="00C3727C">
        <w:rPr>
          <w:rFonts w:ascii="Times New Roman" w:hAnsi="Times New Roman" w:cs="Times New Roman"/>
          <w:noProof/>
          <w:sz w:val="24"/>
          <w:szCs w:val="24"/>
        </w:rPr>
        <w:t>;20:1297-303</w:t>
      </w:r>
      <w:r w:rsidR="00BD37A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16CF0" w:rsidRPr="00BD37A4" w:rsidRDefault="00592E5F" w:rsidP="00BD37A4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C3727C">
        <w:rPr>
          <w:rFonts w:ascii="Times New Roman" w:hAnsi="Times New Roman" w:cs="Times New Roman"/>
          <w:noProof/>
          <w:sz w:val="24"/>
          <w:szCs w:val="24"/>
        </w:rPr>
        <w:t>4.</w:t>
      </w:r>
      <w:r w:rsidRPr="00C3727C">
        <w:rPr>
          <w:rFonts w:ascii="Times New Roman" w:hAnsi="Times New Roman" w:cs="Times New Roman"/>
          <w:noProof/>
          <w:sz w:val="24"/>
          <w:szCs w:val="24"/>
        </w:rPr>
        <w:tab/>
        <w:t xml:space="preserve">Cancer Genome Atlas Research Network. Integrated genomic characterization of papillary thyroid carcinoma. Cell </w:t>
      </w:r>
      <w:r w:rsidRPr="00BD37A4">
        <w:rPr>
          <w:rFonts w:ascii="Times New Roman" w:hAnsi="Times New Roman" w:cs="Times New Roman"/>
          <w:noProof/>
          <w:sz w:val="24"/>
          <w:szCs w:val="24"/>
        </w:rPr>
        <w:t>2014</w:t>
      </w:r>
      <w:r w:rsidRPr="00C3727C">
        <w:rPr>
          <w:rFonts w:ascii="Times New Roman" w:hAnsi="Times New Roman" w:cs="Times New Roman"/>
          <w:noProof/>
          <w:sz w:val="24"/>
          <w:szCs w:val="24"/>
        </w:rPr>
        <w:t>;159:676-90</w:t>
      </w:r>
      <w:r w:rsidR="00BD37A4">
        <w:rPr>
          <w:rFonts w:ascii="Times New Roman" w:hAnsi="Times New Roman" w:cs="Times New Roman"/>
          <w:noProof/>
          <w:sz w:val="24"/>
          <w:szCs w:val="24"/>
        </w:rPr>
        <w:t>.</w:t>
      </w:r>
    </w:p>
    <w:sectPr w:rsidR="00A16CF0" w:rsidRPr="00BD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BB" w:rsidRDefault="005C24BB" w:rsidP="005C24BB">
      <w:pPr>
        <w:spacing w:line="240" w:lineRule="auto"/>
      </w:pPr>
      <w:r>
        <w:separator/>
      </w:r>
    </w:p>
  </w:endnote>
  <w:endnote w:type="continuationSeparator" w:id="0">
    <w:p w:rsidR="005C24BB" w:rsidRDefault="005C24BB" w:rsidP="005C2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BB" w:rsidRDefault="005C24BB" w:rsidP="005C24BB">
      <w:pPr>
        <w:spacing w:line="240" w:lineRule="auto"/>
      </w:pPr>
      <w:r>
        <w:separator/>
      </w:r>
    </w:p>
  </w:footnote>
  <w:footnote w:type="continuationSeparator" w:id="0">
    <w:p w:rsidR="005C24BB" w:rsidRDefault="005C24BB" w:rsidP="005C24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92E5F"/>
    <w:rsid w:val="00592E5F"/>
    <w:rsid w:val="005C24BB"/>
    <w:rsid w:val="00A16CF0"/>
    <w:rsid w:val="00B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0DB78-8A79-4C06-981D-AE7C33B6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E5F"/>
    <w:pPr>
      <w:spacing w:after="0"/>
    </w:pPr>
  </w:style>
  <w:style w:type="character" w:default="1" w:styleId="DefaultParagraphFont">
    <w:name w:val="Default Paragraph Font"/>
    <w:uiPriority w:val="1"/>
    <w:semiHidden/>
    <w:unhideWhenUsed/>
    <w:rsid w:val="00592E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92E5F"/>
  </w:style>
  <w:style w:type="character" w:styleId="Hyperlink">
    <w:name w:val="Hyperlink"/>
    <w:basedOn w:val="DefaultParagraphFont"/>
    <w:uiPriority w:val="99"/>
    <w:unhideWhenUsed/>
    <w:rsid w:val="00592E5F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rsid w:val="00592E5F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592E5F"/>
    <w:pPr>
      <w:spacing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592E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E5F"/>
  </w:style>
  <w:style w:type="paragraph" w:styleId="Footer">
    <w:name w:val="footer"/>
    <w:basedOn w:val="Normal"/>
    <w:link w:val="FooterChar"/>
    <w:uiPriority w:val="99"/>
    <w:unhideWhenUsed/>
    <w:rsid w:val="00592E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E Walker</dc:creator>
  <cp:keywords/>
  <dc:description/>
  <cp:lastModifiedBy>Kimberly E Walker</cp:lastModifiedBy>
  <cp:revision>2</cp:revision>
  <dcterms:created xsi:type="dcterms:W3CDTF">2019-07-17T19:18:00Z</dcterms:created>
  <dcterms:modified xsi:type="dcterms:W3CDTF">2019-07-17T19:21:00Z</dcterms:modified>
</cp:coreProperties>
</file>