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AB9AB2" w14:textId="5E7CF783" w:rsidR="001E7D94" w:rsidRDefault="00A069D5" w:rsidP="0027535A">
      <w:pPr>
        <w:spacing w:line="480" w:lineRule="auto"/>
        <w:rPr>
          <w:rFonts w:ascii="Arial" w:hAnsi="Arial"/>
          <w:b/>
          <w:sz w:val="22"/>
          <w:szCs w:val="22"/>
        </w:rPr>
      </w:pPr>
      <w:r>
        <w:rPr>
          <w:rFonts w:ascii="Arial" w:hAnsi="Arial"/>
          <w:b/>
          <w:sz w:val="22"/>
          <w:szCs w:val="22"/>
        </w:rPr>
        <w:t xml:space="preserve">Supplementary </w:t>
      </w:r>
      <w:r w:rsidR="008846DB" w:rsidRPr="00241426">
        <w:rPr>
          <w:rFonts w:ascii="Arial" w:hAnsi="Arial"/>
          <w:b/>
          <w:sz w:val="22"/>
          <w:szCs w:val="22"/>
        </w:rPr>
        <w:t>Figure 1</w:t>
      </w:r>
      <w:r w:rsidR="001E7D94" w:rsidRPr="00241426">
        <w:rPr>
          <w:rFonts w:ascii="Arial" w:hAnsi="Arial"/>
          <w:b/>
          <w:sz w:val="22"/>
          <w:szCs w:val="22"/>
        </w:rPr>
        <w:t>.</w:t>
      </w:r>
    </w:p>
    <w:p w14:paraId="43B8BA20" w14:textId="772F7EB2" w:rsidR="008D3368" w:rsidRPr="00C30849" w:rsidRDefault="005E7AB9" w:rsidP="0027535A">
      <w:pPr>
        <w:spacing w:line="480" w:lineRule="auto"/>
        <w:rPr>
          <w:rFonts w:ascii="Arial" w:hAnsi="Arial" w:cs="Arial"/>
          <w:sz w:val="22"/>
          <w:szCs w:val="22"/>
        </w:rPr>
      </w:pPr>
      <w:r w:rsidRPr="003302E6">
        <w:rPr>
          <w:rFonts w:ascii="Arial" w:hAnsi="Arial"/>
          <w:b/>
          <w:sz w:val="22"/>
          <w:szCs w:val="22"/>
        </w:rPr>
        <w:t>a</w:t>
      </w:r>
      <w:r>
        <w:rPr>
          <w:rFonts w:ascii="Arial" w:hAnsi="Arial"/>
          <w:sz w:val="22"/>
          <w:szCs w:val="22"/>
        </w:rPr>
        <w:t xml:space="preserve">, Summary table of the number of mutations identified in </w:t>
      </w:r>
      <w:r>
        <w:rPr>
          <w:rFonts w:ascii="Arial" w:hAnsi="Arial"/>
          <w:i/>
          <w:sz w:val="22"/>
          <w:szCs w:val="22"/>
        </w:rPr>
        <w:t xml:space="preserve">PPP2R1A </w:t>
      </w:r>
      <w:r>
        <w:rPr>
          <w:rFonts w:ascii="Arial" w:hAnsi="Arial"/>
          <w:sz w:val="22"/>
          <w:szCs w:val="22"/>
        </w:rPr>
        <w:t>in the TCGA and MSK-IMPACT EMCA tumor cohorts, separated into groups defined by the EMCA histological subtype.</w:t>
      </w:r>
      <w:r>
        <w:rPr>
          <w:rFonts w:ascii="Arial" w:hAnsi="Arial" w:cs="Arial"/>
          <w:sz w:val="22"/>
          <w:szCs w:val="22"/>
        </w:rPr>
        <w:t xml:space="preserve"> </w:t>
      </w:r>
      <w:r>
        <w:rPr>
          <w:rFonts w:ascii="Arial" w:hAnsi="Arial"/>
          <w:b/>
          <w:sz w:val="22"/>
          <w:szCs w:val="22"/>
        </w:rPr>
        <w:t>b</w:t>
      </w:r>
      <w:r w:rsidR="00797D2B">
        <w:rPr>
          <w:rFonts w:ascii="Arial" w:hAnsi="Arial"/>
          <w:sz w:val="22"/>
          <w:szCs w:val="22"/>
        </w:rPr>
        <w:t>,</w:t>
      </w:r>
      <w:r w:rsidR="00241426">
        <w:rPr>
          <w:rFonts w:ascii="Arial" w:hAnsi="Arial"/>
          <w:sz w:val="22"/>
          <w:szCs w:val="22"/>
        </w:rPr>
        <w:t xml:space="preserve"> Compiled stage distribution of tumors that harbor a </w:t>
      </w:r>
      <w:r w:rsidR="00241426">
        <w:rPr>
          <w:rFonts w:ascii="Arial" w:hAnsi="Arial"/>
          <w:i/>
          <w:sz w:val="22"/>
          <w:szCs w:val="22"/>
        </w:rPr>
        <w:t>PPP2R1A</w:t>
      </w:r>
      <w:r w:rsidR="00241426">
        <w:rPr>
          <w:rFonts w:ascii="Arial" w:hAnsi="Arial"/>
          <w:sz w:val="22"/>
          <w:szCs w:val="22"/>
        </w:rPr>
        <w:t xml:space="preserve"> P179 site mutation revealed that at least 60% of patients have high stage, metastatic (stages III, IV) disease. Also shown are the stage distributions of wildtype uterine tumors with serous carcinoma (USC), endometrioid carcinoma (UEC), or carcinosarcoma (UCS) histology. </w:t>
      </w:r>
      <w:r>
        <w:rPr>
          <w:rFonts w:ascii="Arial" w:hAnsi="Arial"/>
          <w:b/>
          <w:sz w:val="22"/>
          <w:szCs w:val="22"/>
        </w:rPr>
        <w:t>c</w:t>
      </w:r>
      <w:r w:rsidR="00797D2B">
        <w:rPr>
          <w:rFonts w:ascii="Arial" w:hAnsi="Arial"/>
          <w:sz w:val="22"/>
          <w:szCs w:val="22"/>
        </w:rPr>
        <w:t>,</w:t>
      </w:r>
      <w:r w:rsidR="00241426">
        <w:rPr>
          <w:rFonts w:ascii="Arial" w:hAnsi="Arial"/>
          <w:sz w:val="22"/>
          <w:szCs w:val="22"/>
        </w:rPr>
        <w:t xml:space="preserve"> Kaplan-Meier curves for disease free survival </w:t>
      </w:r>
      <w:r w:rsidR="000A0A24">
        <w:rPr>
          <w:rFonts w:ascii="Arial" w:hAnsi="Arial"/>
          <w:sz w:val="22"/>
          <w:szCs w:val="22"/>
        </w:rPr>
        <w:t xml:space="preserve">in P179-mutant tumors versus wildtype USC and UEC tumors </w:t>
      </w:r>
      <w:r w:rsidR="00241426">
        <w:rPr>
          <w:rFonts w:ascii="Arial" w:hAnsi="Arial"/>
          <w:sz w:val="22"/>
          <w:szCs w:val="22"/>
        </w:rPr>
        <w:t xml:space="preserve">(note: survival data for UCS was not available on cbioportal.com). </w:t>
      </w:r>
      <w:r>
        <w:rPr>
          <w:rFonts w:ascii="Arial" w:hAnsi="Arial"/>
          <w:b/>
          <w:sz w:val="22"/>
          <w:szCs w:val="22"/>
        </w:rPr>
        <w:t>d</w:t>
      </w:r>
      <w:r w:rsidR="00797D2B">
        <w:rPr>
          <w:rFonts w:ascii="Arial" w:hAnsi="Arial"/>
          <w:sz w:val="22"/>
          <w:szCs w:val="22"/>
        </w:rPr>
        <w:t>,</w:t>
      </w:r>
      <w:r w:rsidR="00241426">
        <w:rPr>
          <w:rFonts w:ascii="Arial" w:hAnsi="Arial"/>
          <w:sz w:val="22"/>
          <w:szCs w:val="22"/>
        </w:rPr>
        <w:t xml:space="preserve"> Mutational burden</w:t>
      </w:r>
      <w:r w:rsidR="005C2B8D">
        <w:rPr>
          <w:rFonts w:ascii="Arial" w:hAnsi="Arial"/>
          <w:sz w:val="22"/>
          <w:szCs w:val="22"/>
        </w:rPr>
        <w:t xml:space="preserve"> and frequency of microsatellite instability (MSI)-positivity,</w:t>
      </w:r>
      <w:r w:rsidR="00241426">
        <w:rPr>
          <w:rFonts w:ascii="Arial" w:hAnsi="Arial"/>
          <w:sz w:val="22"/>
          <w:szCs w:val="22"/>
        </w:rPr>
        <w:t xml:space="preserve"> and </w:t>
      </w:r>
      <w:r>
        <w:rPr>
          <w:rFonts w:ascii="Arial" w:hAnsi="Arial"/>
          <w:b/>
          <w:sz w:val="22"/>
          <w:szCs w:val="22"/>
        </w:rPr>
        <w:t>e</w:t>
      </w:r>
      <w:r w:rsidR="00797D2B">
        <w:rPr>
          <w:rFonts w:ascii="Arial" w:hAnsi="Arial"/>
          <w:sz w:val="22"/>
          <w:szCs w:val="22"/>
        </w:rPr>
        <w:t>,</w:t>
      </w:r>
      <w:r w:rsidR="00241426">
        <w:rPr>
          <w:rFonts w:ascii="Arial" w:hAnsi="Arial"/>
          <w:sz w:val="22"/>
          <w:szCs w:val="22"/>
        </w:rPr>
        <w:t xml:space="preserve"> </w:t>
      </w:r>
      <w:r w:rsidR="005C2B8D">
        <w:rPr>
          <w:rFonts w:ascii="Arial" w:hAnsi="Arial"/>
          <w:sz w:val="22"/>
          <w:szCs w:val="22"/>
        </w:rPr>
        <w:t>C</w:t>
      </w:r>
      <w:r w:rsidR="001E7D94">
        <w:rPr>
          <w:rFonts w:ascii="Arial" w:hAnsi="Arial"/>
          <w:sz w:val="22"/>
          <w:szCs w:val="22"/>
        </w:rPr>
        <w:t xml:space="preserve">opy number alteration data for </w:t>
      </w:r>
      <w:r w:rsidR="00241426" w:rsidRPr="00241426">
        <w:rPr>
          <w:rFonts w:ascii="Arial" w:hAnsi="Arial"/>
          <w:sz w:val="22"/>
          <w:szCs w:val="22"/>
        </w:rPr>
        <w:t>P179</w:t>
      </w:r>
      <w:r w:rsidR="000B7AD8">
        <w:rPr>
          <w:rFonts w:ascii="Arial" w:hAnsi="Arial"/>
          <w:i/>
          <w:sz w:val="22"/>
          <w:szCs w:val="22"/>
        </w:rPr>
        <w:t>-</w:t>
      </w:r>
      <w:r w:rsidR="001E7D94">
        <w:rPr>
          <w:rFonts w:ascii="Arial" w:hAnsi="Arial"/>
          <w:sz w:val="22"/>
          <w:szCs w:val="22"/>
        </w:rPr>
        <w:t>mutant tumors</w:t>
      </w:r>
      <w:r w:rsidR="00241426">
        <w:rPr>
          <w:rFonts w:ascii="Arial" w:hAnsi="Arial"/>
          <w:sz w:val="22"/>
          <w:szCs w:val="22"/>
        </w:rPr>
        <w:t xml:space="preserve"> and wildtype USC, UEC, and UCS tumors.</w:t>
      </w:r>
      <w:r w:rsidR="0036339C">
        <w:rPr>
          <w:rFonts w:ascii="Arial" w:hAnsi="Arial"/>
          <w:sz w:val="22"/>
          <w:szCs w:val="22"/>
        </w:rPr>
        <w:t xml:space="preserve"> Data presented as mean </w:t>
      </w:r>
      <w:r w:rsidR="0036339C">
        <w:rPr>
          <w:rFonts w:ascii="Arial" w:hAnsi="Arial" w:cs="Arial"/>
          <w:sz w:val="22"/>
          <w:szCs w:val="22"/>
        </w:rPr>
        <w:t xml:space="preserve">± </w:t>
      </w:r>
      <w:r w:rsidR="0036339C">
        <w:rPr>
          <w:rFonts w:ascii="Arial" w:hAnsi="Arial"/>
          <w:sz w:val="22"/>
          <w:szCs w:val="22"/>
        </w:rPr>
        <w:t>SEM.</w:t>
      </w:r>
      <w:r w:rsidR="00241426">
        <w:rPr>
          <w:rFonts w:ascii="Arial" w:hAnsi="Arial"/>
          <w:sz w:val="22"/>
          <w:szCs w:val="22"/>
        </w:rPr>
        <w:t xml:space="preserve"> </w:t>
      </w:r>
      <w:r>
        <w:rPr>
          <w:rFonts w:ascii="Arial" w:hAnsi="Arial"/>
          <w:b/>
          <w:sz w:val="22"/>
          <w:szCs w:val="22"/>
        </w:rPr>
        <w:t>f</w:t>
      </w:r>
      <w:r w:rsidR="00797D2B">
        <w:rPr>
          <w:rFonts w:ascii="Arial" w:hAnsi="Arial"/>
          <w:sz w:val="22"/>
          <w:szCs w:val="22"/>
        </w:rPr>
        <w:t>,</w:t>
      </w:r>
      <w:r w:rsidR="00241426">
        <w:rPr>
          <w:rFonts w:ascii="Arial" w:hAnsi="Arial"/>
          <w:sz w:val="22"/>
          <w:szCs w:val="22"/>
        </w:rPr>
        <w:t xml:space="preserve"> </w:t>
      </w:r>
      <w:r w:rsidR="000A0A24">
        <w:rPr>
          <w:rFonts w:ascii="Arial" w:hAnsi="Arial"/>
          <w:sz w:val="22"/>
          <w:szCs w:val="22"/>
        </w:rPr>
        <w:t>Frequency of alteration in four patient cohorts (</w:t>
      </w:r>
      <w:r w:rsidR="00831AD9">
        <w:rPr>
          <w:rFonts w:ascii="Arial" w:hAnsi="Arial"/>
          <w:sz w:val="22"/>
          <w:szCs w:val="22"/>
        </w:rPr>
        <w:t>P179 mutant tumors; all USC tumors; all UEC tumors;</w:t>
      </w:r>
      <w:r w:rsidR="000A0A24">
        <w:rPr>
          <w:rFonts w:ascii="Arial" w:hAnsi="Arial"/>
          <w:sz w:val="22"/>
          <w:szCs w:val="22"/>
        </w:rPr>
        <w:t xml:space="preserve"> all UCS tumors) of genes that are commonly altered in serous or endometrioid tumors</w:t>
      </w:r>
      <w:r w:rsidR="00E21EA8">
        <w:rPr>
          <w:rFonts w:ascii="Arial" w:hAnsi="Arial"/>
          <w:sz w:val="22"/>
          <w:szCs w:val="22"/>
        </w:rPr>
        <w:t xml:space="preserve"> [8]</w:t>
      </w:r>
      <w:r w:rsidR="00241426">
        <w:rPr>
          <w:rFonts w:ascii="Arial" w:hAnsi="Arial"/>
          <w:sz w:val="22"/>
          <w:szCs w:val="22"/>
        </w:rPr>
        <w:t>.</w:t>
      </w:r>
      <w:r w:rsidR="001E7D94">
        <w:rPr>
          <w:rFonts w:ascii="Arial" w:hAnsi="Arial"/>
          <w:sz w:val="22"/>
          <w:szCs w:val="22"/>
        </w:rPr>
        <w:t xml:space="preserve"> </w:t>
      </w:r>
      <w:r w:rsidR="000A0A24">
        <w:rPr>
          <w:rFonts w:ascii="Arial" w:hAnsi="Arial"/>
          <w:sz w:val="22"/>
          <w:szCs w:val="22"/>
        </w:rPr>
        <w:t xml:space="preserve">In all instances, the alteration frequency in P179-mutant tumors trends with that seen in USC. </w:t>
      </w:r>
      <w:r w:rsidR="00241426">
        <w:rPr>
          <w:rFonts w:ascii="Arial" w:hAnsi="Arial"/>
          <w:sz w:val="22"/>
          <w:szCs w:val="22"/>
        </w:rPr>
        <w:t>All d</w:t>
      </w:r>
      <w:r w:rsidR="000B7AD8">
        <w:rPr>
          <w:rFonts w:ascii="Arial" w:hAnsi="Arial"/>
          <w:sz w:val="22"/>
          <w:szCs w:val="22"/>
        </w:rPr>
        <w:t xml:space="preserve">ata </w:t>
      </w:r>
      <w:r w:rsidR="00241426">
        <w:rPr>
          <w:rFonts w:ascii="Arial" w:hAnsi="Arial"/>
          <w:sz w:val="22"/>
          <w:szCs w:val="22"/>
        </w:rPr>
        <w:t xml:space="preserve">was </w:t>
      </w:r>
      <w:r w:rsidR="000B7AD8">
        <w:rPr>
          <w:rFonts w:ascii="Arial" w:hAnsi="Arial"/>
          <w:sz w:val="22"/>
          <w:szCs w:val="22"/>
        </w:rPr>
        <w:t xml:space="preserve">accessed through </w:t>
      </w:r>
      <w:r w:rsidR="001E7D94">
        <w:rPr>
          <w:rFonts w:ascii="Arial" w:hAnsi="Arial"/>
          <w:sz w:val="22"/>
          <w:szCs w:val="22"/>
        </w:rPr>
        <w:t>cbioportal</w:t>
      </w:r>
      <w:r w:rsidR="00241426">
        <w:rPr>
          <w:rFonts w:ascii="Arial" w:hAnsi="Arial"/>
          <w:sz w:val="22"/>
          <w:szCs w:val="22"/>
        </w:rPr>
        <w:t>.com</w:t>
      </w:r>
      <w:r w:rsidR="000A0A24">
        <w:rPr>
          <w:rFonts w:ascii="Arial" w:hAnsi="Arial"/>
          <w:sz w:val="22"/>
          <w:szCs w:val="22"/>
        </w:rPr>
        <w:t xml:space="preserve"> under the</w:t>
      </w:r>
      <w:r w:rsidR="00B66718">
        <w:rPr>
          <w:rFonts w:ascii="Arial" w:hAnsi="Arial"/>
          <w:sz w:val="22"/>
          <w:szCs w:val="22"/>
        </w:rPr>
        <w:t xml:space="preserve"> MSK-IMPACT sequencing cohort, or the</w:t>
      </w:r>
      <w:r w:rsidR="000A0A24">
        <w:rPr>
          <w:rFonts w:ascii="Arial" w:hAnsi="Arial"/>
          <w:sz w:val="22"/>
          <w:szCs w:val="22"/>
        </w:rPr>
        <w:t xml:space="preserve"> TCGA uterine and TCGA uterine CS studies</w:t>
      </w:r>
      <w:r w:rsidR="0053605C">
        <w:rPr>
          <w:rFonts w:ascii="Arial" w:hAnsi="Arial"/>
          <w:sz w:val="22"/>
          <w:szCs w:val="22"/>
        </w:rPr>
        <w:t xml:space="preserve"> for the </w:t>
      </w:r>
      <w:proofErr w:type="spellStart"/>
      <w:r w:rsidR="0053605C">
        <w:rPr>
          <w:rFonts w:ascii="Arial" w:hAnsi="Arial"/>
          <w:sz w:val="22"/>
          <w:szCs w:val="22"/>
        </w:rPr>
        <w:t>PanCancer</w:t>
      </w:r>
      <w:proofErr w:type="spellEnd"/>
      <w:r w:rsidR="0053605C">
        <w:rPr>
          <w:rFonts w:ascii="Arial" w:hAnsi="Arial"/>
          <w:sz w:val="22"/>
          <w:szCs w:val="22"/>
        </w:rPr>
        <w:t xml:space="preserve"> Atlas</w:t>
      </w:r>
      <w:r w:rsidR="00E21EA8">
        <w:rPr>
          <w:rFonts w:ascii="Arial" w:hAnsi="Arial"/>
          <w:sz w:val="22"/>
          <w:szCs w:val="22"/>
        </w:rPr>
        <w:t xml:space="preserve"> [64, 65]</w:t>
      </w:r>
      <w:r w:rsidR="001E7D94">
        <w:rPr>
          <w:rFonts w:ascii="Arial" w:hAnsi="Arial"/>
          <w:sz w:val="22"/>
          <w:szCs w:val="22"/>
        </w:rPr>
        <w:t>.</w:t>
      </w:r>
    </w:p>
    <w:p w14:paraId="206E0B9E" w14:textId="77777777" w:rsidR="000111BC" w:rsidRDefault="000111BC" w:rsidP="0027535A">
      <w:pPr>
        <w:spacing w:line="480" w:lineRule="auto"/>
        <w:rPr>
          <w:rFonts w:ascii="Arial" w:hAnsi="Arial"/>
          <w:sz w:val="22"/>
          <w:szCs w:val="22"/>
        </w:rPr>
      </w:pPr>
    </w:p>
    <w:p w14:paraId="127541EC" w14:textId="6620563A" w:rsidR="00E1655B" w:rsidRDefault="00A069D5" w:rsidP="0027535A">
      <w:pPr>
        <w:spacing w:line="480" w:lineRule="auto"/>
        <w:rPr>
          <w:rFonts w:ascii="Arial" w:hAnsi="Arial"/>
          <w:b/>
          <w:sz w:val="22"/>
          <w:szCs w:val="22"/>
        </w:rPr>
      </w:pPr>
      <w:r>
        <w:rPr>
          <w:rFonts w:ascii="Arial" w:hAnsi="Arial"/>
          <w:b/>
          <w:sz w:val="22"/>
          <w:szCs w:val="22"/>
        </w:rPr>
        <w:t xml:space="preserve">Supplementary </w:t>
      </w:r>
      <w:r w:rsidR="00E1655B">
        <w:rPr>
          <w:rFonts w:ascii="Arial" w:hAnsi="Arial"/>
          <w:b/>
          <w:sz w:val="22"/>
          <w:szCs w:val="22"/>
        </w:rPr>
        <w:t>Figure 2.</w:t>
      </w:r>
    </w:p>
    <w:p w14:paraId="77392D4D" w14:textId="5A12B242" w:rsidR="000111BC" w:rsidRDefault="00797D2B" w:rsidP="0027535A">
      <w:pPr>
        <w:spacing w:line="480" w:lineRule="auto"/>
        <w:rPr>
          <w:rFonts w:ascii="Arial" w:hAnsi="Arial" w:cs="Arial"/>
          <w:sz w:val="22"/>
          <w:szCs w:val="22"/>
        </w:rPr>
      </w:pPr>
      <w:r w:rsidRPr="003302E6">
        <w:rPr>
          <w:rFonts w:ascii="Arial" w:hAnsi="Arial"/>
          <w:b/>
          <w:sz w:val="22"/>
          <w:szCs w:val="22"/>
        </w:rPr>
        <w:t>a</w:t>
      </w:r>
      <w:r>
        <w:rPr>
          <w:rFonts w:ascii="Arial" w:hAnsi="Arial"/>
          <w:sz w:val="22"/>
          <w:szCs w:val="22"/>
        </w:rPr>
        <w:t>,</w:t>
      </w:r>
      <w:r w:rsidR="00E1655B">
        <w:rPr>
          <w:rFonts w:ascii="Arial" w:hAnsi="Arial"/>
          <w:sz w:val="22"/>
          <w:szCs w:val="22"/>
        </w:rPr>
        <w:t xml:space="preserve"> Percentage of the patient population harboring a </w:t>
      </w:r>
      <w:r w:rsidR="00E1655B" w:rsidRPr="00E1655B">
        <w:rPr>
          <w:rFonts w:ascii="Arial" w:hAnsi="Arial"/>
          <w:i/>
          <w:sz w:val="22"/>
          <w:szCs w:val="22"/>
        </w:rPr>
        <w:t>PPP2R1A</w:t>
      </w:r>
      <w:r w:rsidR="00E1655B">
        <w:rPr>
          <w:rFonts w:ascii="Arial" w:hAnsi="Arial"/>
          <w:sz w:val="22"/>
          <w:szCs w:val="22"/>
        </w:rPr>
        <w:t xml:space="preserve"> </w:t>
      </w:r>
      <w:r w:rsidR="00E1655B">
        <w:rPr>
          <w:rFonts w:ascii="Arial" w:hAnsi="Arial" w:cs="Arial"/>
          <w:sz w:val="22"/>
          <w:szCs w:val="22"/>
        </w:rPr>
        <w:t xml:space="preserve">site mutation, including hotspot sites P179, S256, R183, in three different tumor biobanks (TCGA and MSK-IMPACT data accessed through </w:t>
      </w:r>
      <w:r w:rsidR="00E1655B">
        <w:rPr>
          <w:rFonts w:ascii="Arial" w:hAnsi="Arial"/>
          <w:sz w:val="22"/>
          <w:szCs w:val="22"/>
        </w:rPr>
        <w:t>cBioportal.org)</w:t>
      </w:r>
      <w:r w:rsidR="00E21EA8" w:rsidRPr="00E21EA8">
        <w:rPr>
          <w:rFonts w:ascii="Arial" w:hAnsi="Arial"/>
          <w:sz w:val="22"/>
          <w:szCs w:val="22"/>
        </w:rPr>
        <w:t xml:space="preserve"> </w:t>
      </w:r>
      <w:r w:rsidR="00E21EA8">
        <w:rPr>
          <w:rFonts w:ascii="Arial" w:hAnsi="Arial"/>
          <w:sz w:val="22"/>
          <w:szCs w:val="22"/>
        </w:rPr>
        <w:t>[64</w:t>
      </w:r>
      <w:r w:rsidR="00E21EA8">
        <w:rPr>
          <w:rFonts w:ascii="Arial" w:hAnsi="Arial"/>
          <w:sz w:val="22"/>
          <w:szCs w:val="22"/>
        </w:rPr>
        <w:t xml:space="preserve">, </w:t>
      </w:r>
      <w:r w:rsidR="00E21EA8">
        <w:rPr>
          <w:rFonts w:ascii="Arial" w:hAnsi="Arial"/>
          <w:sz w:val="22"/>
          <w:szCs w:val="22"/>
        </w:rPr>
        <w:t>65</w:t>
      </w:r>
      <w:r w:rsidR="00E21EA8">
        <w:rPr>
          <w:rFonts w:ascii="Arial" w:hAnsi="Arial"/>
          <w:sz w:val="22"/>
          <w:szCs w:val="22"/>
        </w:rPr>
        <w:t>].</w:t>
      </w:r>
      <w:r w:rsidR="00E1655B">
        <w:rPr>
          <w:rFonts w:ascii="Arial" w:hAnsi="Arial" w:cs="Arial"/>
          <w:sz w:val="22"/>
          <w:szCs w:val="22"/>
        </w:rPr>
        <w:t xml:space="preserve"> </w:t>
      </w:r>
      <w:r>
        <w:rPr>
          <w:rFonts w:ascii="Arial" w:hAnsi="Arial"/>
          <w:b/>
          <w:sz w:val="22"/>
          <w:szCs w:val="22"/>
        </w:rPr>
        <w:t>b</w:t>
      </w:r>
      <w:r>
        <w:rPr>
          <w:rFonts w:ascii="Arial" w:hAnsi="Arial"/>
          <w:sz w:val="22"/>
          <w:szCs w:val="22"/>
        </w:rPr>
        <w:t>,</w:t>
      </w:r>
      <w:r w:rsidR="00E1655B">
        <w:rPr>
          <w:rFonts w:ascii="Arial" w:hAnsi="Arial" w:cs="Arial"/>
          <w:sz w:val="22"/>
          <w:szCs w:val="22"/>
        </w:rPr>
        <w:t xml:space="preserve"> Summary table of </w:t>
      </w:r>
      <w:r w:rsidR="00E3063A">
        <w:rPr>
          <w:rFonts w:ascii="Arial" w:hAnsi="Arial" w:cs="Arial"/>
          <w:sz w:val="22"/>
          <w:szCs w:val="22"/>
        </w:rPr>
        <w:t>the Case CCC b</w:t>
      </w:r>
      <w:r w:rsidR="00E1655B" w:rsidRPr="00E3063A">
        <w:rPr>
          <w:rFonts w:ascii="Arial" w:hAnsi="Arial" w:cs="Arial"/>
          <w:sz w:val="22"/>
          <w:szCs w:val="22"/>
        </w:rPr>
        <w:t xml:space="preserve">iobank </w:t>
      </w:r>
      <w:r w:rsidR="00E1655B">
        <w:rPr>
          <w:rFonts w:ascii="Arial" w:hAnsi="Arial" w:cs="Arial"/>
          <w:sz w:val="22"/>
          <w:szCs w:val="22"/>
        </w:rPr>
        <w:t xml:space="preserve">tumor samples found to harbor a HEAT 5 or 7 ‘hotspot’ mutation following targeted Sanger sequencing of this region. </w:t>
      </w:r>
      <w:r>
        <w:rPr>
          <w:rFonts w:ascii="Arial" w:hAnsi="Arial"/>
          <w:b/>
          <w:sz w:val="22"/>
          <w:szCs w:val="22"/>
        </w:rPr>
        <w:t>c</w:t>
      </w:r>
      <w:r>
        <w:rPr>
          <w:rFonts w:ascii="Arial" w:hAnsi="Arial"/>
          <w:sz w:val="22"/>
          <w:szCs w:val="22"/>
        </w:rPr>
        <w:t xml:space="preserve">, </w:t>
      </w:r>
      <w:r w:rsidR="00E1655B">
        <w:rPr>
          <w:rFonts w:ascii="Arial" w:hAnsi="Arial" w:cs="Arial"/>
          <w:sz w:val="22"/>
          <w:szCs w:val="22"/>
        </w:rPr>
        <w:t>Plots of the Sanger sequencing results for several tumors with P179 site mutations</w:t>
      </w:r>
      <w:r w:rsidR="00424F66">
        <w:rPr>
          <w:rFonts w:ascii="Arial" w:hAnsi="Arial" w:cs="Arial"/>
          <w:sz w:val="22"/>
          <w:szCs w:val="22"/>
        </w:rPr>
        <w:t xml:space="preserve"> (arrow indicates residue 179)</w:t>
      </w:r>
      <w:r w:rsidR="001E10B3">
        <w:rPr>
          <w:rFonts w:ascii="Arial" w:hAnsi="Arial" w:cs="Arial"/>
          <w:sz w:val="22"/>
          <w:szCs w:val="22"/>
        </w:rPr>
        <w:t xml:space="preserve">. Sequencing results for UT89 is provided as an example of the wildtype sequence. Stable cell lines derived from the tumors UT89 and UT42 were used for experiments carried out in this </w:t>
      </w:r>
      <w:r w:rsidR="001E10B3" w:rsidRPr="00C91C06">
        <w:rPr>
          <w:rFonts w:ascii="Arial" w:hAnsi="Arial" w:cs="Arial"/>
          <w:sz w:val="22"/>
          <w:szCs w:val="22"/>
        </w:rPr>
        <w:t>report.</w:t>
      </w:r>
    </w:p>
    <w:p w14:paraId="75F38ACE" w14:textId="77777777" w:rsidR="00C30849" w:rsidRPr="00C30849" w:rsidRDefault="00C30849" w:rsidP="0027535A">
      <w:pPr>
        <w:spacing w:line="480" w:lineRule="auto"/>
        <w:rPr>
          <w:rFonts w:ascii="Arial" w:hAnsi="Arial" w:cs="Arial"/>
          <w:sz w:val="22"/>
          <w:szCs w:val="22"/>
        </w:rPr>
      </w:pPr>
    </w:p>
    <w:p w14:paraId="678BD563" w14:textId="065BE833" w:rsidR="000111BC" w:rsidRDefault="000111BC" w:rsidP="0027535A">
      <w:pPr>
        <w:spacing w:line="480" w:lineRule="auto"/>
        <w:rPr>
          <w:rFonts w:ascii="Arial" w:hAnsi="Arial"/>
          <w:b/>
          <w:sz w:val="22"/>
          <w:szCs w:val="22"/>
        </w:rPr>
      </w:pPr>
      <w:r>
        <w:rPr>
          <w:rFonts w:ascii="Arial" w:hAnsi="Arial"/>
          <w:b/>
          <w:sz w:val="22"/>
          <w:szCs w:val="22"/>
        </w:rPr>
        <w:t>Supplementary Figure 3.</w:t>
      </w:r>
    </w:p>
    <w:p w14:paraId="30F6AE1B" w14:textId="6ACD6C83" w:rsidR="00F67AE2" w:rsidRPr="00857185" w:rsidRDefault="000111BC" w:rsidP="0027535A">
      <w:pPr>
        <w:spacing w:line="480" w:lineRule="auto"/>
        <w:rPr>
          <w:rFonts w:ascii="Arial" w:hAnsi="Arial"/>
          <w:sz w:val="22"/>
          <w:szCs w:val="22"/>
        </w:rPr>
      </w:pPr>
      <w:r>
        <w:rPr>
          <w:rFonts w:ascii="Arial" w:hAnsi="Arial"/>
          <w:b/>
          <w:sz w:val="22"/>
          <w:szCs w:val="22"/>
        </w:rPr>
        <w:t>a</w:t>
      </w:r>
      <w:r w:rsidRPr="00B12BB6">
        <w:rPr>
          <w:rFonts w:ascii="Arial" w:hAnsi="Arial"/>
          <w:sz w:val="22"/>
          <w:szCs w:val="22"/>
        </w:rPr>
        <w:t xml:space="preserve">, </w:t>
      </w:r>
      <w:proofErr w:type="gramStart"/>
      <w:r w:rsidRPr="00B12BB6">
        <w:rPr>
          <w:rFonts w:ascii="Arial" w:hAnsi="Arial"/>
          <w:sz w:val="22"/>
          <w:szCs w:val="22"/>
        </w:rPr>
        <w:t>In</w:t>
      </w:r>
      <w:proofErr w:type="gramEnd"/>
      <w:r w:rsidRPr="00B12BB6">
        <w:rPr>
          <w:rFonts w:ascii="Arial" w:hAnsi="Arial"/>
          <w:sz w:val="22"/>
          <w:szCs w:val="22"/>
        </w:rPr>
        <w:t xml:space="preserve"> a cell-free pull-down assay, GST-tagged B56α binds both wildtype Aα and Cα subunits. When wildtype</w:t>
      </w:r>
      <w:r>
        <w:rPr>
          <w:rFonts w:ascii="Arial" w:hAnsi="Arial"/>
          <w:sz w:val="22"/>
          <w:szCs w:val="22"/>
        </w:rPr>
        <w:t xml:space="preserve"> (WT)</w:t>
      </w:r>
      <w:r w:rsidRPr="00B12BB6">
        <w:rPr>
          <w:rFonts w:ascii="Arial" w:hAnsi="Arial"/>
          <w:sz w:val="22"/>
          <w:szCs w:val="22"/>
        </w:rPr>
        <w:t xml:space="preserve"> Aα is replaced with P179R or P179L mutant isoforms, B56α displays markedly reduced binding with both Aα and Cα subunits. WT and mutant samples were run on the same gel; asterisks (*) denote two lanes of sam</w:t>
      </w:r>
      <w:r>
        <w:rPr>
          <w:rFonts w:ascii="Arial" w:hAnsi="Arial"/>
          <w:sz w:val="22"/>
          <w:szCs w:val="22"/>
        </w:rPr>
        <w:t xml:space="preserve">ples that have been cropped. </w:t>
      </w:r>
      <w:r w:rsidRPr="00B12BB6">
        <w:rPr>
          <w:rFonts w:ascii="Arial" w:hAnsi="Arial"/>
          <w:b/>
          <w:sz w:val="22"/>
          <w:szCs w:val="22"/>
        </w:rPr>
        <w:t>b</w:t>
      </w:r>
      <w:r>
        <w:rPr>
          <w:rFonts w:ascii="Arial" w:hAnsi="Arial"/>
          <w:sz w:val="22"/>
          <w:szCs w:val="22"/>
        </w:rPr>
        <w:t>,</w:t>
      </w:r>
      <w:r w:rsidRPr="00B12BB6">
        <w:rPr>
          <w:rFonts w:ascii="Arial" w:hAnsi="Arial"/>
          <w:sz w:val="22"/>
          <w:szCs w:val="22"/>
        </w:rPr>
        <w:t xml:space="preserve"> </w:t>
      </w:r>
      <w:proofErr w:type="gramStart"/>
      <w:r w:rsidRPr="00B12BB6">
        <w:rPr>
          <w:rFonts w:ascii="Arial" w:hAnsi="Arial"/>
          <w:sz w:val="22"/>
          <w:szCs w:val="22"/>
        </w:rPr>
        <w:t>Across</w:t>
      </w:r>
      <w:proofErr w:type="gramEnd"/>
      <w:r w:rsidRPr="00B12BB6">
        <w:rPr>
          <w:rFonts w:ascii="Arial" w:hAnsi="Arial"/>
          <w:sz w:val="22"/>
          <w:szCs w:val="22"/>
        </w:rPr>
        <w:t xml:space="preserve"> three replicates, B56α interaction with A- and C-subunits was significantly reduced with P179 mutant Aα isoforms relative to wildtype Aα (*** p&lt;0.001).</w:t>
      </w:r>
    </w:p>
    <w:p w14:paraId="20C92B7A" w14:textId="77777777" w:rsidR="008D3368" w:rsidRPr="00C91C06" w:rsidRDefault="008D3368" w:rsidP="0027535A">
      <w:pPr>
        <w:spacing w:line="480" w:lineRule="auto"/>
        <w:rPr>
          <w:rFonts w:ascii="Arial" w:hAnsi="Arial" w:cs="Arial"/>
          <w:sz w:val="22"/>
          <w:szCs w:val="22"/>
        </w:rPr>
      </w:pPr>
    </w:p>
    <w:p w14:paraId="77C7529F" w14:textId="47618397" w:rsidR="001E10B3" w:rsidRDefault="00A069D5" w:rsidP="0027535A">
      <w:pPr>
        <w:spacing w:line="480" w:lineRule="auto"/>
        <w:rPr>
          <w:rFonts w:ascii="Arial" w:hAnsi="Arial"/>
          <w:sz w:val="22"/>
          <w:szCs w:val="22"/>
        </w:rPr>
      </w:pPr>
      <w:r>
        <w:rPr>
          <w:rFonts w:ascii="Arial" w:hAnsi="Arial"/>
          <w:b/>
          <w:sz w:val="22"/>
          <w:szCs w:val="22"/>
        </w:rPr>
        <w:t xml:space="preserve">Supplementary </w:t>
      </w:r>
      <w:r w:rsidR="000111BC">
        <w:rPr>
          <w:rFonts w:ascii="Arial" w:hAnsi="Arial"/>
          <w:b/>
          <w:sz w:val="22"/>
          <w:szCs w:val="22"/>
        </w:rPr>
        <w:t>Figure 4</w:t>
      </w:r>
      <w:r w:rsidR="001E10B3">
        <w:rPr>
          <w:rFonts w:ascii="Arial" w:hAnsi="Arial"/>
          <w:b/>
          <w:sz w:val="22"/>
          <w:szCs w:val="22"/>
        </w:rPr>
        <w:t>.</w:t>
      </w:r>
    </w:p>
    <w:p w14:paraId="5F61FC65" w14:textId="5F56CC26" w:rsidR="008D3368" w:rsidRDefault="00797D2B" w:rsidP="0027535A">
      <w:pPr>
        <w:spacing w:line="480" w:lineRule="auto"/>
        <w:rPr>
          <w:rFonts w:ascii="Arial" w:hAnsi="Arial" w:cs="Arial"/>
          <w:sz w:val="22"/>
          <w:szCs w:val="22"/>
        </w:rPr>
      </w:pPr>
      <w:r w:rsidRPr="003302E6">
        <w:rPr>
          <w:rFonts w:ascii="Arial" w:hAnsi="Arial"/>
          <w:b/>
          <w:sz w:val="22"/>
          <w:szCs w:val="22"/>
        </w:rPr>
        <w:t>a</w:t>
      </w:r>
      <w:r>
        <w:rPr>
          <w:rFonts w:ascii="Arial" w:hAnsi="Arial"/>
          <w:b/>
          <w:sz w:val="22"/>
          <w:szCs w:val="22"/>
        </w:rPr>
        <w:t>-d</w:t>
      </w:r>
      <w:r>
        <w:rPr>
          <w:rFonts w:ascii="Arial" w:hAnsi="Arial"/>
          <w:sz w:val="22"/>
          <w:szCs w:val="22"/>
        </w:rPr>
        <w:t xml:space="preserve">, </w:t>
      </w:r>
      <w:r w:rsidR="00897EAA" w:rsidRPr="00AB41B9">
        <w:rPr>
          <w:rFonts w:ascii="Arial" w:hAnsi="Arial" w:cs="Arial"/>
          <w:sz w:val="22"/>
          <w:szCs w:val="22"/>
        </w:rPr>
        <w:t xml:space="preserve">Convergence plots of CV1 </w:t>
      </w:r>
      <w:r w:rsidR="00AB41B9">
        <w:rPr>
          <w:rFonts w:ascii="Arial" w:hAnsi="Arial" w:cs="Arial"/>
          <w:sz w:val="22"/>
          <w:szCs w:val="22"/>
        </w:rPr>
        <w:t xml:space="preserve">φ </w:t>
      </w:r>
      <w:r w:rsidRPr="00AB41B9">
        <w:rPr>
          <w:rFonts w:ascii="Arial" w:hAnsi="Arial" w:cs="Arial"/>
          <w:sz w:val="22"/>
          <w:szCs w:val="22"/>
        </w:rPr>
        <w:t>(</w:t>
      </w:r>
      <w:r>
        <w:rPr>
          <w:rFonts w:ascii="Arial" w:hAnsi="Arial" w:cs="Arial"/>
          <w:b/>
          <w:sz w:val="22"/>
          <w:szCs w:val="22"/>
        </w:rPr>
        <w:t>a</w:t>
      </w:r>
      <w:r w:rsidRPr="00AB41B9">
        <w:rPr>
          <w:rFonts w:ascii="Arial" w:hAnsi="Arial" w:cs="Arial"/>
          <w:sz w:val="22"/>
          <w:szCs w:val="22"/>
        </w:rPr>
        <w:t xml:space="preserve">) </w:t>
      </w:r>
      <w:r w:rsidR="00897EAA" w:rsidRPr="00AB41B9">
        <w:rPr>
          <w:rFonts w:ascii="Arial" w:hAnsi="Arial" w:cs="Arial"/>
          <w:sz w:val="22"/>
          <w:szCs w:val="22"/>
        </w:rPr>
        <w:t>and CV2 ψ</w:t>
      </w:r>
      <w:r>
        <w:rPr>
          <w:rFonts w:ascii="Arial" w:hAnsi="Arial" w:cs="Arial"/>
          <w:sz w:val="22"/>
          <w:szCs w:val="22"/>
        </w:rPr>
        <w:t xml:space="preserve"> </w:t>
      </w:r>
      <w:r w:rsidRPr="00AB41B9">
        <w:rPr>
          <w:rFonts w:ascii="Arial" w:hAnsi="Arial" w:cs="Arial"/>
          <w:sz w:val="22"/>
          <w:szCs w:val="22"/>
        </w:rPr>
        <w:t>(</w:t>
      </w:r>
      <w:r>
        <w:rPr>
          <w:rFonts w:ascii="Arial" w:hAnsi="Arial" w:cs="Arial"/>
          <w:b/>
          <w:sz w:val="22"/>
          <w:szCs w:val="22"/>
        </w:rPr>
        <w:t>b</w:t>
      </w:r>
      <w:r w:rsidRPr="00AB41B9">
        <w:rPr>
          <w:rFonts w:ascii="Arial" w:hAnsi="Arial" w:cs="Arial"/>
          <w:sz w:val="22"/>
          <w:szCs w:val="22"/>
        </w:rPr>
        <w:t>)</w:t>
      </w:r>
      <w:r w:rsidR="00897EAA" w:rsidRPr="00AB41B9">
        <w:rPr>
          <w:rFonts w:ascii="Arial" w:hAnsi="Arial" w:cs="Arial"/>
          <w:sz w:val="22"/>
          <w:szCs w:val="22"/>
        </w:rPr>
        <w:t>, as calculated from Well-temp</w:t>
      </w:r>
      <w:r w:rsidR="00857185">
        <w:rPr>
          <w:rFonts w:ascii="Arial" w:hAnsi="Arial" w:cs="Arial"/>
          <w:sz w:val="22"/>
          <w:szCs w:val="22"/>
        </w:rPr>
        <w:t xml:space="preserve">ered </w:t>
      </w:r>
      <w:proofErr w:type="spellStart"/>
      <w:r w:rsidR="00857185">
        <w:rPr>
          <w:rFonts w:ascii="Arial" w:hAnsi="Arial" w:cs="Arial"/>
          <w:sz w:val="22"/>
          <w:szCs w:val="22"/>
        </w:rPr>
        <w:t>metadynamics</w:t>
      </w:r>
      <w:proofErr w:type="spellEnd"/>
      <w:r w:rsidR="00857185">
        <w:rPr>
          <w:rFonts w:ascii="Arial" w:hAnsi="Arial" w:cs="Arial"/>
          <w:sz w:val="22"/>
          <w:szCs w:val="22"/>
        </w:rPr>
        <w:t xml:space="preserve"> simulations, and d</w:t>
      </w:r>
      <w:r w:rsidR="00897EAA" w:rsidRPr="00AB41B9">
        <w:rPr>
          <w:rFonts w:ascii="Arial" w:hAnsi="Arial" w:cs="Arial"/>
          <w:sz w:val="22"/>
          <w:szCs w:val="22"/>
        </w:rPr>
        <w:t xml:space="preserve">iffusive behavior of CV1 </w:t>
      </w:r>
      <w:r w:rsidRPr="00AB41B9">
        <w:rPr>
          <w:rFonts w:ascii="Arial" w:hAnsi="Arial" w:cs="Arial"/>
          <w:sz w:val="22"/>
          <w:szCs w:val="22"/>
        </w:rPr>
        <w:t>(</w:t>
      </w:r>
      <w:r>
        <w:rPr>
          <w:rFonts w:ascii="Arial" w:hAnsi="Arial" w:cs="Arial"/>
          <w:b/>
          <w:sz w:val="22"/>
          <w:szCs w:val="22"/>
        </w:rPr>
        <w:t>c</w:t>
      </w:r>
      <w:r w:rsidRPr="00AB41B9">
        <w:rPr>
          <w:rFonts w:ascii="Arial" w:hAnsi="Arial" w:cs="Arial"/>
          <w:sz w:val="22"/>
          <w:szCs w:val="22"/>
        </w:rPr>
        <w:t xml:space="preserve">) </w:t>
      </w:r>
      <w:r w:rsidR="00897EAA" w:rsidRPr="00AB41B9">
        <w:rPr>
          <w:rFonts w:ascii="Arial" w:hAnsi="Arial" w:cs="Arial"/>
          <w:sz w:val="22"/>
          <w:szCs w:val="22"/>
        </w:rPr>
        <w:t xml:space="preserve">and CV2 </w:t>
      </w:r>
      <w:r w:rsidRPr="00AB41B9">
        <w:rPr>
          <w:rFonts w:ascii="Arial" w:hAnsi="Arial" w:cs="Arial"/>
          <w:sz w:val="22"/>
          <w:szCs w:val="22"/>
        </w:rPr>
        <w:t>(</w:t>
      </w:r>
      <w:r>
        <w:rPr>
          <w:rFonts w:ascii="Arial" w:hAnsi="Arial" w:cs="Arial"/>
          <w:b/>
          <w:sz w:val="22"/>
          <w:szCs w:val="22"/>
        </w:rPr>
        <w:t>d</w:t>
      </w:r>
      <w:r w:rsidRPr="00AB41B9">
        <w:rPr>
          <w:rFonts w:ascii="Arial" w:hAnsi="Arial" w:cs="Arial"/>
          <w:sz w:val="22"/>
          <w:szCs w:val="22"/>
        </w:rPr>
        <w:t xml:space="preserve">) </w:t>
      </w:r>
      <w:r w:rsidR="001B1F67">
        <w:rPr>
          <w:rFonts w:ascii="Arial" w:hAnsi="Arial" w:cs="Arial"/>
          <w:sz w:val="22"/>
          <w:szCs w:val="22"/>
        </w:rPr>
        <w:t>over the course of the apo WT-</w:t>
      </w:r>
      <w:r w:rsidR="00897EAA" w:rsidRPr="00AB41B9">
        <w:rPr>
          <w:rFonts w:ascii="Arial" w:hAnsi="Arial" w:cs="Arial"/>
          <w:sz w:val="22"/>
          <w:szCs w:val="22"/>
        </w:rPr>
        <w:t xml:space="preserve">Aα </w:t>
      </w:r>
      <w:r w:rsidR="00AB41B9">
        <w:rPr>
          <w:rFonts w:ascii="Arial" w:hAnsi="Arial" w:cs="Arial"/>
          <w:sz w:val="22"/>
          <w:szCs w:val="22"/>
        </w:rPr>
        <w:t xml:space="preserve">(P179) </w:t>
      </w:r>
      <w:r w:rsidR="00897EAA" w:rsidRPr="00AB41B9">
        <w:rPr>
          <w:rFonts w:ascii="Arial" w:hAnsi="Arial" w:cs="Arial"/>
          <w:sz w:val="22"/>
          <w:szCs w:val="22"/>
        </w:rPr>
        <w:t xml:space="preserve">simulation. </w:t>
      </w:r>
      <w:r>
        <w:rPr>
          <w:rFonts w:ascii="Arial" w:hAnsi="Arial"/>
          <w:b/>
          <w:sz w:val="22"/>
          <w:szCs w:val="22"/>
        </w:rPr>
        <w:t>e-h</w:t>
      </w:r>
      <w:r>
        <w:rPr>
          <w:rFonts w:ascii="Arial" w:hAnsi="Arial"/>
          <w:sz w:val="22"/>
          <w:szCs w:val="22"/>
        </w:rPr>
        <w:t>,</w:t>
      </w:r>
      <w:r w:rsidR="00AB41B9">
        <w:rPr>
          <w:rFonts w:ascii="Arial" w:hAnsi="Arial" w:cs="Arial"/>
          <w:sz w:val="22"/>
          <w:szCs w:val="22"/>
        </w:rPr>
        <w:t xml:space="preserve"> Corresponding plots</w:t>
      </w:r>
      <w:r w:rsidR="00AB41B9" w:rsidRPr="00AB41B9">
        <w:rPr>
          <w:rFonts w:ascii="Arial" w:hAnsi="Arial" w:cs="Arial"/>
          <w:sz w:val="22"/>
          <w:szCs w:val="22"/>
        </w:rPr>
        <w:t xml:space="preserve"> </w:t>
      </w:r>
      <w:r w:rsidR="00AB41B9">
        <w:rPr>
          <w:rFonts w:ascii="Arial" w:hAnsi="Arial" w:cs="Arial"/>
          <w:sz w:val="22"/>
          <w:szCs w:val="22"/>
        </w:rPr>
        <w:t xml:space="preserve">from the </w:t>
      </w:r>
      <w:r w:rsidR="00AB41B9" w:rsidRPr="00AB41B9">
        <w:rPr>
          <w:rFonts w:ascii="Arial" w:hAnsi="Arial" w:cs="Arial"/>
          <w:sz w:val="22"/>
          <w:szCs w:val="22"/>
        </w:rPr>
        <w:t xml:space="preserve">WT </w:t>
      </w:r>
      <w:r w:rsidR="00AB41B9">
        <w:rPr>
          <w:rFonts w:ascii="Arial" w:hAnsi="Arial" w:cs="Arial"/>
          <w:sz w:val="22"/>
          <w:szCs w:val="22"/>
        </w:rPr>
        <w:t>Aα/</w:t>
      </w:r>
      <w:r w:rsidR="00AB41B9" w:rsidRPr="00AB41B9">
        <w:rPr>
          <w:rFonts w:ascii="Arial" w:hAnsi="Arial" w:cs="Arial"/>
          <w:sz w:val="22"/>
          <w:szCs w:val="22"/>
        </w:rPr>
        <w:t>C complex simulation.</w:t>
      </w:r>
      <w:r w:rsidR="009263CD">
        <w:rPr>
          <w:rFonts w:ascii="Arial" w:hAnsi="Arial" w:cs="Arial"/>
          <w:sz w:val="22"/>
          <w:szCs w:val="22"/>
        </w:rPr>
        <w:t xml:space="preserve"> </w:t>
      </w:r>
      <w:proofErr w:type="spellStart"/>
      <w:r w:rsidR="009263CD">
        <w:rPr>
          <w:rFonts w:ascii="Arial" w:hAnsi="Arial"/>
          <w:b/>
          <w:sz w:val="22"/>
          <w:szCs w:val="22"/>
        </w:rPr>
        <w:t>i</w:t>
      </w:r>
      <w:proofErr w:type="spellEnd"/>
      <w:r w:rsidR="009263CD">
        <w:rPr>
          <w:rFonts w:ascii="Arial" w:hAnsi="Arial"/>
          <w:b/>
          <w:sz w:val="22"/>
          <w:szCs w:val="22"/>
        </w:rPr>
        <w:t>-l</w:t>
      </w:r>
      <w:r>
        <w:rPr>
          <w:rFonts w:ascii="Arial" w:hAnsi="Arial"/>
          <w:sz w:val="22"/>
          <w:szCs w:val="22"/>
        </w:rPr>
        <w:t xml:space="preserve">, </w:t>
      </w:r>
      <w:r w:rsidR="009263CD">
        <w:rPr>
          <w:rFonts w:ascii="Arial" w:hAnsi="Arial" w:cs="Arial"/>
          <w:sz w:val="22"/>
          <w:szCs w:val="22"/>
        </w:rPr>
        <w:t>Corresponding plots from</w:t>
      </w:r>
      <w:r w:rsidR="002A65B4">
        <w:rPr>
          <w:rFonts w:ascii="Arial" w:hAnsi="Arial" w:cs="Arial"/>
          <w:sz w:val="22"/>
          <w:szCs w:val="22"/>
        </w:rPr>
        <w:t xml:space="preserve"> the apo P179R-</w:t>
      </w:r>
      <w:r w:rsidR="00897EAA" w:rsidRPr="00AB41B9">
        <w:rPr>
          <w:rFonts w:ascii="Arial" w:hAnsi="Arial" w:cs="Arial"/>
          <w:sz w:val="22"/>
          <w:szCs w:val="22"/>
        </w:rPr>
        <w:t xml:space="preserve">Aα </w:t>
      </w:r>
      <w:r w:rsidR="00AB41B9">
        <w:rPr>
          <w:rFonts w:ascii="Arial" w:hAnsi="Arial" w:cs="Arial"/>
          <w:sz w:val="22"/>
          <w:szCs w:val="22"/>
        </w:rPr>
        <w:t xml:space="preserve">(R179) simulation. </w:t>
      </w:r>
      <w:r w:rsidR="009263CD">
        <w:rPr>
          <w:rFonts w:ascii="Arial" w:hAnsi="Arial"/>
          <w:b/>
          <w:sz w:val="22"/>
          <w:szCs w:val="22"/>
        </w:rPr>
        <w:t>m</w:t>
      </w:r>
      <w:r>
        <w:rPr>
          <w:rFonts w:ascii="Arial" w:hAnsi="Arial"/>
          <w:b/>
          <w:sz w:val="22"/>
          <w:szCs w:val="22"/>
        </w:rPr>
        <w:t>-</w:t>
      </w:r>
      <w:r w:rsidR="009263CD">
        <w:rPr>
          <w:rFonts w:ascii="Arial" w:hAnsi="Arial"/>
          <w:b/>
          <w:sz w:val="22"/>
          <w:szCs w:val="22"/>
        </w:rPr>
        <w:t>p</w:t>
      </w:r>
      <w:r>
        <w:rPr>
          <w:rFonts w:ascii="Arial" w:hAnsi="Arial"/>
          <w:sz w:val="22"/>
          <w:szCs w:val="22"/>
        </w:rPr>
        <w:t xml:space="preserve">, </w:t>
      </w:r>
      <w:r w:rsidR="00AB41B9">
        <w:rPr>
          <w:rFonts w:ascii="Arial" w:hAnsi="Arial" w:cs="Arial"/>
          <w:sz w:val="22"/>
          <w:szCs w:val="22"/>
        </w:rPr>
        <w:t>Corresponding plots from the P179R Aα/</w:t>
      </w:r>
      <w:r w:rsidR="00AB41B9" w:rsidRPr="00AB41B9">
        <w:rPr>
          <w:rFonts w:ascii="Arial" w:hAnsi="Arial" w:cs="Arial"/>
          <w:sz w:val="22"/>
          <w:szCs w:val="22"/>
        </w:rPr>
        <w:t>C complex simulation.</w:t>
      </w:r>
      <w:r w:rsidR="009263CD">
        <w:rPr>
          <w:rFonts w:ascii="Arial" w:hAnsi="Arial" w:cs="Arial"/>
          <w:sz w:val="22"/>
          <w:szCs w:val="22"/>
        </w:rPr>
        <w:t xml:space="preserve"> </w:t>
      </w:r>
      <w:r w:rsidR="009263CD">
        <w:rPr>
          <w:rFonts w:ascii="Arial" w:hAnsi="Arial"/>
          <w:b/>
          <w:sz w:val="22"/>
          <w:szCs w:val="22"/>
        </w:rPr>
        <w:t>q-t</w:t>
      </w:r>
      <w:r>
        <w:rPr>
          <w:rFonts w:ascii="Arial" w:hAnsi="Arial"/>
          <w:sz w:val="22"/>
          <w:szCs w:val="22"/>
        </w:rPr>
        <w:t xml:space="preserve">, </w:t>
      </w:r>
      <w:r w:rsidR="005C682E" w:rsidRPr="00C91C06">
        <w:rPr>
          <w:rFonts w:ascii="Arial" w:hAnsi="Arial" w:cs="Arial"/>
          <w:i/>
          <w:sz w:val="22"/>
          <w:szCs w:val="22"/>
          <w:lang w:val="en-GB"/>
        </w:rPr>
        <w:t>Cis-trans</w:t>
      </w:r>
      <w:r w:rsidR="005C682E" w:rsidRPr="00C91C06">
        <w:rPr>
          <w:rFonts w:ascii="Arial" w:hAnsi="Arial" w:cs="Arial"/>
          <w:sz w:val="22"/>
          <w:szCs w:val="22"/>
          <w:lang w:val="en-GB"/>
        </w:rPr>
        <w:t xml:space="preserve"> isomerisation of the </w:t>
      </w:r>
      <w:r w:rsidR="005C682E" w:rsidRPr="00C91C06">
        <w:rPr>
          <w:rFonts w:ascii="Arial" w:hAnsi="Arial" w:cs="Arial"/>
          <w:sz w:val="22"/>
          <w:szCs w:val="22"/>
        </w:rPr>
        <w:t xml:space="preserve">ω bond as calculated in </w:t>
      </w:r>
      <w:r w:rsidR="00376D2F">
        <w:rPr>
          <w:rFonts w:ascii="Arial" w:hAnsi="Arial" w:cs="Arial"/>
          <w:sz w:val="22"/>
          <w:szCs w:val="22"/>
        </w:rPr>
        <w:t xml:space="preserve">simulations for </w:t>
      </w:r>
      <w:r w:rsidR="005C682E" w:rsidRPr="00C91C06">
        <w:rPr>
          <w:rFonts w:ascii="Arial" w:hAnsi="Arial" w:cs="Arial"/>
          <w:sz w:val="22"/>
          <w:szCs w:val="22"/>
        </w:rPr>
        <w:t xml:space="preserve">apo </w:t>
      </w:r>
      <w:r w:rsidR="00376D2F" w:rsidRPr="00C91C06">
        <w:rPr>
          <w:rFonts w:ascii="Arial" w:hAnsi="Arial" w:cs="Arial"/>
          <w:sz w:val="22"/>
          <w:szCs w:val="22"/>
        </w:rPr>
        <w:t xml:space="preserve">Aα </w:t>
      </w:r>
      <w:r w:rsidR="00376D2F">
        <w:rPr>
          <w:rFonts w:ascii="Arial" w:hAnsi="Arial" w:cs="Arial"/>
          <w:sz w:val="22"/>
          <w:szCs w:val="22"/>
        </w:rPr>
        <w:t xml:space="preserve">P179 </w:t>
      </w:r>
      <w:r w:rsidRPr="00C91C06">
        <w:rPr>
          <w:rFonts w:ascii="Arial" w:hAnsi="Arial" w:cs="Arial"/>
          <w:sz w:val="22"/>
          <w:szCs w:val="22"/>
        </w:rPr>
        <w:t>(</w:t>
      </w:r>
      <w:r w:rsidR="009263CD">
        <w:rPr>
          <w:rFonts w:ascii="Arial" w:hAnsi="Arial" w:cs="Arial"/>
          <w:b/>
          <w:sz w:val="22"/>
          <w:szCs w:val="22"/>
        </w:rPr>
        <w:t>q</w:t>
      </w:r>
      <w:r w:rsidRPr="00C91C06">
        <w:rPr>
          <w:rFonts w:ascii="Arial" w:hAnsi="Arial" w:cs="Arial"/>
          <w:sz w:val="22"/>
          <w:szCs w:val="22"/>
        </w:rPr>
        <w:t xml:space="preserve">) </w:t>
      </w:r>
      <w:r w:rsidR="00376D2F">
        <w:rPr>
          <w:rFonts w:ascii="Arial" w:hAnsi="Arial" w:cs="Arial"/>
          <w:sz w:val="22"/>
          <w:szCs w:val="22"/>
        </w:rPr>
        <w:t xml:space="preserve">and </w:t>
      </w:r>
      <w:r w:rsidR="00945B6B">
        <w:rPr>
          <w:rFonts w:ascii="Arial" w:hAnsi="Arial" w:cs="Arial"/>
          <w:sz w:val="22"/>
          <w:szCs w:val="22"/>
        </w:rPr>
        <w:t xml:space="preserve">apo </w:t>
      </w:r>
      <w:r w:rsidR="00945B6B" w:rsidRPr="00C91C06">
        <w:rPr>
          <w:rFonts w:ascii="Arial" w:hAnsi="Arial" w:cs="Arial"/>
          <w:sz w:val="22"/>
          <w:szCs w:val="22"/>
        </w:rPr>
        <w:t xml:space="preserve">Aα </w:t>
      </w:r>
      <w:r w:rsidR="005C682E">
        <w:rPr>
          <w:rFonts w:ascii="Arial" w:hAnsi="Arial" w:cs="Arial"/>
          <w:sz w:val="22"/>
          <w:szCs w:val="22"/>
        </w:rPr>
        <w:t>R179 (mutant)</w:t>
      </w:r>
      <w:r w:rsidRPr="00797D2B">
        <w:rPr>
          <w:rFonts w:ascii="Arial" w:hAnsi="Arial" w:cs="Arial"/>
          <w:sz w:val="22"/>
          <w:szCs w:val="22"/>
        </w:rPr>
        <w:t xml:space="preserve"> </w:t>
      </w:r>
      <w:r w:rsidRPr="00C91C06">
        <w:rPr>
          <w:rFonts w:ascii="Arial" w:hAnsi="Arial" w:cs="Arial"/>
          <w:sz w:val="22"/>
          <w:szCs w:val="22"/>
        </w:rPr>
        <w:t>(</w:t>
      </w:r>
      <w:r w:rsidR="00945B6B">
        <w:rPr>
          <w:rFonts w:ascii="Arial" w:hAnsi="Arial" w:cs="Arial"/>
          <w:b/>
          <w:sz w:val="22"/>
          <w:szCs w:val="22"/>
        </w:rPr>
        <w:t>s</w:t>
      </w:r>
      <w:r w:rsidRPr="00C91C06">
        <w:rPr>
          <w:rFonts w:ascii="Arial" w:hAnsi="Arial" w:cs="Arial"/>
          <w:sz w:val="22"/>
          <w:szCs w:val="22"/>
        </w:rPr>
        <w:t>)</w:t>
      </w:r>
      <w:r w:rsidR="00376D2F">
        <w:rPr>
          <w:rFonts w:ascii="Arial" w:hAnsi="Arial" w:cs="Arial"/>
          <w:sz w:val="22"/>
          <w:szCs w:val="22"/>
        </w:rPr>
        <w:t>,</w:t>
      </w:r>
      <w:r w:rsidR="005C682E" w:rsidRPr="00C91C06">
        <w:rPr>
          <w:rFonts w:ascii="Arial" w:hAnsi="Arial" w:cs="Arial"/>
          <w:sz w:val="22"/>
          <w:szCs w:val="22"/>
        </w:rPr>
        <w:t xml:space="preserve"> and </w:t>
      </w:r>
      <w:r w:rsidR="00376D2F">
        <w:rPr>
          <w:rFonts w:ascii="Arial" w:hAnsi="Arial" w:cs="Arial"/>
          <w:sz w:val="22"/>
          <w:szCs w:val="22"/>
        </w:rPr>
        <w:t xml:space="preserve">for P179 </w:t>
      </w:r>
      <w:r>
        <w:rPr>
          <w:rFonts w:ascii="Arial" w:hAnsi="Arial" w:cs="Arial"/>
          <w:sz w:val="22"/>
          <w:szCs w:val="22"/>
        </w:rPr>
        <w:t>(</w:t>
      </w:r>
      <w:r w:rsidR="00945B6B">
        <w:rPr>
          <w:rFonts w:ascii="Arial" w:hAnsi="Arial" w:cs="Arial"/>
          <w:b/>
          <w:sz w:val="22"/>
          <w:szCs w:val="22"/>
        </w:rPr>
        <w:t>r</w:t>
      </w:r>
      <w:r>
        <w:rPr>
          <w:rFonts w:ascii="Arial" w:hAnsi="Arial" w:cs="Arial"/>
          <w:sz w:val="22"/>
          <w:szCs w:val="22"/>
        </w:rPr>
        <w:t xml:space="preserve">) </w:t>
      </w:r>
      <w:r w:rsidR="00376D2F">
        <w:rPr>
          <w:rFonts w:ascii="Arial" w:hAnsi="Arial" w:cs="Arial"/>
          <w:sz w:val="22"/>
          <w:szCs w:val="22"/>
        </w:rPr>
        <w:t xml:space="preserve">and </w:t>
      </w:r>
      <w:r w:rsidR="005C682E">
        <w:rPr>
          <w:rFonts w:ascii="Arial" w:hAnsi="Arial" w:cs="Arial"/>
          <w:sz w:val="22"/>
          <w:szCs w:val="22"/>
        </w:rPr>
        <w:t>R179</w:t>
      </w:r>
      <w:r w:rsidR="00376D2F" w:rsidRPr="00376D2F">
        <w:rPr>
          <w:rFonts w:ascii="Arial" w:hAnsi="Arial" w:cs="Arial"/>
          <w:sz w:val="22"/>
          <w:szCs w:val="22"/>
        </w:rPr>
        <w:t xml:space="preserve"> </w:t>
      </w:r>
      <w:r>
        <w:rPr>
          <w:rFonts w:ascii="Arial" w:hAnsi="Arial" w:cs="Arial"/>
          <w:sz w:val="22"/>
          <w:szCs w:val="22"/>
        </w:rPr>
        <w:t>(</w:t>
      </w:r>
      <w:r w:rsidR="009263CD">
        <w:rPr>
          <w:rFonts w:ascii="Arial" w:hAnsi="Arial" w:cs="Arial"/>
          <w:b/>
          <w:sz w:val="22"/>
          <w:szCs w:val="22"/>
        </w:rPr>
        <w:t>t</w:t>
      </w:r>
      <w:r>
        <w:rPr>
          <w:rFonts w:ascii="Arial" w:hAnsi="Arial" w:cs="Arial"/>
          <w:sz w:val="22"/>
          <w:szCs w:val="22"/>
        </w:rPr>
        <w:t xml:space="preserve">) </w:t>
      </w:r>
      <w:r w:rsidR="00376D2F">
        <w:rPr>
          <w:rFonts w:ascii="Arial" w:hAnsi="Arial" w:cs="Arial"/>
          <w:sz w:val="22"/>
          <w:szCs w:val="22"/>
        </w:rPr>
        <w:t>in the Aα/C complex</w:t>
      </w:r>
      <w:r w:rsidR="005C682E" w:rsidRPr="00C91C06">
        <w:rPr>
          <w:rFonts w:ascii="Arial" w:hAnsi="Arial" w:cs="Arial"/>
          <w:sz w:val="22"/>
          <w:szCs w:val="22"/>
        </w:rPr>
        <w:t xml:space="preserve">. The ω dihedral angle is defined as Cα-C-N-Cα preceding </w:t>
      </w:r>
      <w:r w:rsidR="008D4981">
        <w:rPr>
          <w:rFonts w:ascii="Arial" w:hAnsi="Arial" w:cs="Arial"/>
          <w:sz w:val="22"/>
          <w:szCs w:val="22"/>
        </w:rPr>
        <w:t xml:space="preserve">the </w:t>
      </w:r>
      <w:r w:rsidR="005C682E" w:rsidRPr="00C91C06">
        <w:rPr>
          <w:rFonts w:ascii="Arial" w:hAnsi="Arial" w:cs="Arial"/>
          <w:sz w:val="22"/>
          <w:szCs w:val="22"/>
        </w:rPr>
        <w:t>residue</w:t>
      </w:r>
      <w:r w:rsidR="008D4981">
        <w:rPr>
          <w:rFonts w:ascii="Arial" w:hAnsi="Arial" w:cs="Arial"/>
          <w:sz w:val="22"/>
          <w:szCs w:val="22"/>
        </w:rPr>
        <w:t xml:space="preserve"> at position</w:t>
      </w:r>
      <w:r w:rsidR="005C682E" w:rsidRPr="00C91C06">
        <w:rPr>
          <w:rFonts w:ascii="Arial" w:hAnsi="Arial" w:cs="Arial"/>
          <w:sz w:val="22"/>
          <w:szCs w:val="22"/>
        </w:rPr>
        <w:t xml:space="preserve"> 179 (0</w:t>
      </w:r>
      <w:r w:rsidR="005C682E" w:rsidRPr="00C91C06">
        <w:rPr>
          <w:rFonts w:ascii="Arial" w:hAnsi="Arial" w:cs="Arial"/>
          <w:sz w:val="22"/>
          <w:szCs w:val="22"/>
          <w:vertAlign w:val="superscript"/>
        </w:rPr>
        <w:t>o</w:t>
      </w:r>
      <w:r w:rsidR="005C682E" w:rsidRPr="00C91C06">
        <w:rPr>
          <w:rFonts w:ascii="Arial" w:hAnsi="Arial" w:cs="Arial"/>
          <w:sz w:val="22"/>
          <w:szCs w:val="22"/>
        </w:rPr>
        <w:t xml:space="preserve"> for </w:t>
      </w:r>
      <w:r w:rsidR="005C682E" w:rsidRPr="00C91C06">
        <w:rPr>
          <w:rFonts w:ascii="Arial" w:hAnsi="Arial" w:cs="Arial"/>
          <w:i/>
          <w:sz w:val="22"/>
          <w:szCs w:val="22"/>
        </w:rPr>
        <w:t>cis</w:t>
      </w:r>
      <w:r w:rsidR="005C682E" w:rsidRPr="00C91C06">
        <w:rPr>
          <w:rFonts w:ascii="Arial" w:hAnsi="Arial" w:cs="Arial"/>
          <w:sz w:val="22"/>
          <w:szCs w:val="22"/>
        </w:rPr>
        <w:t xml:space="preserve"> and ±180</w:t>
      </w:r>
      <w:r w:rsidR="005C682E" w:rsidRPr="00C91C06">
        <w:rPr>
          <w:rFonts w:ascii="Arial" w:hAnsi="Arial" w:cs="Arial"/>
          <w:sz w:val="22"/>
          <w:szCs w:val="22"/>
          <w:vertAlign w:val="superscript"/>
        </w:rPr>
        <w:t>o</w:t>
      </w:r>
      <w:r w:rsidR="005C682E" w:rsidRPr="00C91C06">
        <w:rPr>
          <w:rFonts w:ascii="Arial" w:hAnsi="Arial" w:cs="Arial"/>
          <w:sz w:val="22"/>
          <w:szCs w:val="22"/>
        </w:rPr>
        <w:t xml:space="preserve"> for </w:t>
      </w:r>
      <w:r w:rsidR="005C682E" w:rsidRPr="00C91C06">
        <w:rPr>
          <w:rFonts w:ascii="Arial" w:hAnsi="Arial" w:cs="Arial"/>
          <w:i/>
          <w:sz w:val="22"/>
          <w:szCs w:val="22"/>
        </w:rPr>
        <w:t xml:space="preserve">trans </w:t>
      </w:r>
      <w:r w:rsidR="005C682E" w:rsidRPr="00C91C06">
        <w:rPr>
          <w:rFonts w:ascii="Arial" w:hAnsi="Arial" w:cs="Arial"/>
          <w:sz w:val="22"/>
          <w:szCs w:val="22"/>
        </w:rPr>
        <w:t>configuration)</w:t>
      </w:r>
      <w:r w:rsidR="005C682E">
        <w:rPr>
          <w:rFonts w:ascii="Arial" w:hAnsi="Arial" w:cs="Arial"/>
          <w:sz w:val="22"/>
          <w:szCs w:val="22"/>
        </w:rPr>
        <w:t>.</w:t>
      </w:r>
    </w:p>
    <w:p w14:paraId="4114CAA0" w14:textId="6B50B85C" w:rsidR="00F67AE2" w:rsidRPr="009263CD" w:rsidRDefault="00F67AE2" w:rsidP="0027535A">
      <w:pPr>
        <w:spacing w:line="480" w:lineRule="auto"/>
        <w:rPr>
          <w:rFonts w:ascii="Arial" w:hAnsi="Arial" w:cs="Arial"/>
          <w:sz w:val="22"/>
          <w:szCs w:val="22"/>
        </w:rPr>
      </w:pPr>
    </w:p>
    <w:p w14:paraId="0410CB13" w14:textId="3F7C67D7" w:rsidR="001E10B3" w:rsidRDefault="00A069D5" w:rsidP="0027535A">
      <w:pPr>
        <w:spacing w:line="480" w:lineRule="auto"/>
        <w:rPr>
          <w:rFonts w:ascii="Arial" w:hAnsi="Arial"/>
          <w:b/>
          <w:sz w:val="22"/>
          <w:szCs w:val="22"/>
        </w:rPr>
      </w:pPr>
      <w:r>
        <w:rPr>
          <w:rFonts w:ascii="Arial" w:hAnsi="Arial"/>
          <w:b/>
          <w:sz w:val="22"/>
          <w:szCs w:val="22"/>
        </w:rPr>
        <w:t xml:space="preserve">Supplementary </w:t>
      </w:r>
      <w:r w:rsidR="00496913">
        <w:rPr>
          <w:rFonts w:ascii="Arial" w:hAnsi="Arial"/>
          <w:b/>
          <w:sz w:val="22"/>
          <w:szCs w:val="22"/>
        </w:rPr>
        <w:t>Figure 5</w:t>
      </w:r>
      <w:r w:rsidR="001E10B3">
        <w:rPr>
          <w:rFonts w:ascii="Arial" w:hAnsi="Arial"/>
          <w:b/>
          <w:sz w:val="22"/>
          <w:szCs w:val="22"/>
        </w:rPr>
        <w:t xml:space="preserve">. </w:t>
      </w:r>
    </w:p>
    <w:p w14:paraId="07A34F2A" w14:textId="34C3CB89" w:rsidR="008D3368" w:rsidRDefault="0027535A" w:rsidP="0027535A">
      <w:pPr>
        <w:spacing w:line="480" w:lineRule="auto"/>
        <w:rPr>
          <w:rFonts w:ascii="Arial" w:hAnsi="Arial"/>
          <w:sz w:val="22"/>
          <w:szCs w:val="22"/>
        </w:rPr>
      </w:pPr>
      <w:r>
        <w:rPr>
          <w:rFonts w:ascii="Arial" w:hAnsi="Arial"/>
          <w:b/>
          <w:sz w:val="22"/>
          <w:szCs w:val="22"/>
        </w:rPr>
        <w:t>a</w:t>
      </w:r>
      <w:r w:rsidR="00797D2B">
        <w:rPr>
          <w:rFonts w:ascii="Arial" w:hAnsi="Arial"/>
          <w:sz w:val="22"/>
          <w:szCs w:val="22"/>
        </w:rPr>
        <w:t xml:space="preserve">, </w:t>
      </w:r>
      <w:r w:rsidR="006443C4">
        <w:rPr>
          <w:rFonts w:ascii="Arial" w:hAnsi="Arial"/>
          <w:sz w:val="22"/>
          <w:szCs w:val="22"/>
        </w:rPr>
        <w:t xml:space="preserve">Western blots of protein isolated from patient tumor tissue. Samples are part of the Case CCC biobank; tumor ID, stage / grade, and </w:t>
      </w:r>
      <w:r w:rsidR="006443C4">
        <w:rPr>
          <w:rFonts w:ascii="Arial" w:hAnsi="Arial"/>
          <w:i/>
          <w:sz w:val="22"/>
          <w:szCs w:val="22"/>
        </w:rPr>
        <w:t xml:space="preserve">PPP2R1A </w:t>
      </w:r>
      <w:r w:rsidR="006443C4">
        <w:rPr>
          <w:rFonts w:ascii="Arial" w:hAnsi="Arial"/>
          <w:sz w:val="22"/>
          <w:szCs w:val="22"/>
        </w:rPr>
        <w:t>status are indicated above images.</w:t>
      </w:r>
      <w:r w:rsidR="004371BA">
        <w:rPr>
          <w:rFonts w:ascii="Arial" w:hAnsi="Arial"/>
          <w:sz w:val="22"/>
          <w:szCs w:val="22"/>
        </w:rPr>
        <w:t xml:space="preserve"> Samples have been evaluated for abundance of PP2A subunits A, B55α, and C. </w:t>
      </w:r>
      <w:r w:rsidR="008D1A16">
        <w:rPr>
          <w:rFonts w:ascii="Arial" w:hAnsi="Arial"/>
          <w:sz w:val="22"/>
          <w:szCs w:val="22"/>
        </w:rPr>
        <w:t xml:space="preserve">Normalization </w:t>
      </w:r>
      <w:proofErr w:type="spellStart"/>
      <w:r w:rsidR="008D1A16">
        <w:rPr>
          <w:rFonts w:ascii="Arial" w:hAnsi="Arial"/>
          <w:sz w:val="22"/>
          <w:szCs w:val="22"/>
        </w:rPr>
        <w:t>std</w:t>
      </w:r>
      <w:proofErr w:type="spellEnd"/>
      <w:r w:rsidR="008D1A16">
        <w:rPr>
          <w:rFonts w:ascii="Arial" w:hAnsi="Arial"/>
          <w:sz w:val="22"/>
          <w:szCs w:val="22"/>
        </w:rPr>
        <w:t xml:space="preserve"> = isolated tumor protein that was prepped at double volumes and loaded equally in both gels. </w:t>
      </w:r>
      <w:r>
        <w:rPr>
          <w:rFonts w:ascii="Arial" w:hAnsi="Arial"/>
          <w:b/>
          <w:sz w:val="22"/>
          <w:szCs w:val="22"/>
        </w:rPr>
        <w:t>b</w:t>
      </w:r>
      <w:r w:rsidR="00797D2B">
        <w:rPr>
          <w:rFonts w:ascii="Arial" w:hAnsi="Arial"/>
          <w:sz w:val="22"/>
          <w:szCs w:val="22"/>
        </w:rPr>
        <w:t xml:space="preserve">, </w:t>
      </w:r>
      <w:r w:rsidR="007D6A2F">
        <w:rPr>
          <w:rFonts w:ascii="Arial" w:hAnsi="Arial"/>
          <w:sz w:val="22"/>
          <w:szCs w:val="22"/>
        </w:rPr>
        <w:t>Calculated ratio of C-subunit or B55α-subunit relative to A-subunit for individual tumor samples. Quantifications for each protein were</w:t>
      </w:r>
      <w:r w:rsidR="004371BA">
        <w:rPr>
          <w:rFonts w:ascii="Arial" w:hAnsi="Arial"/>
          <w:sz w:val="22"/>
          <w:szCs w:val="22"/>
        </w:rPr>
        <w:t xml:space="preserve"> normalized to densitometry of </w:t>
      </w:r>
      <w:proofErr w:type="spellStart"/>
      <w:r w:rsidR="004371BA">
        <w:rPr>
          <w:rFonts w:ascii="Arial" w:hAnsi="Arial"/>
          <w:sz w:val="22"/>
          <w:szCs w:val="22"/>
        </w:rPr>
        <w:t>stainfree</w:t>
      </w:r>
      <w:proofErr w:type="spellEnd"/>
      <w:r w:rsidR="004371BA">
        <w:rPr>
          <w:rFonts w:ascii="Arial" w:hAnsi="Arial"/>
          <w:sz w:val="22"/>
          <w:szCs w:val="22"/>
        </w:rPr>
        <w:t xml:space="preserve"> images </w:t>
      </w:r>
      <w:r w:rsidR="004371BA">
        <w:rPr>
          <w:rFonts w:ascii="Arial" w:hAnsi="Arial"/>
          <w:sz w:val="22"/>
          <w:szCs w:val="22"/>
        </w:rPr>
        <w:lastRenderedPageBreak/>
        <w:t>of tota</w:t>
      </w:r>
      <w:r w:rsidR="007D6A2F">
        <w:rPr>
          <w:rFonts w:ascii="Arial" w:hAnsi="Arial"/>
          <w:sz w:val="22"/>
          <w:szCs w:val="22"/>
        </w:rPr>
        <w:t xml:space="preserve">l protein content per lane. </w:t>
      </w:r>
      <w:r>
        <w:rPr>
          <w:rFonts w:ascii="Arial" w:hAnsi="Arial"/>
          <w:b/>
          <w:sz w:val="22"/>
          <w:szCs w:val="22"/>
        </w:rPr>
        <w:t>c</w:t>
      </w:r>
      <w:r w:rsidR="00797D2B">
        <w:rPr>
          <w:rFonts w:ascii="Arial" w:hAnsi="Arial"/>
          <w:sz w:val="22"/>
          <w:szCs w:val="22"/>
        </w:rPr>
        <w:t xml:space="preserve">, </w:t>
      </w:r>
      <w:proofErr w:type="spellStart"/>
      <w:r w:rsidR="000B1B81">
        <w:rPr>
          <w:rFonts w:ascii="Arial" w:hAnsi="Arial"/>
          <w:sz w:val="22"/>
          <w:szCs w:val="22"/>
        </w:rPr>
        <w:t>Stainfree</w:t>
      </w:r>
      <w:proofErr w:type="spellEnd"/>
      <w:r w:rsidR="000B1B81">
        <w:rPr>
          <w:rFonts w:ascii="Arial" w:hAnsi="Arial"/>
          <w:sz w:val="22"/>
          <w:szCs w:val="22"/>
        </w:rPr>
        <w:t xml:space="preserve"> images </w:t>
      </w:r>
      <w:r w:rsidR="001B2F10">
        <w:rPr>
          <w:rFonts w:ascii="Arial" w:hAnsi="Arial"/>
          <w:sz w:val="22"/>
          <w:szCs w:val="22"/>
        </w:rPr>
        <w:t>of</w:t>
      </w:r>
      <w:r w:rsidR="000B1B81">
        <w:rPr>
          <w:rFonts w:ascii="Arial" w:hAnsi="Arial"/>
          <w:sz w:val="22"/>
          <w:szCs w:val="22"/>
        </w:rPr>
        <w:t xml:space="preserve"> each </w:t>
      </w:r>
      <w:r w:rsidR="001B2F10">
        <w:rPr>
          <w:rFonts w:ascii="Arial" w:hAnsi="Arial"/>
          <w:sz w:val="22"/>
          <w:szCs w:val="22"/>
        </w:rPr>
        <w:t>membrane</w:t>
      </w:r>
      <w:r w:rsidR="000B1B81">
        <w:rPr>
          <w:rFonts w:ascii="Arial" w:hAnsi="Arial"/>
          <w:sz w:val="22"/>
          <w:szCs w:val="22"/>
        </w:rPr>
        <w:t xml:space="preserve">. </w:t>
      </w:r>
      <w:r w:rsidR="004371BA">
        <w:rPr>
          <w:rFonts w:ascii="Arial" w:hAnsi="Arial"/>
          <w:sz w:val="22"/>
          <w:szCs w:val="22"/>
        </w:rPr>
        <w:t xml:space="preserve">Data presented as mean </w:t>
      </w:r>
      <w:r w:rsidR="004371BA">
        <w:rPr>
          <w:rFonts w:ascii="Arial" w:hAnsi="Arial" w:cs="Arial"/>
          <w:sz w:val="22"/>
          <w:szCs w:val="22"/>
        </w:rPr>
        <w:t xml:space="preserve">± </w:t>
      </w:r>
      <w:r w:rsidR="004371BA">
        <w:rPr>
          <w:rFonts w:ascii="Arial" w:hAnsi="Arial"/>
          <w:sz w:val="22"/>
          <w:szCs w:val="22"/>
        </w:rPr>
        <w:t xml:space="preserve">SEM. </w:t>
      </w:r>
      <w:r w:rsidR="004371BA">
        <w:rPr>
          <w:rFonts w:ascii="Arial" w:hAnsi="Arial" w:cs="Arial"/>
          <w:sz w:val="22"/>
          <w:szCs w:val="22"/>
        </w:rPr>
        <w:t xml:space="preserve">Statistical significance was determined by Student’s t-test. * p ≤ 0.05, ** p ≤ 0.01, *** p ≤ 0.001, </w:t>
      </w:r>
      <w:proofErr w:type="spellStart"/>
      <w:r w:rsidR="004371BA">
        <w:rPr>
          <w:rFonts w:ascii="Arial" w:hAnsi="Arial" w:cs="Arial"/>
          <w:sz w:val="22"/>
          <w:szCs w:val="22"/>
        </w:rPr>
        <w:t>n.s</w:t>
      </w:r>
      <w:proofErr w:type="spellEnd"/>
      <w:r w:rsidR="004371BA">
        <w:rPr>
          <w:rFonts w:ascii="Arial" w:hAnsi="Arial" w:cs="Arial"/>
          <w:sz w:val="22"/>
          <w:szCs w:val="22"/>
        </w:rPr>
        <w:t>. = not significant.</w:t>
      </w:r>
    </w:p>
    <w:p w14:paraId="6D1E788E" w14:textId="77777777" w:rsidR="00496913" w:rsidRPr="00496913" w:rsidRDefault="00496913" w:rsidP="0027535A">
      <w:pPr>
        <w:spacing w:line="480" w:lineRule="auto"/>
        <w:rPr>
          <w:rFonts w:ascii="Arial" w:hAnsi="Arial"/>
          <w:sz w:val="22"/>
          <w:szCs w:val="22"/>
        </w:rPr>
      </w:pPr>
    </w:p>
    <w:p w14:paraId="64D74CF7" w14:textId="32419EF2" w:rsidR="000758C0" w:rsidRDefault="00A069D5" w:rsidP="0027535A">
      <w:pPr>
        <w:spacing w:line="480" w:lineRule="auto"/>
        <w:rPr>
          <w:rFonts w:ascii="Arial" w:hAnsi="Arial" w:cs="Arial"/>
          <w:b/>
          <w:sz w:val="22"/>
          <w:szCs w:val="22"/>
        </w:rPr>
      </w:pPr>
      <w:r>
        <w:rPr>
          <w:rFonts w:ascii="Arial" w:hAnsi="Arial"/>
          <w:b/>
          <w:sz w:val="22"/>
          <w:szCs w:val="22"/>
        </w:rPr>
        <w:t xml:space="preserve">Supplementary </w:t>
      </w:r>
      <w:r w:rsidR="00496913">
        <w:rPr>
          <w:rFonts w:ascii="Arial" w:hAnsi="Arial" w:cs="Arial"/>
          <w:b/>
          <w:sz w:val="22"/>
          <w:szCs w:val="22"/>
        </w:rPr>
        <w:t>Figure 6</w:t>
      </w:r>
      <w:r w:rsidR="000758C0">
        <w:rPr>
          <w:rFonts w:ascii="Arial" w:hAnsi="Arial" w:cs="Arial"/>
          <w:b/>
          <w:sz w:val="22"/>
          <w:szCs w:val="22"/>
        </w:rPr>
        <w:t>.</w:t>
      </w:r>
    </w:p>
    <w:p w14:paraId="7E527A63" w14:textId="4B949956" w:rsidR="000111BC" w:rsidRDefault="00A069D5" w:rsidP="0027535A">
      <w:pPr>
        <w:spacing w:line="480" w:lineRule="auto"/>
        <w:rPr>
          <w:rFonts w:ascii="Arial" w:hAnsi="Arial"/>
          <w:sz w:val="22"/>
          <w:szCs w:val="22"/>
        </w:rPr>
      </w:pPr>
      <w:r w:rsidRPr="003302E6">
        <w:rPr>
          <w:rFonts w:ascii="Arial" w:hAnsi="Arial"/>
          <w:b/>
          <w:sz w:val="22"/>
          <w:szCs w:val="22"/>
        </w:rPr>
        <w:t>a</w:t>
      </w:r>
      <w:r>
        <w:rPr>
          <w:rFonts w:ascii="Arial" w:hAnsi="Arial"/>
          <w:sz w:val="22"/>
          <w:szCs w:val="22"/>
        </w:rPr>
        <w:t xml:space="preserve">, </w:t>
      </w:r>
      <w:r w:rsidR="000758C0">
        <w:rPr>
          <w:rFonts w:ascii="Arial" w:hAnsi="Arial"/>
          <w:sz w:val="22"/>
          <w:szCs w:val="22"/>
        </w:rPr>
        <w:t>Representative images of colony formation by</w:t>
      </w:r>
      <w:r w:rsidR="002A65B4">
        <w:rPr>
          <w:rFonts w:ascii="Arial" w:hAnsi="Arial"/>
          <w:sz w:val="22"/>
          <w:szCs w:val="22"/>
        </w:rPr>
        <w:t xml:space="preserve"> UT89 cells expressing EGFP, WT-</w:t>
      </w:r>
      <w:r w:rsidR="000758C0">
        <w:rPr>
          <w:rFonts w:ascii="Arial" w:hAnsi="Arial"/>
          <w:sz w:val="22"/>
          <w:szCs w:val="22"/>
        </w:rPr>
        <w:t>A</w:t>
      </w:r>
      <w:r w:rsidR="002A65B4">
        <w:rPr>
          <w:rFonts w:ascii="Arial" w:hAnsi="Arial" w:cs="Arial"/>
          <w:sz w:val="22"/>
          <w:szCs w:val="22"/>
        </w:rPr>
        <w:t>α, or P179R-</w:t>
      </w:r>
      <w:r w:rsidR="000758C0">
        <w:rPr>
          <w:rFonts w:ascii="Arial" w:hAnsi="Arial"/>
          <w:sz w:val="22"/>
          <w:szCs w:val="22"/>
        </w:rPr>
        <w:t>A</w:t>
      </w:r>
      <w:r w:rsidR="000758C0">
        <w:rPr>
          <w:rFonts w:ascii="Arial" w:hAnsi="Arial" w:cs="Arial"/>
          <w:sz w:val="22"/>
          <w:szCs w:val="22"/>
        </w:rPr>
        <w:t xml:space="preserve">α (n=3). </w:t>
      </w:r>
      <w:r>
        <w:rPr>
          <w:rFonts w:ascii="Arial" w:hAnsi="Arial"/>
          <w:b/>
          <w:sz w:val="22"/>
          <w:szCs w:val="22"/>
        </w:rPr>
        <w:t>b</w:t>
      </w:r>
      <w:r>
        <w:rPr>
          <w:rFonts w:ascii="Arial" w:hAnsi="Arial"/>
          <w:sz w:val="22"/>
          <w:szCs w:val="22"/>
        </w:rPr>
        <w:t xml:space="preserve">, </w:t>
      </w:r>
      <w:r w:rsidR="000758C0">
        <w:rPr>
          <w:rFonts w:ascii="Arial" w:hAnsi="Arial" w:cs="Arial"/>
          <w:sz w:val="22"/>
          <w:szCs w:val="22"/>
        </w:rPr>
        <w:t xml:space="preserve">Growth of UT89 </w:t>
      </w:r>
      <w:r w:rsidR="001B1F67">
        <w:rPr>
          <w:rFonts w:ascii="Arial" w:hAnsi="Arial"/>
          <w:sz w:val="22"/>
          <w:szCs w:val="22"/>
        </w:rPr>
        <w:t>EGFP, WT-</w:t>
      </w:r>
      <w:r w:rsidR="000758C0">
        <w:rPr>
          <w:rFonts w:ascii="Arial" w:hAnsi="Arial"/>
          <w:sz w:val="22"/>
          <w:szCs w:val="22"/>
        </w:rPr>
        <w:t>A</w:t>
      </w:r>
      <w:r w:rsidR="002A65B4">
        <w:rPr>
          <w:rFonts w:ascii="Arial" w:hAnsi="Arial" w:cs="Arial"/>
          <w:sz w:val="22"/>
          <w:szCs w:val="22"/>
        </w:rPr>
        <w:t>α, or P179R-</w:t>
      </w:r>
      <w:r w:rsidR="000758C0">
        <w:rPr>
          <w:rFonts w:ascii="Arial" w:hAnsi="Arial"/>
          <w:sz w:val="22"/>
          <w:szCs w:val="22"/>
        </w:rPr>
        <w:t>A</w:t>
      </w:r>
      <w:r w:rsidR="000758C0">
        <w:rPr>
          <w:rFonts w:ascii="Arial" w:hAnsi="Arial" w:cs="Arial"/>
          <w:sz w:val="22"/>
          <w:szCs w:val="22"/>
        </w:rPr>
        <w:t>α tumors that formed following sub-cutaneous cell injection in nude mice</w:t>
      </w:r>
      <w:r w:rsidR="00F016D5">
        <w:rPr>
          <w:rFonts w:ascii="Arial" w:hAnsi="Arial" w:cs="Arial"/>
          <w:sz w:val="22"/>
          <w:szCs w:val="22"/>
        </w:rPr>
        <w:t xml:space="preserve"> (n=10)</w:t>
      </w:r>
      <w:r w:rsidR="000758C0">
        <w:rPr>
          <w:rFonts w:ascii="Arial" w:hAnsi="Arial" w:cs="Arial"/>
          <w:sz w:val="22"/>
          <w:szCs w:val="22"/>
        </w:rPr>
        <w:t xml:space="preserve">. </w:t>
      </w:r>
      <w:r w:rsidR="00F016D5">
        <w:rPr>
          <w:rFonts w:ascii="Arial" w:hAnsi="Arial" w:cs="Arial"/>
          <w:sz w:val="22"/>
          <w:szCs w:val="22"/>
        </w:rPr>
        <w:t xml:space="preserve">Volume measurements presented as group mean ± </w:t>
      </w:r>
      <w:r w:rsidR="00F016D5">
        <w:rPr>
          <w:rFonts w:ascii="Arial" w:hAnsi="Arial"/>
          <w:sz w:val="22"/>
          <w:szCs w:val="22"/>
        </w:rPr>
        <w:t>SEM.</w:t>
      </w:r>
      <w:r w:rsidR="006F210C">
        <w:rPr>
          <w:rFonts w:ascii="Arial" w:hAnsi="Arial"/>
          <w:sz w:val="22"/>
          <w:szCs w:val="22"/>
        </w:rPr>
        <w:t xml:space="preserve"> </w:t>
      </w:r>
      <w:r w:rsidR="006F210C">
        <w:rPr>
          <w:rFonts w:ascii="Arial" w:hAnsi="Arial" w:cs="Arial"/>
          <w:sz w:val="22"/>
          <w:szCs w:val="22"/>
        </w:rPr>
        <w:t>Statistical significance was determined by Student’s t-test. * p ≤ 0.05</w:t>
      </w:r>
      <w:r w:rsidR="0036339C">
        <w:rPr>
          <w:rFonts w:ascii="Arial" w:hAnsi="Arial" w:cs="Arial"/>
          <w:sz w:val="22"/>
          <w:szCs w:val="22"/>
        </w:rPr>
        <w:t>.</w:t>
      </w:r>
      <w:r w:rsidR="00496913">
        <w:rPr>
          <w:rFonts w:ascii="Arial" w:hAnsi="Arial"/>
          <w:sz w:val="22"/>
          <w:szCs w:val="22"/>
        </w:rPr>
        <w:t xml:space="preserve"> </w:t>
      </w:r>
      <w:r w:rsidR="00496913">
        <w:rPr>
          <w:rFonts w:ascii="Arial" w:hAnsi="Arial"/>
          <w:b/>
          <w:sz w:val="22"/>
          <w:szCs w:val="22"/>
        </w:rPr>
        <w:t>c</w:t>
      </w:r>
      <w:r>
        <w:rPr>
          <w:rFonts w:ascii="Arial" w:hAnsi="Arial"/>
          <w:sz w:val="22"/>
          <w:szCs w:val="22"/>
        </w:rPr>
        <w:t xml:space="preserve">, </w:t>
      </w:r>
      <w:r w:rsidR="00E933EB">
        <w:rPr>
          <w:rFonts w:ascii="Arial" w:hAnsi="Arial" w:cs="Arial"/>
          <w:sz w:val="22"/>
          <w:szCs w:val="22"/>
        </w:rPr>
        <w:t xml:space="preserve">Summary table of the number of animals per experimental group and distribution across days of intra-uterine </w:t>
      </w:r>
      <w:r w:rsidR="00320867">
        <w:rPr>
          <w:rFonts w:ascii="Arial" w:hAnsi="Arial" w:cs="Arial"/>
          <w:sz w:val="22"/>
          <w:szCs w:val="22"/>
        </w:rPr>
        <w:t xml:space="preserve">UT42 </w:t>
      </w:r>
      <w:r w:rsidR="00E933EB">
        <w:rPr>
          <w:rFonts w:ascii="Arial" w:hAnsi="Arial" w:cs="Arial"/>
          <w:sz w:val="22"/>
          <w:szCs w:val="22"/>
        </w:rPr>
        <w:t xml:space="preserve">cell injection. Compiled images of the isolated gynecologic tracts show </w:t>
      </w:r>
      <w:r w:rsidR="009952AA">
        <w:rPr>
          <w:rFonts w:ascii="Arial" w:hAnsi="Arial" w:cs="Arial"/>
          <w:sz w:val="22"/>
          <w:szCs w:val="22"/>
        </w:rPr>
        <w:t xml:space="preserve">the </w:t>
      </w:r>
      <w:r w:rsidR="001B404D">
        <w:rPr>
          <w:rFonts w:ascii="Arial" w:hAnsi="Arial" w:cs="Arial"/>
          <w:sz w:val="22"/>
          <w:szCs w:val="22"/>
        </w:rPr>
        <w:t xml:space="preserve">uterine </w:t>
      </w:r>
      <w:r w:rsidR="009952AA">
        <w:rPr>
          <w:rFonts w:ascii="Arial" w:hAnsi="Arial" w:cs="Arial"/>
          <w:sz w:val="22"/>
          <w:szCs w:val="22"/>
        </w:rPr>
        <w:t>corpus</w:t>
      </w:r>
      <w:r w:rsidR="00E933EB">
        <w:rPr>
          <w:rFonts w:ascii="Arial" w:hAnsi="Arial" w:cs="Arial"/>
          <w:sz w:val="22"/>
          <w:szCs w:val="22"/>
        </w:rPr>
        <w:t xml:space="preserve"> gross appearance and tumor presence; image borders are color-coded to indicate the day of injection.</w:t>
      </w:r>
      <w:r w:rsidR="00A0785E">
        <w:rPr>
          <w:rFonts w:ascii="Arial" w:hAnsi="Arial" w:cs="Arial"/>
          <w:sz w:val="22"/>
          <w:szCs w:val="22"/>
        </w:rPr>
        <w:t xml:space="preserve"> # - </w:t>
      </w:r>
      <w:r w:rsidR="003D330A">
        <w:rPr>
          <w:rFonts w:ascii="Arial" w:hAnsi="Arial" w:cs="Arial"/>
          <w:sz w:val="22"/>
          <w:szCs w:val="22"/>
        </w:rPr>
        <w:t xml:space="preserve">denotes animals judged to have no macroscopic / gross tumor presence. </w:t>
      </w:r>
      <w:r w:rsidR="00496913">
        <w:rPr>
          <w:rFonts w:ascii="Arial" w:hAnsi="Arial"/>
          <w:b/>
          <w:sz w:val="22"/>
          <w:szCs w:val="22"/>
        </w:rPr>
        <w:t>d</w:t>
      </w:r>
      <w:r>
        <w:rPr>
          <w:rFonts w:ascii="Arial" w:hAnsi="Arial"/>
          <w:sz w:val="22"/>
          <w:szCs w:val="22"/>
        </w:rPr>
        <w:t xml:space="preserve">, </w:t>
      </w:r>
      <w:r w:rsidR="0083510C">
        <w:rPr>
          <w:rFonts w:ascii="Arial" w:hAnsi="Arial" w:cs="Arial"/>
          <w:sz w:val="22"/>
          <w:szCs w:val="22"/>
        </w:rPr>
        <w:t>Summary table of the number of animals per group presenting with primary uterine tumor formation and metastasis at 8 weeks post-injection</w:t>
      </w:r>
      <w:r w:rsidR="0083510C" w:rsidRPr="007E5115">
        <w:rPr>
          <w:rFonts w:ascii="Arial" w:hAnsi="Arial" w:cs="Arial"/>
          <w:sz w:val="22"/>
          <w:szCs w:val="22"/>
        </w:rPr>
        <w:t xml:space="preserve"> </w:t>
      </w:r>
      <w:r w:rsidR="0083510C">
        <w:rPr>
          <w:rFonts w:ascii="Arial" w:hAnsi="Arial" w:cs="Arial"/>
          <w:sz w:val="22"/>
          <w:szCs w:val="22"/>
        </w:rPr>
        <w:t>of tu</w:t>
      </w:r>
      <w:r w:rsidR="001B1F67">
        <w:rPr>
          <w:rFonts w:ascii="Arial" w:hAnsi="Arial" w:cs="Arial"/>
          <w:sz w:val="22"/>
          <w:szCs w:val="22"/>
        </w:rPr>
        <w:t>mor cells expressing EGFP or WT-</w:t>
      </w:r>
      <w:r w:rsidR="0083510C">
        <w:rPr>
          <w:rFonts w:ascii="Arial" w:hAnsi="Arial" w:cs="Arial"/>
          <w:sz w:val="22"/>
          <w:szCs w:val="22"/>
        </w:rPr>
        <w:t xml:space="preserve">Aα (n=7). Tumor cell presence in uterine tumor foci and suspected metastatic nodules was confirmed through microscopic inspection of H&amp;E stained slides. </w:t>
      </w:r>
      <w:r w:rsidR="00496913">
        <w:rPr>
          <w:rFonts w:ascii="Arial" w:hAnsi="Arial" w:cs="Arial"/>
          <w:b/>
          <w:sz w:val="22"/>
          <w:szCs w:val="22"/>
        </w:rPr>
        <w:t>e</w:t>
      </w:r>
      <w:r w:rsidR="009402A2">
        <w:rPr>
          <w:rFonts w:ascii="Arial" w:hAnsi="Arial" w:cs="Arial"/>
          <w:sz w:val="22"/>
          <w:szCs w:val="22"/>
        </w:rPr>
        <w:t xml:space="preserve">, H&amp;E stained section of representative metastatic nodules </w:t>
      </w:r>
      <w:r w:rsidR="00070650">
        <w:rPr>
          <w:rFonts w:ascii="Arial" w:hAnsi="Arial" w:cs="Arial"/>
          <w:sz w:val="22"/>
          <w:szCs w:val="22"/>
        </w:rPr>
        <w:t xml:space="preserve">(left, middle) </w:t>
      </w:r>
      <w:r w:rsidR="009402A2">
        <w:rPr>
          <w:rFonts w:ascii="Arial" w:hAnsi="Arial" w:cs="Arial"/>
          <w:sz w:val="22"/>
          <w:szCs w:val="22"/>
        </w:rPr>
        <w:t>and a liver parenchymal metastasis</w:t>
      </w:r>
      <w:r w:rsidR="00070650">
        <w:rPr>
          <w:rFonts w:ascii="Arial" w:hAnsi="Arial" w:cs="Arial"/>
          <w:sz w:val="22"/>
          <w:szCs w:val="22"/>
        </w:rPr>
        <w:t xml:space="preserve"> (left, right)</w:t>
      </w:r>
      <w:r w:rsidR="000D5B7C">
        <w:rPr>
          <w:rFonts w:ascii="Arial" w:hAnsi="Arial" w:cs="Arial"/>
          <w:sz w:val="22"/>
          <w:szCs w:val="22"/>
        </w:rPr>
        <w:t xml:space="preserve"> from an EGFP animal</w:t>
      </w:r>
      <w:r w:rsidR="009402A2">
        <w:rPr>
          <w:rFonts w:ascii="Arial" w:hAnsi="Arial" w:cs="Arial"/>
          <w:sz w:val="22"/>
          <w:szCs w:val="22"/>
        </w:rPr>
        <w:t>. Images are 0.36x (scale bar = 1 mm)</w:t>
      </w:r>
      <w:r w:rsidR="00081957">
        <w:rPr>
          <w:rFonts w:ascii="Arial" w:hAnsi="Arial" w:cs="Arial"/>
          <w:sz w:val="22"/>
          <w:szCs w:val="22"/>
        </w:rPr>
        <w:t xml:space="preserve">, 4x (scale bar = 100 </w:t>
      </w:r>
      <w:proofErr w:type="spellStart"/>
      <w:r w:rsidR="00081957">
        <w:rPr>
          <w:rFonts w:ascii="Arial" w:hAnsi="Arial" w:cs="Arial"/>
          <w:sz w:val="22"/>
          <w:szCs w:val="22"/>
        </w:rPr>
        <w:t>μm</w:t>
      </w:r>
      <w:proofErr w:type="spellEnd"/>
      <w:r w:rsidR="00081957">
        <w:rPr>
          <w:rFonts w:ascii="Arial" w:hAnsi="Arial" w:cs="Arial"/>
          <w:sz w:val="22"/>
          <w:szCs w:val="22"/>
        </w:rPr>
        <w:t>),</w:t>
      </w:r>
      <w:r w:rsidR="009402A2">
        <w:rPr>
          <w:rFonts w:ascii="Arial" w:hAnsi="Arial" w:cs="Arial"/>
          <w:sz w:val="22"/>
          <w:szCs w:val="22"/>
        </w:rPr>
        <w:t xml:space="preserve"> and 10x (scale bar = 100 </w:t>
      </w:r>
      <w:proofErr w:type="spellStart"/>
      <w:r w:rsidR="009402A2">
        <w:rPr>
          <w:rFonts w:ascii="Arial" w:hAnsi="Arial" w:cs="Arial"/>
          <w:sz w:val="22"/>
          <w:szCs w:val="22"/>
        </w:rPr>
        <w:t>μm</w:t>
      </w:r>
      <w:proofErr w:type="spellEnd"/>
      <w:r w:rsidR="009402A2">
        <w:rPr>
          <w:rFonts w:ascii="Arial" w:hAnsi="Arial" w:cs="Arial"/>
          <w:sz w:val="22"/>
          <w:szCs w:val="22"/>
        </w:rPr>
        <w:t>).</w:t>
      </w:r>
      <w:r w:rsidR="00A54D6B">
        <w:rPr>
          <w:rFonts w:ascii="Arial" w:hAnsi="Arial" w:cs="Arial"/>
          <w:sz w:val="22"/>
          <w:szCs w:val="22"/>
        </w:rPr>
        <w:t xml:space="preserve"> </w:t>
      </w:r>
      <w:r w:rsidR="00496913">
        <w:rPr>
          <w:rFonts w:ascii="Arial" w:hAnsi="Arial" w:cs="Arial"/>
          <w:b/>
          <w:sz w:val="22"/>
          <w:szCs w:val="22"/>
        </w:rPr>
        <w:t>f</w:t>
      </w:r>
      <w:r w:rsidR="00A54D6B">
        <w:rPr>
          <w:rFonts w:ascii="Arial" w:hAnsi="Arial" w:cs="Arial"/>
          <w:sz w:val="22"/>
          <w:szCs w:val="22"/>
        </w:rPr>
        <w:t xml:space="preserve">, </w:t>
      </w:r>
      <w:r w:rsidR="00430BF8">
        <w:rPr>
          <w:rFonts w:ascii="Arial" w:hAnsi="Arial" w:cs="Arial"/>
          <w:sz w:val="22"/>
          <w:szCs w:val="22"/>
        </w:rPr>
        <w:t>Wound closure was assessed via</w:t>
      </w:r>
      <w:r w:rsidR="00A54D6B">
        <w:rPr>
          <w:rFonts w:ascii="Arial" w:hAnsi="Arial" w:cs="Arial"/>
          <w:sz w:val="22"/>
          <w:szCs w:val="22"/>
        </w:rPr>
        <w:t xml:space="preserve"> scratch wound assay </w:t>
      </w:r>
      <w:r w:rsidR="00430BF8">
        <w:rPr>
          <w:rFonts w:ascii="Arial" w:hAnsi="Arial" w:cs="Arial"/>
          <w:sz w:val="22"/>
          <w:szCs w:val="22"/>
        </w:rPr>
        <w:t xml:space="preserve">and </w:t>
      </w:r>
      <w:r w:rsidR="00A54D6B">
        <w:rPr>
          <w:rFonts w:ascii="Arial" w:hAnsi="Arial" w:cs="Arial"/>
          <w:sz w:val="22"/>
          <w:szCs w:val="22"/>
        </w:rPr>
        <w:t>revealed no significant reduction in migratory behavior for cells expressing WT-Aα relative to those expressing EGFP</w:t>
      </w:r>
      <w:r w:rsidR="00430BF8">
        <w:rPr>
          <w:rFonts w:ascii="Arial" w:hAnsi="Arial" w:cs="Arial"/>
          <w:sz w:val="22"/>
          <w:szCs w:val="22"/>
        </w:rPr>
        <w:t xml:space="preserve"> (n=3)</w:t>
      </w:r>
      <w:r w:rsidR="00A54D6B">
        <w:rPr>
          <w:rFonts w:ascii="Arial" w:hAnsi="Arial" w:cs="Arial"/>
          <w:sz w:val="22"/>
          <w:szCs w:val="22"/>
        </w:rPr>
        <w:t>.</w:t>
      </w:r>
    </w:p>
    <w:p w14:paraId="3C205783" w14:textId="77777777" w:rsidR="000111BC" w:rsidRDefault="000111BC" w:rsidP="0027535A">
      <w:pPr>
        <w:spacing w:line="480" w:lineRule="auto"/>
        <w:rPr>
          <w:rFonts w:ascii="Arial" w:hAnsi="Arial"/>
          <w:sz w:val="22"/>
          <w:szCs w:val="22"/>
        </w:rPr>
      </w:pPr>
    </w:p>
    <w:p w14:paraId="1FE0E87D" w14:textId="0BDF9E4D" w:rsidR="00A54D6B" w:rsidRPr="00E933EB" w:rsidRDefault="00A54D6B" w:rsidP="0027535A">
      <w:pPr>
        <w:spacing w:line="480" w:lineRule="auto"/>
        <w:rPr>
          <w:rFonts w:ascii="Arial" w:hAnsi="Arial"/>
          <w:b/>
          <w:sz w:val="22"/>
          <w:szCs w:val="22"/>
        </w:rPr>
      </w:pPr>
      <w:r>
        <w:rPr>
          <w:rFonts w:ascii="Arial" w:hAnsi="Arial"/>
          <w:b/>
          <w:sz w:val="22"/>
          <w:szCs w:val="22"/>
        </w:rPr>
        <w:t>Supplementary Figure</w:t>
      </w:r>
      <w:r w:rsidR="00496913">
        <w:rPr>
          <w:rFonts w:ascii="Arial" w:hAnsi="Arial"/>
          <w:b/>
          <w:sz w:val="22"/>
          <w:szCs w:val="22"/>
        </w:rPr>
        <w:t xml:space="preserve"> 7</w:t>
      </w:r>
      <w:r w:rsidRPr="00E933EB">
        <w:rPr>
          <w:rFonts w:ascii="Arial" w:hAnsi="Arial"/>
          <w:b/>
          <w:sz w:val="22"/>
          <w:szCs w:val="22"/>
        </w:rPr>
        <w:t>.</w:t>
      </w:r>
    </w:p>
    <w:p w14:paraId="0E6D93E1" w14:textId="2E6968A9" w:rsidR="00AF384A" w:rsidRPr="00DB3576" w:rsidRDefault="00A54D6B" w:rsidP="0027535A">
      <w:pPr>
        <w:spacing w:line="480" w:lineRule="auto"/>
        <w:rPr>
          <w:rFonts w:ascii="Arial" w:hAnsi="Arial" w:cs="Arial"/>
          <w:sz w:val="22"/>
          <w:szCs w:val="22"/>
        </w:rPr>
      </w:pPr>
      <w:r w:rsidRPr="003302E6">
        <w:rPr>
          <w:rFonts w:ascii="Arial" w:hAnsi="Arial"/>
          <w:b/>
          <w:sz w:val="22"/>
          <w:szCs w:val="22"/>
        </w:rPr>
        <w:t>a</w:t>
      </w:r>
      <w:r>
        <w:rPr>
          <w:rFonts w:ascii="Arial" w:hAnsi="Arial"/>
          <w:sz w:val="22"/>
          <w:szCs w:val="22"/>
        </w:rPr>
        <w:t xml:space="preserve">, </w:t>
      </w:r>
      <w:r w:rsidR="00AF384A">
        <w:rPr>
          <w:rFonts w:ascii="Arial" w:hAnsi="Arial"/>
          <w:sz w:val="22"/>
          <w:szCs w:val="22"/>
        </w:rPr>
        <w:t>Sensitivity to</w:t>
      </w:r>
      <w:r>
        <w:rPr>
          <w:rFonts w:ascii="Arial" w:hAnsi="Arial" w:cs="Arial"/>
          <w:sz w:val="22"/>
          <w:szCs w:val="22"/>
        </w:rPr>
        <w:t xml:space="preserve"> SM</w:t>
      </w:r>
      <w:r w:rsidR="00F761F2">
        <w:rPr>
          <w:rFonts w:ascii="Arial" w:hAnsi="Arial" w:cs="Arial"/>
          <w:sz w:val="22"/>
          <w:szCs w:val="22"/>
        </w:rPr>
        <w:t>AP</w:t>
      </w:r>
      <w:r w:rsidR="000111BC">
        <w:rPr>
          <w:rFonts w:ascii="Arial" w:hAnsi="Arial" w:cs="Arial"/>
          <w:sz w:val="22"/>
          <w:szCs w:val="22"/>
        </w:rPr>
        <w:t>-061</w:t>
      </w:r>
      <w:r>
        <w:rPr>
          <w:rFonts w:ascii="Arial" w:hAnsi="Arial" w:cs="Arial"/>
          <w:sz w:val="22"/>
          <w:szCs w:val="22"/>
        </w:rPr>
        <w:t xml:space="preserve"> was </w:t>
      </w:r>
      <w:r w:rsidR="005912F7">
        <w:rPr>
          <w:rFonts w:ascii="Arial" w:hAnsi="Arial" w:cs="Arial"/>
          <w:sz w:val="22"/>
          <w:szCs w:val="22"/>
        </w:rPr>
        <w:t>evaluated</w:t>
      </w:r>
      <w:r w:rsidR="00DB3576">
        <w:rPr>
          <w:rFonts w:ascii="Arial" w:hAnsi="Arial" w:cs="Arial"/>
          <w:sz w:val="22"/>
          <w:szCs w:val="22"/>
        </w:rPr>
        <w:t xml:space="preserve"> for four EMCA cell lines:</w:t>
      </w:r>
      <w:r>
        <w:rPr>
          <w:rFonts w:ascii="Arial" w:hAnsi="Arial" w:cs="Arial"/>
          <w:sz w:val="22"/>
          <w:szCs w:val="22"/>
        </w:rPr>
        <w:t xml:space="preserve"> the </w:t>
      </w:r>
      <w:r>
        <w:rPr>
          <w:rFonts w:ascii="Arial" w:hAnsi="Arial" w:cs="Arial"/>
          <w:i/>
          <w:sz w:val="22"/>
          <w:szCs w:val="22"/>
        </w:rPr>
        <w:t xml:space="preserve">PPP2R1A </w:t>
      </w:r>
      <w:r>
        <w:rPr>
          <w:rFonts w:ascii="Arial" w:hAnsi="Arial" w:cs="Arial"/>
          <w:sz w:val="22"/>
          <w:szCs w:val="22"/>
        </w:rPr>
        <w:t xml:space="preserve">P179R+ mutant cell line UT42, and three </w:t>
      </w:r>
      <w:r>
        <w:rPr>
          <w:rFonts w:ascii="Arial" w:hAnsi="Arial" w:cs="Arial"/>
          <w:i/>
          <w:sz w:val="22"/>
          <w:szCs w:val="22"/>
        </w:rPr>
        <w:t xml:space="preserve">PPP2R1A </w:t>
      </w:r>
      <w:r>
        <w:rPr>
          <w:rFonts w:ascii="Arial" w:hAnsi="Arial" w:cs="Arial"/>
          <w:sz w:val="22"/>
          <w:szCs w:val="22"/>
        </w:rPr>
        <w:t xml:space="preserve">wildtype cell lines (UT89, UT150, UT185). All four </w:t>
      </w:r>
      <w:r w:rsidR="000111BC">
        <w:rPr>
          <w:rFonts w:ascii="Arial" w:hAnsi="Arial" w:cs="Arial"/>
          <w:sz w:val="22"/>
          <w:szCs w:val="22"/>
        </w:rPr>
        <w:lastRenderedPageBreak/>
        <w:t xml:space="preserve">lines </w:t>
      </w:r>
      <w:r w:rsidR="00AF384A">
        <w:rPr>
          <w:rFonts w:ascii="Arial" w:hAnsi="Arial" w:cs="Arial"/>
          <w:sz w:val="22"/>
          <w:szCs w:val="22"/>
        </w:rPr>
        <w:t>are</w:t>
      </w:r>
      <w:r>
        <w:rPr>
          <w:rFonts w:ascii="Arial" w:hAnsi="Arial" w:cs="Arial"/>
          <w:sz w:val="22"/>
          <w:szCs w:val="22"/>
        </w:rPr>
        <w:t xml:space="preserve"> primary cell lines derived from patient tumors.</w:t>
      </w:r>
      <w:r w:rsidR="000111BC">
        <w:rPr>
          <w:rFonts w:ascii="Arial" w:hAnsi="Arial" w:cs="Arial"/>
          <w:sz w:val="22"/>
          <w:szCs w:val="22"/>
        </w:rPr>
        <w:t xml:space="preserve"> </w:t>
      </w:r>
      <w:r w:rsidR="000111BC">
        <w:rPr>
          <w:rFonts w:ascii="Arial" w:hAnsi="Arial"/>
          <w:sz w:val="22"/>
          <w:szCs w:val="22"/>
        </w:rPr>
        <w:t xml:space="preserve">Dose-Response curves were constructed following 72 hrs of treatment with SMAP-061 across a range of doses. % growth represents the fold change in cell count from t = 0 hr to t = 72 hr, and all values were normalized to that of DMSO </w:t>
      </w:r>
      <w:r w:rsidR="000111BC">
        <w:rPr>
          <w:rFonts w:ascii="Arial" w:hAnsi="Arial" w:cs="Arial"/>
          <w:sz w:val="22"/>
          <w:szCs w:val="22"/>
        </w:rPr>
        <w:t>(n=3)</w:t>
      </w:r>
      <w:r w:rsidR="000111BC">
        <w:rPr>
          <w:rFonts w:ascii="Arial" w:hAnsi="Arial"/>
          <w:sz w:val="22"/>
          <w:szCs w:val="22"/>
        </w:rPr>
        <w:t xml:space="preserve">. </w:t>
      </w:r>
      <w:r w:rsidR="00AF384A">
        <w:rPr>
          <w:rFonts w:ascii="Arial" w:hAnsi="Arial"/>
          <w:sz w:val="22"/>
          <w:szCs w:val="22"/>
        </w:rPr>
        <w:t>Nonlinear fit curves were generated</w:t>
      </w:r>
      <w:r w:rsidR="000111BC">
        <w:rPr>
          <w:rFonts w:ascii="Arial" w:hAnsi="Arial"/>
          <w:sz w:val="22"/>
          <w:szCs w:val="22"/>
        </w:rPr>
        <w:t xml:space="preserve"> </w:t>
      </w:r>
      <w:r w:rsidR="00AF384A">
        <w:rPr>
          <w:rFonts w:ascii="Arial" w:hAnsi="Arial"/>
          <w:sz w:val="22"/>
          <w:szCs w:val="22"/>
        </w:rPr>
        <w:t>using</w:t>
      </w:r>
      <w:r w:rsidR="000111BC">
        <w:rPr>
          <w:rFonts w:ascii="Arial" w:hAnsi="Arial"/>
          <w:sz w:val="22"/>
          <w:szCs w:val="22"/>
        </w:rPr>
        <w:t xml:space="preserve"> GraphPad Prism to determine the IC50 dose</w:t>
      </w:r>
      <w:r w:rsidR="00AF384A">
        <w:rPr>
          <w:rFonts w:ascii="Arial" w:hAnsi="Arial"/>
          <w:sz w:val="22"/>
          <w:szCs w:val="22"/>
        </w:rPr>
        <w:t xml:space="preserve"> and 95% confidence interval (CI)</w:t>
      </w:r>
      <w:r w:rsidR="000111BC">
        <w:rPr>
          <w:rFonts w:ascii="Arial" w:hAnsi="Arial"/>
          <w:sz w:val="22"/>
          <w:szCs w:val="22"/>
        </w:rPr>
        <w:t xml:space="preserve"> for each cell line.</w:t>
      </w:r>
      <w:r w:rsidR="005912F7">
        <w:rPr>
          <w:rFonts w:ascii="Arial" w:hAnsi="Arial" w:cs="Arial"/>
          <w:sz w:val="22"/>
          <w:szCs w:val="22"/>
        </w:rPr>
        <w:t xml:space="preserve"> </w:t>
      </w:r>
      <w:r w:rsidR="000111BC" w:rsidRPr="000111BC">
        <w:rPr>
          <w:rFonts w:ascii="Arial" w:hAnsi="Arial"/>
          <w:b/>
          <w:sz w:val="22"/>
          <w:szCs w:val="22"/>
        </w:rPr>
        <w:t>b</w:t>
      </w:r>
      <w:r w:rsidR="000111BC" w:rsidRPr="000111BC">
        <w:rPr>
          <w:rFonts w:ascii="Arial" w:hAnsi="Arial"/>
          <w:sz w:val="22"/>
          <w:szCs w:val="22"/>
        </w:rPr>
        <w:t xml:space="preserve">, </w:t>
      </w:r>
      <w:r w:rsidR="000111BC">
        <w:rPr>
          <w:rFonts w:ascii="Arial" w:hAnsi="Arial"/>
          <w:sz w:val="22"/>
          <w:szCs w:val="22"/>
        </w:rPr>
        <w:t>Representative images of colony formation by</w:t>
      </w:r>
      <w:r w:rsidR="000111BC" w:rsidRPr="000111BC">
        <w:rPr>
          <w:rFonts w:ascii="Arial" w:hAnsi="Arial"/>
          <w:sz w:val="22"/>
          <w:szCs w:val="22"/>
        </w:rPr>
        <w:t xml:space="preserve"> UT42 and UT89 during a two-week treatment with SMAP-061 at </w:t>
      </w:r>
      <w:r w:rsidR="000111BC">
        <w:rPr>
          <w:rFonts w:ascii="Arial" w:hAnsi="Arial"/>
          <w:sz w:val="22"/>
          <w:szCs w:val="22"/>
        </w:rPr>
        <w:t>the indicated</w:t>
      </w:r>
      <w:r w:rsidR="000111BC" w:rsidRPr="000111BC">
        <w:rPr>
          <w:rFonts w:ascii="Arial" w:hAnsi="Arial"/>
          <w:sz w:val="22"/>
          <w:szCs w:val="22"/>
        </w:rPr>
        <w:t xml:space="preserve"> doses</w:t>
      </w:r>
      <w:r w:rsidR="000111BC">
        <w:rPr>
          <w:rFonts w:ascii="Arial" w:hAnsi="Arial"/>
          <w:sz w:val="22"/>
          <w:szCs w:val="22"/>
        </w:rPr>
        <w:t xml:space="preserve"> (n=3).</w:t>
      </w:r>
      <w:r w:rsidR="005912F7">
        <w:rPr>
          <w:rFonts w:ascii="Arial" w:hAnsi="Arial" w:cs="Arial"/>
          <w:sz w:val="22"/>
          <w:szCs w:val="22"/>
        </w:rPr>
        <w:t xml:space="preserve"> </w:t>
      </w:r>
      <w:r w:rsidR="00AF384A" w:rsidRPr="00AF384A">
        <w:rPr>
          <w:rFonts w:ascii="Arial" w:hAnsi="Arial" w:cs="Arial"/>
          <w:b/>
          <w:sz w:val="22"/>
          <w:szCs w:val="22"/>
        </w:rPr>
        <w:t>c</w:t>
      </w:r>
      <w:r w:rsidR="00AF384A">
        <w:rPr>
          <w:rFonts w:ascii="Arial" w:hAnsi="Arial" w:cs="Arial"/>
          <w:sz w:val="22"/>
          <w:szCs w:val="22"/>
        </w:rPr>
        <w:t xml:space="preserve">, Western blotting was performed on protein isolates from UT42 PDX tumors treated with vehicle (DMA) or SMAP-1154 (tumors correspond to the </w:t>
      </w:r>
      <w:r w:rsidR="00AF384A">
        <w:rPr>
          <w:rFonts w:ascii="Arial" w:hAnsi="Arial" w:cs="Arial"/>
          <w:i/>
          <w:sz w:val="22"/>
          <w:szCs w:val="22"/>
        </w:rPr>
        <w:t xml:space="preserve">in vivo </w:t>
      </w:r>
      <w:r w:rsidR="00AF384A">
        <w:rPr>
          <w:rFonts w:ascii="Arial" w:hAnsi="Arial" w:cs="Arial"/>
          <w:sz w:val="22"/>
          <w:szCs w:val="22"/>
        </w:rPr>
        <w:t xml:space="preserve">tumor growth data presented in </w:t>
      </w:r>
      <w:r w:rsidR="00AF384A" w:rsidRPr="00AF384A">
        <w:rPr>
          <w:rFonts w:ascii="Arial" w:hAnsi="Arial" w:cs="Arial"/>
          <w:b/>
          <w:sz w:val="22"/>
          <w:szCs w:val="22"/>
        </w:rPr>
        <w:t>Figure 6g-j</w:t>
      </w:r>
      <w:r w:rsidR="00AF384A">
        <w:rPr>
          <w:rFonts w:ascii="Arial" w:hAnsi="Arial" w:cs="Arial"/>
          <w:sz w:val="22"/>
          <w:szCs w:val="22"/>
        </w:rPr>
        <w:t xml:space="preserve">) to evaluate for dephosphorylation of the PP2A substrates </w:t>
      </w:r>
      <w:proofErr w:type="spellStart"/>
      <w:r w:rsidR="00AF384A">
        <w:rPr>
          <w:rFonts w:ascii="Arial" w:hAnsi="Arial" w:cs="Arial"/>
          <w:sz w:val="22"/>
          <w:szCs w:val="22"/>
        </w:rPr>
        <w:t>Akt</w:t>
      </w:r>
      <w:proofErr w:type="spellEnd"/>
      <w:r w:rsidR="00DB3576">
        <w:rPr>
          <w:rFonts w:ascii="Arial" w:hAnsi="Arial" w:cs="Arial"/>
          <w:sz w:val="22"/>
          <w:szCs w:val="22"/>
        </w:rPr>
        <w:t>, GSK3β,</w:t>
      </w:r>
      <w:r w:rsidR="00AF384A">
        <w:rPr>
          <w:rFonts w:ascii="Arial" w:hAnsi="Arial" w:cs="Arial"/>
          <w:sz w:val="22"/>
          <w:szCs w:val="22"/>
        </w:rPr>
        <w:t xml:space="preserve"> and c</w:t>
      </w:r>
      <w:r w:rsidR="00DC0D3E">
        <w:rPr>
          <w:rFonts w:ascii="Arial" w:hAnsi="Arial" w:cs="Arial"/>
          <w:sz w:val="22"/>
          <w:szCs w:val="22"/>
        </w:rPr>
        <w:t>-Myc</w:t>
      </w:r>
      <w:r w:rsidR="00AF384A">
        <w:rPr>
          <w:rFonts w:ascii="Arial" w:hAnsi="Arial" w:cs="Arial"/>
          <w:sz w:val="22"/>
          <w:szCs w:val="22"/>
        </w:rPr>
        <w:t>.</w:t>
      </w:r>
      <w:r w:rsidR="00DB3576">
        <w:rPr>
          <w:rFonts w:ascii="Arial" w:hAnsi="Arial" w:cs="Arial"/>
          <w:sz w:val="22"/>
          <w:szCs w:val="22"/>
        </w:rPr>
        <w:t xml:space="preserve"> DMA tumors #3 and #4 were loaded on both gels. </w:t>
      </w:r>
      <w:r w:rsidR="00DB3576">
        <w:rPr>
          <w:rFonts w:ascii="Arial" w:hAnsi="Arial" w:cs="Arial"/>
          <w:b/>
          <w:sz w:val="22"/>
          <w:szCs w:val="22"/>
        </w:rPr>
        <w:t>d</w:t>
      </w:r>
      <w:r w:rsidR="00DB3576">
        <w:rPr>
          <w:rFonts w:ascii="Arial" w:hAnsi="Arial" w:cs="Arial"/>
          <w:sz w:val="22"/>
          <w:szCs w:val="22"/>
        </w:rPr>
        <w:t xml:space="preserve">, Quantification of western blotting band intensities presented as mean ± </w:t>
      </w:r>
      <w:r w:rsidR="00DB3576">
        <w:rPr>
          <w:rFonts w:ascii="Arial" w:hAnsi="Arial"/>
          <w:sz w:val="22"/>
          <w:szCs w:val="22"/>
        </w:rPr>
        <w:t>SEM</w:t>
      </w:r>
      <w:r w:rsidR="00DB3576">
        <w:rPr>
          <w:rFonts w:ascii="Arial" w:hAnsi="Arial" w:cs="Arial"/>
          <w:sz w:val="22"/>
          <w:szCs w:val="22"/>
        </w:rPr>
        <w:t>. The phosphorylated protein signal was normalized to that of the total protein (P:T ratio), followed by normalization to the P:T ratio of DMA#3 from the same gel. Note: SMAP 50 mg/kg tumor #3 was excluded from the graphs.</w:t>
      </w:r>
    </w:p>
    <w:p w14:paraId="6636D3E3" w14:textId="490C36C8" w:rsidR="002877A6" w:rsidRPr="005E7AB9" w:rsidRDefault="002877A6" w:rsidP="0027535A">
      <w:pPr>
        <w:spacing w:line="480" w:lineRule="auto"/>
        <w:rPr>
          <w:rFonts w:ascii="Arial" w:hAnsi="Arial" w:cs="Arial"/>
          <w:sz w:val="22"/>
          <w:szCs w:val="22"/>
        </w:rPr>
      </w:pPr>
      <w:r>
        <w:rPr>
          <w:rFonts w:ascii="Arial" w:hAnsi="Arial"/>
          <w:b/>
          <w:sz w:val="22"/>
          <w:szCs w:val="22"/>
        </w:rPr>
        <w:br w:type="page"/>
      </w:r>
    </w:p>
    <w:p w14:paraId="656DB2F1" w14:textId="41943284" w:rsidR="00EA3614" w:rsidRDefault="00496913" w:rsidP="0027535A">
      <w:pPr>
        <w:spacing w:line="480" w:lineRule="auto"/>
        <w:rPr>
          <w:rFonts w:ascii="Arial" w:hAnsi="Arial"/>
          <w:b/>
          <w:sz w:val="22"/>
          <w:szCs w:val="22"/>
        </w:rPr>
      </w:pPr>
      <w:r w:rsidRPr="00496913">
        <w:rPr>
          <w:rFonts w:ascii="Arial" w:hAnsi="Arial"/>
          <w:b/>
          <w:sz w:val="22"/>
          <w:szCs w:val="22"/>
        </w:rPr>
        <w:lastRenderedPageBreak/>
        <w:t>Additional Methods Information</w:t>
      </w:r>
    </w:p>
    <w:p w14:paraId="6D62BCBB" w14:textId="77777777" w:rsidR="00114D63" w:rsidRPr="00114D63" w:rsidRDefault="00114D63" w:rsidP="0027535A">
      <w:pPr>
        <w:spacing w:line="480" w:lineRule="auto"/>
        <w:rPr>
          <w:rFonts w:ascii="Arial" w:hAnsi="Arial"/>
          <w:b/>
          <w:sz w:val="22"/>
          <w:szCs w:val="22"/>
        </w:rPr>
      </w:pPr>
    </w:p>
    <w:p w14:paraId="263E93D9" w14:textId="77777777" w:rsidR="0099434D" w:rsidRDefault="0099434D" w:rsidP="0099434D">
      <w:pPr>
        <w:spacing w:line="480" w:lineRule="auto"/>
        <w:rPr>
          <w:rFonts w:ascii="Arial" w:hAnsi="Arial"/>
          <w:sz w:val="22"/>
          <w:szCs w:val="22"/>
        </w:rPr>
      </w:pPr>
      <w:r w:rsidRPr="00D70D32">
        <w:rPr>
          <w:rFonts w:ascii="Arial" w:hAnsi="Arial"/>
          <w:b/>
          <w:i/>
          <w:sz w:val="22"/>
          <w:szCs w:val="22"/>
        </w:rPr>
        <w:t>Generation of stable cell lines</w:t>
      </w:r>
      <w:r>
        <w:rPr>
          <w:rFonts w:ascii="Arial" w:hAnsi="Arial"/>
          <w:b/>
          <w:sz w:val="22"/>
          <w:szCs w:val="22"/>
        </w:rPr>
        <w:t xml:space="preserve">: </w:t>
      </w:r>
      <w:r>
        <w:rPr>
          <w:rFonts w:ascii="Arial" w:hAnsi="Arial"/>
          <w:sz w:val="22"/>
          <w:szCs w:val="22"/>
        </w:rPr>
        <w:t>The Gateway V5-tagged lentiviral expression vector pLX304-</w:t>
      </w:r>
      <w:r w:rsidRPr="005F210F">
        <w:rPr>
          <w:rFonts w:ascii="Arial" w:hAnsi="Arial"/>
          <w:i/>
          <w:sz w:val="22"/>
          <w:szCs w:val="22"/>
        </w:rPr>
        <w:t>PPP2R1A</w:t>
      </w:r>
      <w:r>
        <w:rPr>
          <w:rFonts w:ascii="Arial" w:hAnsi="Arial"/>
          <w:sz w:val="22"/>
          <w:szCs w:val="22"/>
        </w:rPr>
        <w:t xml:space="preserve"> was obtained from the DNASU Plasmid Repository (</w:t>
      </w:r>
      <w:r w:rsidRPr="00BA278C">
        <w:rPr>
          <w:rFonts w:ascii="Arial" w:hAnsi="Arial"/>
          <w:sz w:val="22"/>
          <w:szCs w:val="22"/>
        </w:rPr>
        <w:t>HsCD00444402</w:t>
      </w:r>
      <w:r>
        <w:rPr>
          <w:rFonts w:ascii="Arial" w:hAnsi="Arial"/>
          <w:sz w:val="22"/>
          <w:szCs w:val="22"/>
        </w:rPr>
        <w:t xml:space="preserve">), deposited by the </w:t>
      </w:r>
      <w:proofErr w:type="spellStart"/>
      <w:r>
        <w:rPr>
          <w:rFonts w:ascii="Arial" w:hAnsi="Arial"/>
          <w:sz w:val="22"/>
          <w:szCs w:val="22"/>
        </w:rPr>
        <w:t>ORFeome</w:t>
      </w:r>
      <w:proofErr w:type="spellEnd"/>
      <w:r>
        <w:rPr>
          <w:rFonts w:ascii="Arial" w:hAnsi="Arial"/>
          <w:sz w:val="22"/>
          <w:szCs w:val="22"/>
        </w:rPr>
        <w:t xml:space="preserve"> Collaboration. Site-directed mutagenesis was performed using the </w:t>
      </w:r>
      <w:proofErr w:type="spellStart"/>
      <w:r>
        <w:rPr>
          <w:rFonts w:ascii="Arial" w:hAnsi="Arial"/>
          <w:sz w:val="22"/>
          <w:szCs w:val="22"/>
        </w:rPr>
        <w:t>QuickChange</w:t>
      </w:r>
      <w:proofErr w:type="spellEnd"/>
      <w:r>
        <w:rPr>
          <w:rFonts w:ascii="Arial" w:hAnsi="Arial"/>
          <w:sz w:val="22"/>
          <w:szCs w:val="22"/>
        </w:rPr>
        <w:t xml:space="preserve"> Lightning Kit (Agilent, 210513) to generate the pLX304-</w:t>
      </w:r>
      <w:r w:rsidRPr="005F210F">
        <w:rPr>
          <w:rFonts w:ascii="Arial" w:hAnsi="Arial"/>
          <w:i/>
          <w:sz w:val="22"/>
          <w:szCs w:val="22"/>
        </w:rPr>
        <w:t>PPP2R1A</w:t>
      </w:r>
      <w:r>
        <w:rPr>
          <w:rFonts w:ascii="Arial" w:hAnsi="Arial"/>
          <w:sz w:val="22"/>
          <w:szCs w:val="22"/>
        </w:rPr>
        <w:t>-P179R, -S256F, and -R183W missense mutation plasmids. Gateway cloning was performed to insert EGFP into the pLX304 vector. All construct sequences were verified by Sanger sequencing.</w:t>
      </w:r>
    </w:p>
    <w:p w14:paraId="49BAC333" w14:textId="77777777" w:rsidR="0099434D" w:rsidRDefault="0099434D" w:rsidP="0099434D">
      <w:pPr>
        <w:spacing w:line="480" w:lineRule="auto"/>
        <w:ind w:firstLine="720"/>
        <w:rPr>
          <w:rFonts w:ascii="Arial" w:hAnsi="Arial"/>
          <w:sz w:val="22"/>
          <w:szCs w:val="22"/>
        </w:rPr>
      </w:pPr>
      <w:r>
        <w:rPr>
          <w:rFonts w:ascii="Arial" w:hAnsi="Arial"/>
          <w:sz w:val="22"/>
          <w:szCs w:val="22"/>
        </w:rPr>
        <w:t xml:space="preserve">Lentivirus was produced through co-transfection of 10 </w:t>
      </w:r>
      <w:proofErr w:type="spellStart"/>
      <w:r>
        <w:rPr>
          <w:rFonts w:ascii="Arial" w:hAnsi="Arial" w:cs="Arial"/>
          <w:sz w:val="22"/>
          <w:szCs w:val="22"/>
        </w:rPr>
        <w:t>μ</w:t>
      </w:r>
      <w:r>
        <w:rPr>
          <w:rFonts w:ascii="Arial" w:hAnsi="Arial"/>
          <w:sz w:val="22"/>
          <w:szCs w:val="22"/>
        </w:rPr>
        <w:t>g</w:t>
      </w:r>
      <w:proofErr w:type="spellEnd"/>
      <w:r>
        <w:rPr>
          <w:rFonts w:ascii="Arial" w:hAnsi="Arial"/>
          <w:sz w:val="22"/>
          <w:szCs w:val="22"/>
        </w:rPr>
        <w:t xml:space="preserve"> plasmid with the second-generation packaging constructs pMD2.G (</w:t>
      </w:r>
      <w:proofErr w:type="spellStart"/>
      <w:r>
        <w:rPr>
          <w:rFonts w:ascii="Arial" w:hAnsi="Arial"/>
          <w:sz w:val="22"/>
          <w:szCs w:val="22"/>
        </w:rPr>
        <w:t>Addgene</w:t>
      </w:r>
      <w:proofErr w:type="spellEnd"/>
      <w:r>
        <w:rPr>
          <w:rFonts w:ascii="Arial" w:hAnsi="Arial"/>
          <w:sz w:val="22"/>
          <w:szCs w:val="22"/>
        </w:rPr>
        <w:t>, 12259) and psPAX2 (</w:t>
      </w:r>
      <w:proofErr w:type="spellStart"/>
      <w:r>
        <w:rPr>
          <w:rFonts w:ascii="Arial" w:hAnsi="Arial"/>
          <w:sz w:val="22"/>
          <w:szCs w:val="22"/>
        </w:rPr>
        <w:t>Addgene</w:t>
      </w:r>
      <w:proofErr w:type="spellEnd"/>
      <w:r>
        <w:rPr>
          <w:rFonts w:ascii="Arial" w:hAnsi="Arial"/>
          <w:sz w:val="22"/>
          <w:szCs w:val="22"/>
        </w:rPr>
        <w:t>, 12260) into HEK293T cells using X-</w:t>
      </w:r>
      <w:proofErr w:type="spellStart"/>
      <w:r>
        <w:rPr>
          <w:rFonts w:ascii="Arial" w:hAnsi="Arial"/>
          <w:sz w:val="22"/>
          <w:szCs w:val="22"/>
        </w:rPr>
        <w:t>tremeGENE</w:t>
      </w:r>
      <w:proofErr w:type="spellEnd"/>
      <w:r>
        <w:rPr>
          <w:rFonts w:ascii="Arial" w:hAnsi="Arial"/>
          <w:sz w:val="22"/>
          <w:szCs w:val="22"/>
        </w:rPr>
        <w:t xml:space="preserve"> HP DNA transfection reagent (Sigma). HEK293T cells were plated 24 hours in advance in Pen-Strep free DMEM. Lentivirus-containing media was collected at 24 and 48 hours, filtered through a 0.45 </w:t>
      </w:r>
      <w:proofErr w:type="spellStart"/>
      <w:r>
        <w:rPr>
          <w:rFonts w:ascii="Arial" w:hAnsi="Arial" w:cs="Arial"/>
          <w:sz w:val="22"/>
          <w:szCs w:val="22"/>
        </w:rPr>
        <w:t>μ</w:t>
      </w:r>
      <w:r>
        <w:rPr>
          <w:rFonts w:ascii="Arial" w:hAnsi="Arial"/>
          <w:sz w:val="22"/>
          <w:szCs w:val="22"/>
        </w:rPr>
        <w:t>m</w:t>
      </w:r>
      <w:proofErr w:type="spellEnd"/>
      <w:r>
        <w:rPr>
          <w:rFonts w:ascii="Arial" w:hAnsi="Arial"/>
          <w:sz w:val="22"/>
          <w:szCs w:val="22"/>
        </w:rPr>
        <w:t xml:space="preserve"> filter, supplemented with 8 </w:t>
      </w:r>
      <w:proofErr w:type="spellStart"/>
      <w:r>
        <w:rPr>
          <w:rFonts w:ascii="Arial" w:hAnsi="Arial" w:cs="Arial"/>
          <w:sz w:val="22"/>
          <w:szCs w:val="22"/>
        </w:rPr>
        <w:t>μ</w:t>
      </w:r>
      <w:r>
        <w:rPr>
          <w:rFonts w:ascii="Arial" w:hAnsi="Arial"/>
          <w:sz w:val="22"/>
          <w:szCs w:val="22"/>
        </w:rPr>
        <w:t>g</w:t>
      </w:r>
      <w:proofErr w:type="spellEnd"/>
      <w:r>
        <w:rPr>
          <w:rFonts w:ascii="Arial" w:hAnsi="Arial"/>
          <w:sz w:val="22"/>
          <w:szCs w:val="22"/>
        </w:rPr>
        <w:t xml:space="preserve">/ml polybrene (Santa Cruz), and applied to target cells. Target cells were cultured for an additional 48 hours before beginning selection with 16 </w:t>
      </w:r>
      <w:proofErr w:type="spellStart"/>
      <w:r>
        <w:rPr>
          <w:rFonts w:ascii="Arial" w:hAnsi="Arial" w:cs="Arial"/>
          <w:sz w:val="22"/>
          <w:szCs w:val="22"/>
        </w:rPr>
        <w:t>μg</w:t>
      </w:r>
      <w:proofErr w:type="spellEnd"/>
      <w:r>
        <w:rPr>
          <w:rFonts w:ascii="Arial" w:hAnsi="Arial" w:cs="Arial"/>
          <w:sz w:val="22"/>
          <w:szCs w:val="22"/>
        </w:rPr>
        <w:t xml:space="preserve">/ml </w:t>
      </w:r>
      <w:proofErr w:type="spellStart"/>
      <w:r>
        <w:rPr>
          <w:rFonts w:ascii="Arial" w:hAnsi="Arial"/>
          <w:sz w:val="22"/>
          <w:szCs w:val="22"/>
        </w:rPr>
        <w:t>Blasticidin</w:t>
      </w:r>
      <w:proofErr w:type="spellEnd"/>
      <w:r>
        <w:rPr>
          <w:rFonts w:ascii="Arial" w:hAnsi="Arial"/>
          <w:sz w:val="22"/>
          <w:szCs w:val="22"/>
        </w:rPr>
        <w:t xml:space="preserve"> (</w:t>
      </w:r>
      <w:proofErr w:type="spellStart"/>
      <w:r>
        <w:rPr>
          <w:rFonts w:ascii="Arial" w:hAnsi="Arial"/>
          <w:sz w:val="22"/>
          <w:szCs w:val="22"/>
        </w:rPr>
        <w:t>Invivogen</w:t>
      </w:r>
      <w:proofErr w:type="spellEnd"/>
      <w:r>
        <w:rPr>
          <w:rFonts w:ascii="Arial" w:hAnsi="Arial"/>
          <w:sz w:val="22"/>
          <w:szCs w:val="22"/>
        </w:rPr>
        <w:t>).</w:t>
      </w:r>
    </w:p>
    <w:p w14:paraId="1CDF4D6D" w14:textId="77777777" w:rsidR="0099434D" w:rsidRDefault="0099434D" w:rsidP="0027535A">
      <w:pPr>
        <w:spacing w:line="480" w:lineRule="auto"/>
        <w:rPr>
          <w:rFonts w:ascii="Arial" w:hAnsi="Arial"/>
          <w:b/>
          <w:i/>
          <w:sz w:val="22"/>
          <w:szCs w:val="22"/>
        </w:rPr>
      </w:pPr>
    </w:p>
    <w:p w14:paraId="300336D3" w14:textId="3B30A35A" w:rsidR="00B5232F" w:rsidRDefault="00EA3614" w:rsidP="0027535A">
      <w:pPr>
        <w:spacing w:line="480" w:lineRule="auto"/>
        <w:rPr>
          <w:rFonts w:ascii="Arial" w:hAnsi="Arial"/>
          <w:b/>
          <w:sz w:val="22"/>
          <w:szCs w:val="22"/>
        </w:rPr>
      </w:pPr>
      <w:r w:rsidRPr="00D70D32">
        <w:rPr>
          <w:rFonts w:ascii="Arial" w:hAnsi="Arial"/>
          <w:b/>
          <w:i/>
          <w:sz w:val="22"/>
          <w:szCs w:val="22"/>
        </w:rPr>
        <w:t>Immunoblotting</w:t>
      </w:r>
      <w:r>
        <w:rPr>
          <w:rFonts w:ascii="Arial" w:hAnsi="Arial"/>
          <w:b/>
          <w:sz w:val="22"/>
          <w:szCs w:val="22"/>
        </w:rPr>
        <w:t xml:space="preserve">: </w:t>
      </w:r>
      <w:r w:rsidR="00B5232F">
        <w:rPr>
          <w:rFonts w:ascii="Arial" w:hAnsi="Arial"/>
          <w:sz w:val="22"/>
          <w:szCs w:val="22"/>
        </w:rPr>
        <w:t>To obtain whole cell protein extracts, adherent cells were detached from plates with 0.25% Trypsin (</w:t>
      </w:r>
      <w:proofErr w:type="spellStart"/>
      <w:r w:rsidR="00B5232F">
        <w:rPr>
          <w:rFonts w:ascii="Arial" w:hAnsi="Arial"/>
          <w:sz w:val="22"/>
          <w:szCs w:val="22"/>
        </w:rPr>
        <w:t>ThermoFisher</w:t>
      </w:r>
      <w:proofErr w:type="spellEnd"/>
      <w:r w:rsidR="00B5232F">
        <w:rPr>
          <w:rFonts w:ascii="Arial" w:hAnsi="Arial"/>
          <w:sz w:val="22"/>
          <w:szCs w:val="22"/>
        </w:rPr>
        <w:t>, SH30042.02), washed with ice cold PBS, and lysed with cold RIPA buffer (</w:t>
      </w:r>
      <w:proofErr w:type="spellStart"/>
      <w:r w:rsidR="00B5232F">
        <w:rPr>
          <w:rFonts w:ascii="Arial" w:hAnsi="Arial"/>
          <w:sz w:val="22"/>
          <w:szCs w:val="22"/>
        </w:rPr>
        <w:t>ThermoFisher</w:t>
      </w:r>
      <w:proofErr w:type="spellEnd"/>
      <w:r w:rsidR="00B5232F">
        <w:rPr>
          <w:rFonts w:ascii="Arial" w:hAnsi="Arial"/>
          <w:sz w:val="22"/>
          <w:szCs w:val="22"/>
        </w:rPr>
        <w:t>, P189901). Tumor protein extracts were obtained through mechanical homogenization of tissue in T-PER buffer (</w:t>
      </w:r>
      <w:proofErr w:type="spellStart"/>
      <w:r w:rsidR="00B5232F">
        <w:rPr>
          <w:rFonts w:ascii="Arial" w:hAnsi="Arial"/>
          <w:sz w:val="22"/>
          <w:szCs w:val="22"/>
        </w:rPr>
        <w:t>ThermoFisher</w:t>
      </w:r>
      <w:proofErr w:type="spellEnd"/>
      <w:r w:rsidR="00B5232F">
        <w:rPr>
          <w:rFonts w:ascii="Arial" w:hAnsi="Arial"/>
          <w:sz w:val="22"/>
          <w:szCs w:val="22"/>
        </w:rPr>
        <w:t xml:space="preserve">, 78510). Lysis buffers were prepared with protease and phosphatase inhibitor tablets (Roche, </w:t>
      </w:r>
      <w:r w:rsidR="00B5232F" w:rsidRPr="006411EC">
        <w:rPr>
          <w:rFonts w:ascii="Arial" w:hAnsi="Arial"/>
          <w:sz w:val="22"/>
          <w:szCs w:val="22"/>
        </w:rPr>
        <w:t>05892791</w:t>
      </w:r>
      <w:r w:rsidR="00B5232F">
        <w:rPr>
          <w:rFonts w:ascii="Arial" w:hAnsi="Arial"/>
          <w:sz w:val="22"/>
          <w:szCs w:val="22"/>
        </w:rPr>
        <w:t xml:space="preserve"> and 04906837). Protein concentration was quantified using the Pierce BCA protein assay kit (</w:t>
      </w:r>
      <w:proofErr w:type="spellStart"/>
      <w:r w:rsidR="00B5232F">
        <w:rPr>
          <w:rFonts w:ascii="Arial" w:hAnsi="Arial"/>
          <w:sz w:val="22"/>
          <w:szCs w:val="22"/>
        </w:rPr>
        <w:t>ThermoFisher</w:t>
      </w:r>
      <w:proofErr w:type="spellEnd"/>
      <w:r w:rsidR="00B5232F">
        <w:rPr>
          <w:rFonts w:ascii="Arial" w:hAnsi="Arial"/>
          <w:sz w:val="22"/>
          <w:szCs w:val="22"/>
        </w:rPr>
        <w:t xml:space="preserve">) and equal protein quantities were loaded into polyacrylamide TGX Stain-free gels (Bio-Rad) for separation by SDS-PAGE. Proteins were transferred to 0.2 </w:t>
      </w:r>
      <w:proofErr w:type="spellStart"/>
      <w:r w:rsidR="00B5232F">
        <w:rPr>
          <w:rFonts w:ascii="Arial" w:hAnsi="Arial" w:cs="Arial"/>
          <w:sz w:val="22"/>
          <w:szCs w:val="22"/>
        </w:rPr>
        <w:t>μ</w:t>
      </w:r>
      <w:r w:rsidR="00B5232F">
        <w:rPr>
          <w:rFonts w:ascii="Arial" w:hAnsi="Arial"/>
          <w:sz w:val="22"/>
          <w:szCs w:val="22"/>
        </w:rPr>
        <w:t>M</w:t>
      </w:r>
      <w:proofErr w:type="spellEnd"/>
      <w:r w:rsidR="00B5232F">
        <w:rPr>
          <w:rFonts w:ascii="Arial" w:hAnsi="Arial"/>
          <w:sz w:val="22"/>
          <w:szCs w:val="22"/>
        </w:rPr>
        <w:t xml:space="preserve"> nitrocellulose membranes using the Bio-Rad Trans-blot Turbo transfer system. Membranes were blocked for 1 hour at room temperature with 5% non-fat milk powder in TBS-T and incubated with primary </w:t>
      </w:r>
      <w:r w:rsidR="00B5232F">
        <w:rPr>
          <w:rFonts w:ascii="Arial" w:hAnsi="Arial"/>
          <w:sz w:val="22"/>
          <w:szCs w:val="22"/>
        </w:rPr>
        <w:lastRenderedPageBreak/>
        <w:t>antibodies diluted in 5% milk overnight at 4</w:t>
      </w:r>
      <w:r w:rsidR="00B5232F">
        <w:rPr>
          <w:rFonts w:ascii="Arial" w:hAnsi="Arial" w:cs="Arial"/>
          <w:sz w:val="22"/>
          <w:szCs w:val="22"/>
        </w:rPr>
        <w:t>°</w:t>
      </w:r>
      <w:r w:rsidR="00B5232F">
        <w:rPr>
          <w:rFonts w:ascii="Arial" w:hAnsi="Arial"/>
          <w:sz w:val="22"/>
          <w:szCs w:val="22"/>
        </w:rPr>
        <w:t>C. Membranes were then washed with TBS-T and incubated with species-specific HRP-conjugated secondary antibody for 1 hour at room temperature. For the immunoblotting of tumor samples grown in mice, a conformation-specific anti-mouse secondary (Abcam, ab131368) was used when primary antibodies were from a mouse host. The ECL chemiluminescent detection system (</w:t>
      </w:r>
      <w:proofErr w:type="spellStart"/>
      <w:r w:rsidR="00B5232F">
        <w:rPr>
          <w:rFonts w:ascii="Arial" w:hAnsi="Arial"/>
          <w:sz w:val="22"/>
          <w:szCs w:val="22"/>
        </w:rPr>
        <w:t>Amersham</w:t>
      </w:r>
      <w:proofErr w:type="spellEnd"/>
      <w:r w:rsidR="00B5232F">
        <w:rPr>
          <w:rFonts w:ascii="Arial" w:hAnsi="Arial"/>
          <w:sz w:val="22"/>
          <w:szCs w:val="22"/>
        </w:rPr>
        <w:t xml:space="preserve">) was utilized in conjunction with the Bio-Rad </w:t>
      </w:r>
      <w:proofErr w:type="spellStart"/>
      <w:r w:rsidR="00B5232F">
        <w:rPr>
          <w:rFonts w:ascii="Arial" w:hAnsi="Arial"/>
          <w:sz w:val="22"/>
          <w:szCs w:val="22"/>
        </w:rPr>
        <w:t>ChemiDoc</w:t>
      </w:r>
      <w:proofErr w:type="spellEnd"/>
      <w:r w:rsidR="00B5232F">
        <w:rPr>
          <w:rFonts w:ascii="Arial" w:hAnsi="Arial"/>
          <w:sz w:val="22"/>
          <w:szCs w:val="22"/>
        </w:rPr>
        <w:t xml:space="preserve"> imaging platform. Densitometry quantification was performed using Bio-Rad Image Lab software. Quantified densitometries were normalized to corresponding values for loading controls (Vinculin, GAPDH), unless otherwise noted.</w:t>
      </w:r>
    </w:p>
    <w:p w14:paraId="702449D0" w14:textId="77777777" w:rsidR="00B5232F" w:rsidRDefault="00B5232F" w:rsidP="0027535A">
      <w:pPr>
        <w:spacing w:line="480" w:lineRule="auto"/>
        <w:rPr>
          <w:rFonts w:ascii="Arial" w:hAnsi="Arial"/>
          <w:b/>
          <w:sz w:val="22"/>
          <w:szCs w:val="22"/>
        </w:rPr>
      </w:pPr>
    </w:p>
    <w:p w14:paraId="4E71353A" w14:textId="1B69BB23" w:rsidR="00E71E35" w:rsidRDefault="00EA3614" w:rsidP="0027535A">
      <w:pPr>
        <w:spacing w:line="480" w:lineRule="auto"/>
        <w:rPr>
          <w:rFonts w:ascii="Arial" w:hAnsi="Arial"/>
          <w:sz w:val="22"/>
          <w:szCs w:val="22"/>
        </w:rPr>
      </w:pPr>
      <w:r>
        <w:rPr>
          <w:rFonts w:ascii="Arial" w:hAnsi="Arial"/>
          <w:sz w:val="22"/>
          <w:szCs w:val="22"/>
        </w:rPr>
        <w:t>Table l</w:t>
      </w:r>
      <w:r w:rsidRPr="008548F1">
        <w:rPr>
          <w:rFonts w:ascii="Arial" w:hAnsi="Arial"/>
          <w:sz w:val="22"/>
          <w:szCs w:val="22"/>
        </w:rPr>
        <w:t>ist</w:t>
      </w:r>
      <w:r>
        <w:rPr>
          <w:rFonts w:ascii="Arial" w:hAnsi="Arial"/>
          <w:sz w:val="22"/>
          <w:szCs w:val="22"/>
        </w:rPr>
        <w:t>ing the primary</w:t>
      </w:r>
      <w:r w:rsidRPr="008548F1">
        <w:rPr>
          <w:rFonts w:ascii="Arial" w:hAnsi="Arial"/>
          <w:sz w:val="22"/>
          <w:szCs w:val="22"/>
        </w:rPr>
        <w:t xml:space="preserve"> antibodies </w:t>
      </w:r>
      <w:r>
        <w:rPr>
          <w:rFonts w:ascii="Arial" w:hAnsi="Arial"/>
          <w:sz w:val="22"/>
          <w:szCs w:val="22"/>
        </w:rPr>
        <w:t xml:space="preserve">that were </w:t>
      </w:r>
      <w:r w:rsidR="00B5232F">
        <w:rPr>
          <w:rFonts w:ascii="Arial" w:hAnsi="Arial"/>
          <w:sz w:val="22"/>
          <w:szCs w:val="22"/>
        </w:rPr>
        <w:t>used for immunoblotting:</w:t>
      </w:r>
    </w:p>
    <w:p w14:paraId="4300B6F2" w14:textId="10746193" w:rsidR="00A0785E" w:rsidRDefault="00930E3F" w:rsidP="0027535A">
      <w:pPr>
        <w:spacing w:line="480" w:lineRule="auto"/>
        <w:rPr>
          <w:rFonts w:ascii="Arial" w:hAnsi="Arial"/>
          <w:sz w:val="22"/>
          <w:szCs w:val="22"/>
        </w:rPr>
      </w:pPr>
      <w:r>
        <w:rPr>
          <w:rFonts w:ascii="Arial" w:hAnsi="Arial"/>
          <w:noProof/>
          <w:sz w:val="22"/>
          <w:szCs w:val="22"/>
        </w:rPr>
        <w:drawing>
          <wp:inline distT="0" distB="0" distL="0" distR="0" wp14:anchorId="339547CD" wp14:editId="1E6D1777">
            <wp:extent cx="4379595" cy="3571240"/>
            <wp:effectExtent l="0" t="0" r="0" b="10160"/>
            <wp:docPr id="1" name="Picture 1" descr="Macintosh HD:Users:Sarah:Desktop:Untitl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Desktop:Untitled.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9595" cy="3571240"/>
                    </a:xfrm>
                    <a:prstGeom prst="rect">
                      <a:avLst/>
                    </a:prstGeom>
                    <a:noFill/>
                    <a:ln>
                      <a:noFill/>
                    </a:ln>
                  </pic:spPr>
                </pic:pic>
              </a:graphicData>
            </a:graphic>
          </wp:inline>
        </w:drawing>
      </w:r>
    </w:p>
    <w:p w14:paraId="24FF5064" w14:textId="77777777" w:rsidR="00114D63" w:rsidRDefault="00114D63" w:rsidP="0027535A">
      <w:pPr>
        <w:spacing w:line="480" w:lineRule="auto"/>
        <w:rPr>
          <w:rFonts w:ascii="Arial" w:hAnsi="Arial"/>
          <w:b/>
          <w:i/>
          <w:sz w:val="22"/>
          <w:szCs w:val="22"/>
        </w:rPr>
      </w:pPr>
    </w:p>
    <w:p w14:paraId="24EAC986" w14:textId="77777777" w:rsidR="00CD25A9" w:rsidRDefault="00114D63" w:rsidP="0027535A">
      <w:pPr>
        <w:spacing w:line="480" w:lineRule="auto"/>
        <w:rPr>
          <w:rFonts w:ascii="Arial" w:hAnsi="Arial"/>
          <w:sz w:val="22"/>
          <w:szCs w:val="22"/>
        </w:rPr>
      </w:pPr>
      <w:r>
        <w:rPr>
          <w:rFonts w:ascii="Arial" w:hAnsi="Arial"/>
          <w:b/>
          <w:i/>
          <w:sz w:val="22"/>
          <w:szCs w:val="22"/>
        </w:rPr>
        <w:t xml:space="preserve">Real-time </w:t>
      </w:r>
      <w:r w:rsidRPr="00D70D32">
        <w:rPr>
          <w:rFonts w:ascii="Arial" w:hAnsi="Arial"/>
          <w:b/>
          <w:i/>
          <w:sz w:val="22"/>
          <w:szCs w:val="22"/>
        </w:rPr>
        <w:t>PCR</w:t>
      </w:r>
      <w:r w:rsidRPr="002569AF">
        <w:rPr>
          <w:rFonts w:ascii="Arial" w:hAnsi="Arial"/>
          <w:b/>
          <w:sz w:val="22"/>
          <w:szCs w:val="22"/>
        </w:rPr>
        <w:t>:</w:t>
      </w:r>
      <w:r>
        <w:rPr>
          <w:rFonts w:ascii="Arial" w:hAnsi="Arial"/>
          <w:b/>
          <w:sz w:val="22"/>
          <w:szCs w:val="22"/>
        </w:rPr>
        <w:t xml:space="preserve"> </w:t>
      </w:r>
      <w:r w:rsidR="00CD25A9">
        <w:rPr>
          <w:rFonts w:ascii="Arial" w:hAnsi="Arial"/>
          <w:sz w:val="22"/>
          <w:szCs w:val="22"/>
        </w:rPr>
        <w:t xml:space="preserve">RNA was isolated using the High Pure RNA Isolation kit (Roche) and the concentration of eluted RNA was quantified using a </w:t>
      </w:r>
      <w:proofErr w:type="spellStart"/>
      <w:r w:rsidR="00CD25A9">
        <w:rPr>
          <w:rFonts w:ascii="Arial" w:hAnsi="Arial"/>
          <w:sz w:val="22"/>
          <w:szCs w:val="22"/>
        </w:rPr>
        <w:t>NanoDrop</w:t>
      </w:r>
      <w:proofErr w:type="spellEnd"/>
      <w:r w:rsidR="00CD25A9">
        <w:rPr>
          <w:rFonts w:ascii="Arial" w:hAnsi="Arial"/>
          <w:sz w:val="22"/>
          <w:szCs w:val="22"/>
        </w:rPr>
        <w:t xml:space="preserve">. 1 </w:t>
      </w:r>
      <w:proofErr w:type="spellStart"/>
      <w:r w:rsidR="00CD25A9">
        <w:rPr>
          <w:rFonts w:ascii="Arial" w:hAnsi="Arial" w:cs="Arial"/>
          <w:sz w:val="22"/>
          <w:szCs w:val="22"/>
        </w:rPr>
        <w:t>μ</w:t>
      </w:r>
      <w:r w:rsidR="00CD25A9">
        <w:rPr>
          <w:rFonts w:ascii="Arial" w:hAnsi="Arial"/>
          <w:sz w:val="22"/>
          <w:szCs w:val="22"/>
        </w:rPr>
        <w:t>g</w:t>
      </w:r>
      <w:proofErr w:type="spellEnd"/>
      <w:r w:rsidR="00CD25A9">
        <w:rPr>
          <w:rFonts w:ascii="Arial" w:hAnsi="Arial"/>
          <w:sz w:val="22"/>
          <w:szCs w:val="22"/>
        </w:rPr>
        <w:t xml:space="preserve"> of RNA was converted to cDNA using the </w:t>
      </w:r>
      <w:proofErr w:type="spellStart"/>
      <w:r w:rsidR="00CD25A9">
        <w:rPr>
          <w:rFonts w:ascii="Arial" w:hAnsi="Arial"/>
          <w:sz w:val="22"/>
          <w:szCs w:val="22"/>
        </w:rPr>
        <w:t>iScript</w:t>
      </w:r>
      <w:proofErr w:type="spellEnd"/>
      <w:r w:rsidR="00CD25A9">
        <w:rPr>
          <w:rFonts w:ascii="Arial" w:hAnsi="Arial"/>
          <w:sz w:val="22"/>
          <w:szCs w:val="22"/>
        </w:rPr>
        <w:t xml:space="preserve"> cDNA Synthesis kit (</w:t>
      </w:r>
      <w:proofErr w:type="spellStart"/>
      <w:r w:rsidR="00CD25A9">
        <w:rPr>
          <w:rFonts w:ascii="Arial" w:hAnsi="Arial"/>
          <w:sz w:val="22"/>
          <w:szCs w:val="22"/>
        </w:rPr>
        <w:t>BioRad</w:t>
      </w:r>
      <w:proofErr w:type="spellEnd"/>
      <w:r w:rsidR="00CD25A9">
        <w:rPr>
          <w:rFonts w:ascii="Arial" w:hAnsi="Arial"/>
          <w:sz w:val="22"/>
          <w:szCs w:val="22"/>
        </w:rPr>
        <w:t>). cDNA was diluted 1:10 with sterile H</w:t>
      </w:r>
      <w:r w:rsidR="00CD25A9" w:rsidRPr="000B274F">
        <w:rPr>
          <w:rFonts w:ascii="Arial" w:hAnsi="Arial"/>
          <w:sz w:val="22"/>
          <w:szCs w:val="22"/>
          <w:vertAlign w:val="subscript"/>
        </w:rPr>
        <w:t>2</w:t>
      </w:r>
      <w:r w:rsidR="00CD25A9">
        <w:rPr>
          <w:rFonts w:ascii="Arial" w:hAnsi="Arial"/>
          <w:sz w:val="22"/>
          <w:szCs w:val="22"/>
        </w:rPr>
        <w:t xml:space="preserve">O </w:t>
      </w:r>
      <w:r w:rsidR="00CD25A9">
        <w:rPr>
          <w:rFonts w:ascii="Arial" w:hAnsi="Arial"/>
          <w:sz w:val="22"/>
          <w:szCs w:val="22"/>
        </w:rPr>
        <w:lastRenderedPageBreak/>
        <w:t xml:space="preserve">and real-time PCR was performed in triplicate using SYBR-Green reagent according to manufacturer instructions. </w:t>
      </w:r>
    </w:p>
    <w:p w14:paraId="1F3FB3FF" w14:textId="77777777" w:rsidR="00CD25A9" w:rsidRDefault="00CD25A9" w:rsidP="0027535A">
      <w:pPr>
        <w:spacing w:line="480" w:lineRule="auto"/>
        <w:rPr>
          <w:rFonts w:ascii="Arial" w:hAnsi="Arial"/>
          <w:sz w:val="22"/>
          <w:szCs w:val="22"/>
        </w:rPr>
      </w:pPr>
    </w:p>
    <w:p w14:paraId="109E2078" w14:textId="45A1DCDF" w:rsidR="00AD160B" w:rsidRPr="00114D63" w:rsidRDefault="00114D63" w:rsidP="0027535A">
      <w:pPr>
        <w:spacing w:line="480" w:lineRule="auto"/>
        <w:rPr>
          <w:rFonts w:ascii="Arial" w:hAnsi="Arial"/>
          <w:sz w:val="22"/>
          <w:szCs w:val="22"/>
        </w:rPr>
      </w:pPr>
      <w:r>
        <w:rPr>
          <w:rFonts w:ascii="Arial" w:hAnsi="Arial"/>
          <w:sz w:val="22"/>
          <w:szCs w:val="22"/>
        </w:rPr>
        <w:t xml:space="preserve">Primer </w:t>
      </w:r>
      <w:r w:rsidR="00CD25A9">
        <w:rPr>
          <w:rFonts w:ascii="Arial" w:hAnsi="Arial"/>
          <w:sz w:val="22"/>
          <w:szCs w:val="22"/>
        </w:rPr>
        <w:t>sequences utilized for RT-PCR:</w:t>
      </w:r>
    </w:p>
    <w:p w14:paraId="33AB1D41" w14:textId="77777777" w:rsidR="00114D63" w:rsidRPr="00CB13E2" w:rsidRDefault="00114D63" w:rsidP="00114D63">
      <w:pPr>
        <w:spacing w:line="480" w:lineRule="auto"/>
        <w:rPr>
          <w:rFonts w:ascii="Arial" w:hAnsi="Arial"/>
          <w:sz w:val="22"/>
          <w:szCs w:val="22"/>
        </w:rPr>
      </w:pPr>
      <w:r>
        <w:rPr>
          <w:rFonts w:ascii="Arial" w:hAnsi="Arial"/>
          <w:sz w:val="22"/>
          <w:szCs w:val="22"/>
        </w:rPr>
        <w:t xml:space="preserve">PPP2CA: F1 </w:t>
      </w:r>
      <w:r>
        <w:rPr>
          <w:rFonts w:ascii="Arial" w:hAnsi="Arial"/>
          <w:sz w:val="22"/>
          <w:szCs w:val="22"/>
        </w:rPr>
        <w:tab/>
        <w:t>5’-</w:t>
      </w:r>
      <w:r w:rsidRPr="00CB13E2">
        <w:rPr>
          <w:rFonts w:ascii="Arial" w:hAnsi="Arial"/>
          <w:sz w:val="22"/>
          <w:szCs w:val="22"/>
        </w:rPr>
        <w:t>AGGAGCTGGTTACACCTTTG</w:t>
      </w:r>
      <w:r>
        <w:rPr>
          <w:rFonts w:ascii="Arial" w:hAnsi="Arial"/>
          <w:sz w:val="22"/>
          <w:szCs w:val="22"/>
        </w:rPr>
        <w:t>-3’</w:t>
      </w:r>
    </w:p>
    <w:p w14:paraId="468E05ED" w14:textId="77777777" w:rsidR="00114D63" w:rsidRPr="00CB13E2" w:rsidRDefault="00114D63" w:rsidP="00114D63">
      <w:pPr>
        <w:spacing w:line="480" w:lineRule="auto"/>
        <w:rPr>
          <w:rFonts w:ascii="Arial" w:hAnsi="Arial"/>
          <w:sz w:val="22"/>
          <w:szCs w:val="22"/>
        </w:rPr>
      </w:pPr>
      <w:r>
        <w:rPr>
          <w:rFonts w:ascii="Arial" w:hAnsi="Arial"/>
          <w:sz w:val="22"/>
          <w:szCs w:val="22"/>
        </w:rPr>
        <w:t xml:space="preserve">PPP2CA: </w:t>
      </w:r>
      <w:r w:rsidRPr="00CB13E2">
        <w:rPr>
          <w:rFonts w:ascii="Arial" w:hAnsi="Arial"/>
          <w:sz w:val="22"/>
          <w:szCs w:val="22"/>
        </w:rPr>
        <w:t xml:space="preserve">R1 </w:t>
      </w:r>
      <w:r>
        <w:rPr>
          <w:rFonts w:ascii="Arial" w:hAnsi="Arial"/>
          <w:sz w:val="22"/>
          <w:szCs w:val="22"/>
        </w:rPr>
        <w:tab/>
        <w:t>5’-</w:t>
      </w:r>
      <w:r w:rsidRPr="00CB13E2">
        <w:rPr>
          <w:rFonts w:ascii="Arial" w:hAnsi="Arial"/>
          <w:sz w:val="22"/>
          <w:szCs w:val="22"/>
        </w:rPr>
        <w:t>GCACCAGTTATATCCCTCCATC</w:t>
      </w:r>
      <w:r>
        <w:rPr>
          <w:rFonts w:ascii="Arial" w:hAnsi="Arial"/>
          <w:sz w:val="22"/>
          <w:szCs w:val="22"/>
        </w:rPr>
        <w:t>-3’</w:t>
      </w:r>
    </w:p>
    <w:p w14:paraId="51864198" w14:textId="77777777" w:rsidR="00114D63" w:rsidRPr="00CB13E2" w:rsidRDefault="00114D63" w:rsidP="00114D63">
      <w:pPr>
        <w:spacing w:line="480" w:lineRule="auto"/>
        <w:rPr>
          <w:rFonts w:ascii="Arial" w:hAnsi="Arial"/>
          <w:sz w:val="22"/>
          <w:szCs w:val="22"/>
        </w:rPr>
      </w:pPr>
      <w:r>
        <w:rPr>
          <w:rFonts w:ascii="Arial" w:hAnsi="Arial"/>
          <w:sz w:val="22"/>
          <w:szCs w:val="22"/>
        </w:rPr>
        <w:t xml:space="preserve">PPP2CA: </w:t>
      </w:r>
      <w:r w:rsidRPr="00CB13E2">
        <w:rPr>
          <w:rFonts w:ascii="Arial" w:hAnsi="Arial"/>
          <w:sz w:val="22"/>
          <w:szCs w:val="22"/>
        </w:rPr>
        <w:t xml:space="preserve">F2 </w:t>
      </w:r>
      <w:r>
        <w:rPr>
          <w:rFonts w:ascii="Arial" w:hAnsi="Arial"/>
          <w:sz w:val="22"/>
          <w:szCs w:val="22"/>
        </w:rPr>
        <w:tab/>
        <w:t>5’-</w:t>
      </w:r>
      <w:r w:rsidRPr="00CB13E2">
        <w:rPr>
          <w:rFonts w:ascii="Arial" w:hAnsi="Arial"/>
          <w:sz w:val="22"/>
          <w:szCs w:val="22"/>
        </w:rPr>
        <w:t>CCTCTGCGAGAAGGCTAAAG</w:t>
      </w:r>
      <w:r>
        <w:rPr>
          <w:rFonts w:ascii="Arial" w:hAnsi="Arial"/>
          <w:sz w:val="22"/>
          <w:szCs w:val="22"/>
        </w:rPr>
        <w:t>-3’</w:t>
      </w:r>
    </w:p>
    <w:p w14:paraId="268F3EA9" w14:textId="77777777" w:rsidR="00114D63" w:rsidRDefault="00114D63" w:rsidP="00114D63">
      <w:pPr>
        <w:spacing w:line="480" w:lineRule="auto"/>
        <w:rPr>
          <w:rFonts w:ascii="Arial" w:hAnsi="Arial"/>
          <w:sz w:val="22"/>
          <w:szCs w:val="22"/>
        </w:rPr>
      </w:pPr>
      <w:r>
        <w:rPr>
          <w:rFonts w:ascii="Arial" w:hAnsi="Arial"/>
          <w:sz w:val="22"/>
          <w:szCs w:val="22"/>
        </w:rPr>
        <w:t>PPP2CA: R2</w:t>
      </w:r>
      <w:r w:rsidRPr="00CB13E2">
        <w:rPr>
          <w:rFonts w:ascii="Arial" w:hAnsi="Arial"/>
          <w:sz w:val="22"/>
          <w:szCs w:val="22"/>
        </w:rPr>
        <w:t xml:space="preserve"> </w:t>
      </w:r>
      <w:r>
        <w:rPr>
          <w:rFonts w:ascii="Arial" w:hAnsi="Arial"/>
          <w:sz w:val="22"/>
          <w:szCs w:val="22"/>
        </w:rPr>
        <w:tab/>
        <w:t>5’-</w:t>
      </w:r>
      <w:r w:rsidRPr="00CB13E2">
        <w:rPr>
          <w:rFonts w:ascii="Arial" w:hAnsi="Arial"/>
          <w:sz w:val="22"/>
          <w:szCs w:val="22"/>
        </w:rPr>
        <w:t>GCCCATGCACATCTCCACAG</w:t>
      </w:r>
      <w:r>
        <w:rPr>
          <w:rFonts w:ascii="Arial" w:hAnsi="Arial"/>
          <w:sz w:val="22"/>
          <w:szCs w:val="22"/>
        </w:rPr>
        <w:t>-3’</w:t>
      </w:r>
    </w:p>
    <w:p w14:paraId="60639616" w14:textId="77777777" w:rsidR="00114D63" w:rsidRDefault="00114D63" w:rsidP="00114D63">
      <w:pPr>
        <w:spacing w:line="480" w:lineRule="auto"/>
        <w:rPr>
          <w:rFonts w:ascii="Arial" w:hAnsi="Arial"/>
          <w:sz w:val="22"/>
          <w:szCs w:val="22"/>
        </w:rPr>
      </w:pPr>
      <w:r>
        <w:rPr>
          <w:rFonts w:ascii="Arial" w:hAnsi="Arial"/>
          <w:sz w:val="22"/>
          <w:szCs w:val="22"/>
        </w:rPr>
        <w:t>PPP2R2A: F1</w:t>
      </w:r>
      <w:r>
        <w:rPr>
          <w:rFonts w:ascii="Arial" w:hAnsi="Arial"/>
          <w:sz w:val="22"/>
          <w:szCs w:val="22"/>
        </w:rPr>
        <w:tab/>
        <w:t>5’-</w:t>
      </w:r>
      <w:r w:rsidRPr="00951796">
        <w:rPr>
          <w:rFonts w:ascii="Arial" w:hAnsi="Arial"/>
          <w:sz w:val="22"/>
          <w:szCs w:val="22"/>
        </w:rPr>
        <w:t>CCACCTTTATCTCCTGTTGC</w:t>
      </w:r>
      <w:r>
        <w:rPr>
          <w:rFonts w:ascii="Arial" w:hAnsi="Arial"/>
          <w:sz w:val="22"/>
          <w:szCs w:val="22"/>
        </w:rPr>
        <w:t>-3’</w:t>
      </w:r>
    </w:p>
    <w:p w14:paraId="6781A8C6" w14:textId="77777777" w:rsidR="00114D63" w:rsidRDefault="00114D63" w:rsidP="00114D63">
      <w:pPr>
        <w:spacing w:line="480" w:lineRule="auto"/>
        <w:rPr>
          <w:rFonts w:ascii="Arial" w:hAnsi="Arial"/>
          <w:sz w:val="22"/>
          <w:szCs w:val="22"/>
        </w:rPr>
      </w:pPr>
      <w:r>
        <w:rPr>
          <w:rFonts w:ascii="Arial" w:hAnsi="Arial"/>
          <w:sz w:val="22"/>
          <w:szCs w:val="22"/>
        </w:rPr>
        <w:t>PPP2R2A: R1</w:t>
      </w:r>
      <w:r>
        <w:rPr>
          <w:rFonts w:ascii="Arial" w:hAnsi="Arial"/>
          <w:sz w:val="22"/>
          <w:szCs w:val="22"/>
        </w:rPr>
        <w:tab/>
        <w:t>5’-</w:t>
      </w:r>
      <w:r w:rsidRPr="00951796">
        <w:rPr>
          <w:rFonts w:ascii="Arial" w:hAnsi="Arial"/>
          <w:sz w:val="22"/>
          <w:szCs w:val="22"/>
        </w:rPr>
        <w:t>TTTCTCAGGTGAAAGGAGCAG</w:t>
      </w:r>
      <w:r>
        <w:rPr>
          <w:rFonts w:ascii="Arial" w:hAnsi="Arial"/>
          <w:sz w:val="22"/>
          <w:szCs w:val="22"/>
        </w:rPr>
        <w:t>-3’</w:t>
      </w:r>
    </w:p>
    <w:p w14:paraId="7434AB83" w14:textId="77777777" w:rsidR="00114D63" w:rsidRDefault="00114D63" w:rsidP="00114D63">
      <w:pPr>
        <w:spacing w:line="480" w:lineRule="auto"/>
        <w:rPr>
          <w:rFonts w:ascii="Arial" w:hAnsi="Arial"/>
          <w:sz w:val="22"/>
          <w:szCs w:val="22"/>
        </w:rPr>
      </w:pPr>
      <w:r>
        <w:rPr>
          <w:rFonts w:ascii="Arial" w:hAnsi="Arial"/>
          <w:sz w:val="22"/>
          <w:szCs w:val="22"/>
        </w:rPr>
        <w:t>PPP2R2A: F2</w:t>
      </w:r>
      <w:r>
        <w:rPr>
          <w:rFonts w:ascii="Arial" w:hAnsi="Arial"/>
          <w:sz w:val="22"/>
          <w:szCs w:val="22"/>
        </w:rPr>
        <w:tab/>
        <w:t>5’-</w:t>
      </w:r>
      <w:r w:rsidRPr="00951796">
        <w:rPr>
          <w:rFonts w:ascii="Arial" w:hAnsi="Arial"/>
          <w:sz w:val="22"/>
          <w:szCs w:val="22"/>
        </w:rPr>
        <w:t>CCACCTTTATCTCCTGTTGCT</w:t>
      </w:r>
      <w:r>
        <w:rPr>
          <w:rFonts w:ascii="Arial" w:hAnsi="Arial"/>
          <w:sz w:val="22"/>
          <w:szCs w:val="22"/>
        </w:rPr>
        <w:t>-3’</w:t>
      </w:r>
    </w:p>
    <w:p w14:paraId="23A4BCE6" w14:textId="77777777" w:rsidR="00114D63" w:rsidRDefault="00114D63" w:rsidP="00114D63">
      <w:pPr>
        <w:spacing w:line="480" w:lineRule="auto"/>
        <w:rPr>
          <w:rFonts w:ascii="Arial" w:hAnsi="Arial"/>
          <w:sz w:val="22"/>
          <w:szCs w:val="22"/>
        </w:rPr>
      </w:pPr>
      <w:r>
        <w:rPr>
          <w:rFonts w:ascii="Arial" w:hAnsi="Arial"/>
          <w:sz w:val="22"/>
          <w:szCs w:val="22"/>
        </w:rPr>
        <w:t>PPP2R2A: R2</w:t>
      </w:r>
      <w:r>
        <w:rPr>
          <w:rFonts w:ascii="Arial" w:hAnsi="Arial"/>
          <w:sz w:val="22"/>
          <w:szCs w:val="22"/>
        </w:rPr>
        <w:tab/>
        <w:t>5’-</w:t>
      </w:r>
      <w:r w:rsidRPr="00951796">
        <w:rPr>
          <w:rFonts w:ascii="Arial" w:hAnsi="Arial"/>
          <w:sz w:val="22"/>
          <w:szCs w:val="22"/>
        </w:rPr>
        <w:t>GGTGTTTTTCTCAGGTGAAAGG</w:t>
      </w:r>
      <w:r>
        <w:rPr>
          <w:rFonts w:ascii="Arial" w:hAnsi="Arial"/>
          <w:sz w:val="22"/>
          <w:szCs w:val="22"/>
        </w:rPr>
        <w:t>-3’</w:t>
      </w:r>
    </w:p>
    <w:p w14:paraId="01EF8439" w14:textId="77777777" w:rsidR="00114D63" w:rsidRDefault="00114D63" w:rsidP="00114D63">
      <w:pPr>
        <w:spacing w:line="480" w:lineRule="auto"/>
        <w:rPr>
          <w:rFonts w:ascii="Arial" w:hAnsi="Arial"/>
          <w:sz w:val="22"/>
          <w:szCs w:val="22"/>
        </w:rPr>
      </w:pPr>
      <w:r>
        <w:rPr>
          <w:rFonts w:ascii="Arial" w:hAnsi="Arial"/>
          <w:sz w:val="22"/>
          <w:szCs w:val="22"/>
        </w:rPr>
        <w:t>PPP2R5A: F1</w:t>
      </w:r>
      <w:r>
        <w:rPr>
          <w:rFonts w:ascii="Arial" w:hAnsi="Arial"/>
          <w:sz w:val="22"/>
          <w:szCs w:val="22"/>
        </w:rPr>
        <w:tab/>
        <w:t>5’-</w:t>
      </w:r>
      <w:r w:rsidRPr="00951796">
        <w:rPr>
          <w:rFonts w:ascii="Arial" w:hAnsi="Arial"/>
          <w:sz w:val="22"/>
          <w:szCs w:val="22"/>
        </w:rPr>
        <w:t>CTTGTTGTTCATTTGAAGTGGC</w:t>
      </w:r>
      <w:r>
        <w:rPr>
          <w:rFonts w:ascii="Arial" w:hAnsi="Arial"/>
          <w:sz w:val="22"/>
          <w:szCs w:val="22"/>
        </w:rPr>
        <w:t>-3’</w:t>
      </w:r>
    </w:p>
    <w:p w14:paraId="5CB028D1" w14:textId="77777777" w:rsidR="00114D63" w:rsidRDefault="00114D63" w:rsidP="00114D63">
      <w:pPr>
        <w:spacing w:line="480" w:lineRule="auto"/>
        <w:rPr>
          <w:rFonts w:ascii="Arial" w:hAnsi="Arial"/>
          <w:sz w:val="22"/>
          <w:szCs w:val="22"/>
        </w:rPr>
      </w:pPr>
      <w:r>
        <w:rPr>
          <w:rFonts w:ascii="Arial" w:hAnsi="Arial"/>
          <w:sz w:val="22"/>
          <w:szCs w:val="22"/>
        </w:rPr>
        <w:t>PPP2R5A: R1</w:t>
      </w:r>
      <w:r>
        <w:rPr>
          <w:rFonts w:ascii="Arial" w:hAnsi="Arial"/>
          <w:sz w:val="22"/>
          <w:szCs w:val="22"/>
        </w:rPr>
        <w:tab/>
        <w:t>5’-</w:t>
      </w:r>
      <w:r w:rsidRPr="00951796">
        <w:rPr>
          <w:rFonts w:ascii="Arial" w:hAnsi="Arial"/>
          <w:sz w:val="22"/>
          <w:szCs w:val="22"/>
        </w:rPr>
        <w:t>AGGGCTCGTCGCAGTTTC</w:t>
      </w:r>
      <w:r>
        <w:rPr>
          <w:rFonts w:ascii="Arial" w:hAnsi="Arial"/>
          <w:sz w:val="22"/>
          <w:szCs w:val="22"/>
        </w:rPr>
        <w:t>-3’</w:t>
      </w:r>
    </w:p>
    <w:p w14:paraId="6D1AB6E9" w14:textId="77777777" w:rsidR="00114D63" w:rsidRDefault="00114D63" w:rsidP="00114D63">
      <w:pPr>
        <w:spacing w:line="480" w:lineRule="auto"/>
        <w:rPr>
          <w:rFonts w:ascii="Arial" w:hAnsi="Arial"/>
          <w:sz w:val="22"/>
          <w:szCs w:val="22"/>
        </w:rPr>
      </w:pPr>
      <w:r>
        <w:rPr>
          <w:rFonts w:ascii="Arial" w:hAnsi="Arial"/>
          <w:sz w:val="22"/>
          <w:szCs w:val="22"/>
        </w:rPr>
        <w:t>PPP2R5A: F2</w:t>
      </w:r>
      <w:r>
        <w:rPr>
          <w:rFonts w:ascii="Arial" w:hAnsi="Arial"/>
          <w:sz w:val="22"/>
          <w:szCs w:val="22"/>
        </w:rPr>
        <w:tab/>
        <w:t>5’-</w:t>
      </w:r>
      <w:r w:rsidRPr="00951796">
        <w:rPr>
          <w:rFonts w:ascii="Arial" w:hAnsi="Arial"/>
          <w:sz w:val="22"/>
          <w:szCs w:val="22"/>
        </w:rPr>
        <w:t>CACTGCTGCAACTTCTGACA</w:t>
      </w:r>
      <w:r>
        <w:rPr>
          <w:rFonts w:ascii="Arial" w:hAnsi="Arial"/>
          <w:sz w:val="22"/>
          <w:szCs w:val="22"/>
        </w:rPr>
        <w:t>-3’</w:t>
      </w:r>
    </w:p>
    <w:p w14:paraId="34E80973" w14:textId="77777777" w:rsidR="00114D63" w:rsidRDefault="00114D63" w:rsidP="00114D63">
      <w:pPr>
        <w:spacing w:line="480" w:lineRule="auto"/>
        <w:rPr>
          <w:rFonts w:ascii="Arial" w:hAnsi="Arial"/>
          <w:sz w:val="22"/>
          <w:szCs w:val="22"/>
        </w:rPr>
      </w:pPr>
      <w:r>
        <w:rPr>
          <w:rFonts w:ascii="Arial" w:hAnsi="Arial"/>
          <w:sz w:val="22"/>
          <w:szCs w:val="22"/>
        </w:rPr>
        <w:t>PPP2R5A: R2</w:t>
      </w:r>
      <w:r>
        <w:rPr>
          <w:rFonts w:ascii="Arial" w:hAnsi="Arial"/>
          <w:sz w:val="22"/>
          <w:szCs w:val="22"/>
        </w:rPr>
        <w:tab/>
        <w:t>5’-</w:t>
      </w:r>
      <w:r w:rsidRPr="00951796">
        <w:rPr>
          <w:rFonts w:ascii="Arial" w:hAnsi="Arial"/>
          <w:sz w:val="22"/>
          <w:szCs w:val="22"/>
        </w:rPr>
        <w:t>AGGGCTCGTCGCAGTTT</w:t>
      </w:r>
      <w:r>
        <w:rPr>
          <w:rFonts w:ascii="Arial" w:hAnsi="Arial"/>
          <w:sz w:val="22"/>
          <w:szCs w:val="22"/>
        </w:rPr>
        <w:t>-3’</w:t>
      </w:r>
    </w:p>
    <w:p w14:paraId="295E1651" w14:textId="77777777" w:rsidR="00114D63" w:rsidRDefault="00114D63" w:rsidP="00114D63">
      <w:pPr>
        <w:spacing w:line="480" w:lineRule="auto"/>
        <w:rPr>
          <w:rFonts w:ascii="Arial" w:hAnsi="Arial"/>
          <w:sz w:val="22"/>
          <w:szCs w:val="22"/>
        </w:rPr>
      </w:pPr>
    </w:p>
    <w:p w14:paraId="0DBAB5C2" w14:textId="5A29E8CD" w:rsidR="00114D63" w:rsidRDefault="00114D63" w:rsidP="00114D63">
      <w:pPr>
        <w:spacing w:line="480" w:lineRule="auto"/>
        <w:rPr>
          <w:rFonts w:ascii="Arial" w:hAnsi="Arial"/>
          <w:sz w:val="22"/>
          <w:szCs w:val="22"/>
        </w:rPr>
      </w:pPr>
      <w:r>
        <w:rPr>
          <w:rFonts w:ascii="Arial" w:hAnsi="Arial"/>
          <w:b/>
          <w:i/>
          <w:sz w:val="22"/>
          <w:szCs w:val="22"/>
        </w:rPr>
        <w:t>Proteasome i</w:t>
      </w:r>
      <w:r w:rsidRPr="00D70D32">
        <w:rPr>
          <w:rFonts w:ascii="Arial" w:hAnsi="Arial"/>
          <w:b/>
          <w:i/>
          <w:sz w:val="22"/>
          <w:szCs w:val="22"/>
        </w:rPr>
        <w:t xml:space="preserve">nhibition and </w:t>
      </w:r>
      <w:r>
        <w:rPr>
          <w:rFonts w:ascii="Arial" w:hAnsi="Arial"/>
          <w:b/>
          <w:i/>
          <w:sz w:val="22"/>
          <w:szCs w:val="22"/>
        </w:rPr>
        <w:t>h</w:t>
      </w:r>
      <w:r w:rsidRPr="00D70D32">
        <w:rPr>
          <w:rFonts w:ascii="Arial" w:hAnsi="Arial"/>
          <w:b/>
          <w:i/>
          <w:sz w:val="22"/>
          <w:szCs w:val="22"/>
        </w:rPr>
        <w:t>alf-life studies</w:t>
      </w:r>
      <w:r>
        <w:rPr>
          <w:rFonts w:ascii="Arial" w:hAnsi="Arial"/>
          <w:b/>
          <w:sz w:val="22"/>
          <w:szCs w:val="22"/>
        </w:rPr>
        <w:t xml:space="preserve">: </w:t>
      </w:r>
      <w:r w:rsidRPr="0027535A">
        <w:rPr>
          <w:rFonts w:ascii="Arial" w:hAnsi="Arial"/>
          <w:sz w:val="22"/>
          <w:szCs w:val="22"/>
        </w:rPr>
        <w:t>Table providing details of the statistical analysis of data from the cycloheximide experiments</w:t>
      </w:r>
      <w:r>
        <w:rPr>
          <w:rFonts w:ascii="Arial" w:hAnsi="Arial"/>
          <w:sz w:val="22"/>
          <w:szCs w:val="22"/>
        </w:rPr>
        <w:t xml:space="preserve"> (</w:t>
      </w:r>
      <w:r w:rsidRPr="009F5349">
        <w:rPr>
          <w:rFonts w:ascii="Arial" w:hAnsi="Arial"/>
          <w:b/>
          <w:sz w:val="22"/>
          <w:szCs w:val="22"/>
        </w:rPr>
        <w:t>Figure 4</w:t>
      </w:r>
      <w:r w:rsidR="00930E3F">
        <w:rPr>
          <w:rFonts w:ascii="Arial" w:hAnsi="Arial"/>
          <w:b/>
          <w:sz w:val="22"/>
          <w:szCs w:val="22"/>
        </w:rPr>
        <w:t>f-g</w:t>
      </w:r>
      <w:r>
        <w:rPr>
          <w:rFonts w:ascii="Arial" w:hAnsi="Arial"/>
          <w:sz w:val="22"/>
          <w:szCs w:val="22"/>
        </w:rPr>
        <w:t>). Raw data had been Ln-transformed and submitted to linear regression analysis using GraphPad Prism. First, analysis of covariance (ANCOVA) was performed to determine if the regression lines were different, which revealed that at least one slope was significantly different between the groups (EGFP, WT, P179R). Next, an ANOVA with Tukey’s post-hoc t-tests was performed on the slope and standard error values provided by the Prism regression in order to identify between which specific pairs there was a significant difference.</w:t>
      </w:r>
    </w:p>
    <w:p w14:paraId="4EDB8D05" w14:textId="77777777" w:rsidR="00114D63" w:rsidRPr="009D66CD" w:rsidRDefault="00114D63" w:rsidP="00114D63">
      <w:pPr>
        <w:spacing w:line="480" w:lineRule="auto"/>
        <w:rPr>
          <w:rFonts w:ascii="Arial" w:hAnsi="Arial"/>
          <w:sz w:val="22"/>
          <w:szCs w:val="22"/>
        </w:rPr>
      </w:pPr>
      <w:r>
        <w:rPr>
          <w:rFonts w:ascii="Arial" w:hAnsi="Arial"/>
          <w:noProof/>
          <w:sz w:val="22"/>
          <w:szCs w:val="22"/>
        </w:rPr>
        <w:lastRenderedPageBreak/>
        <w:drawing>
          <wp:inline distT="0" distB="0" distL="0" distR="0" wp14:anchorId="57BDE5D6" wp14:editId="2B272799">
            <wp:extent cx="4645025" cy="2183765"/>
            <wp:effectExtent l="0" t="0" r="3175" b="635"/>
            <wp:docPr id="7" name="Picture 7" descr="Macintosh HD:Users:Sarah:Desktop: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arah:Desktop:2.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5025" cy="2183765"/>
                    </a:xfrm>
                    <a:prstGeom prst="rect">
                      <a:avLst/>
                    </a:prstGeom>
                    <a:noFill/>
                    <a:ln>
                      <a:noFill/>
                    </a:ln>
                  </pic:spPr>
                </pic:pic>
              </a:graphicData>
            </a:graphic>
          </wp:inline>
        </w:drawing>
      </w:r>
    </w:p>
    <w:p w14:paraId="17074A51" w14:textId="77777777" w:rsidR="00114D63" w:rsidRDefault="00114D63" w:rsidP="00114D63">
      <w:pPr>
        <w:spacing w:line="480" w:lineRule="auto"/>
        <w:rPr>
          <w:rFonts w:ascii="Arial" w:hAnsi="Arial"/>
          <w:sz w:val="22"/>
          <w:szCs w:val="22"/>
        </w:rPr>
      </w:pPr>
    </w:p>
    <w:p w14:paraId="6C041B74" w14:textId="77777777" w:rsidR="003D1A47" w:rsidRDefault="003D1A47" w:rsidP="003D1A47">
      <w:pPr>
        <w:spacing w:line="480" w:lineRule="auto"/>
        <w:rPr>
          <w:rFonts w:ascii="Arial" w:hAnsi="Arial"/>
          <w:sz w:val="22"/>
          <w:szCs w:val="22"/>
        </w:rPr>
      </w:pPr>
      <w:r w:rsidRPr="00D70D32">
        <w:rPr>
          <w:rFonts w:ascii="Arial" w:hAnsi="Arial"/>
          <w:b/>
          <w:i/>
          <w:sz w:val="22"/>
          <w:szCs w:val="22"/>
        </w:rPr>
        <w:t>Clonogenicity assay</w:t>
      </w:r>
      <w:r w:rsidRPr="002569AF">
        <w:rPr>
          <w:rFonts w:ascii="Arial" w:hAnsi="Arial"/>
          <w:b/>
          <w:sz w:val="22"/>
          <w:szCs w:val="22"/>
        </w:rPr>
        <w:t>:</w:t>
      </w:r>
      <w:r>
        <w:rPr>
          <w:rFonts w:ascii="Arial" w:hAnsi="Arial"/>
          <w:sz w:val="22"/>
          <w:szCs w:val="22"/>
        </w:rPr>
        <w:t xml:space="preserve"> Colony formation was assessed through seeding of 250 (UT89) or 500 (UT42) cells per well of a 6-well plate. Plates were incubated for 8-10 days, with media changes every 2-4 days (for colony formations with SMAP-061 treatment, media is changed every 2 days). At end, plates were triple-washed with cold PBS, fixed for 30 minutes with 10% acetic acid and 10% methanol in diH2O on a rotating shaker, and then stained with 1% crystal violet dissolved in methanol. Colonies were counted using ImageJ software.</w:t>
      </w:r>
    </w:p>
    <w:p w14:paraId="346D9BF0" w14:textId="77777777" w:rsidR="003D1A47" w:rsidRDefault="003D1A47" w:rsidP="00114D63">
      <w:pPr>
        <w:spacing w:line="480" w:lineRule="auto"/>
        <w:rPr>
          <w:rFonts w:ascii="Arial" w:hAnsi="Arial"/>
          <w:sz w:val="22"/>
          <w:szCs w:val="22"/>
        </w:rPr>
      </w:pPr>
    </w:p>
    <w:p w14:paraId="1ACAF7EC" w14:textId="14D4DFA2" w:rsidR="00114D63" w:rsidRPr="00114D63" w:rsidRDefault="00114D63" w:rsidP="00114D63">
      <w:pPr>
        <w:spacing w:line="480" w:lineRule="auto"/>
        <w:rPr>
          <w:rFonts w:ascii="Arial" w:hAnsi="Arial"/>
          <w:sz w:val="22"/>
          <w:szCs w:val="22"/>
        </w:rPr>
      </w:pPr>
      <w:r>
        <w:rPr>
          <w:rFonts w:ascii="Arial" w:hAnsi="Arial"/>
          <w:b/>
          <w:i/>
          <w:sz w:val="22"/>
          <w:szCs w:val="22"/>
        </w:rPr>
        <w:t>Protein expression, purification, crystallization and structure determination</w:t>
      </w:r>
      <w:r>
        <w:rPr>
          <w:rFonts w:ascii="Arial" w:hAnsi="Arial"/>
          <w:b/>
          <w:sz w:val="22"/>
          <w:szCs w:val="22"/>
        </w:rPr>
        <w:t xml:space="preserve">: </w:t>
      </w:r>
      <w:r>
        <w:rPr>
          <w:rFonts w:ascii="Arial" w:hAnsi="Arial"/>
          <w:sz w:val="22"/>
          <w:szCs w:val="22"/>
        </w:rPr>
        <w:t>Table elaborating the crystallographic data collection and refinement s</w:t>
      </w:r>
      <w:r w:rsidRPr="009D66CD">
        <w:rPr>
          <w:rFonts w:ascii="Arial" w:hAnsi="Arial"/>
          <w:sz w:val="22"/>
          <w:szCs w:val="22"/>
        </w:rPr>
        <w:t>tatistics</w:t>
      </w:r>
      <w:r>
        <w:rPr>
          <w:rFonts w:ascii="Arial" w:hAnsi="Arial"/>
          <w:sz w:val="22"/>
          <w:szCs w:val="22"/>
        </w:rPr>
        <w:t xml:space="preserve"> as applies to the determination of a </w:t>
      </w:r>
      <w:r>
        <w:rPr>
          <w:rFonts w:ascii="Arial" w:hAnsi="Arial"/>
          <w:i/>
          <w:sz w:val="22"/>
          <w:szCs w:val="22"/>
        </w:rPr>
        <w:t xml:space="preserve">PPP2R1A </w:t>
      </w:r>
      <w:r>
        <w:rPr>
          <w:rFonts w:ascii="Arial" w:hAnsi="Arial"/>
          <w:sz w:val="22"/>
          <w:szCs w:val="22"/>
        </w:rPr>
        <w:t>P179R mutant crystal structure</w:t>
      </w:r>
      <w:r w:rsidR="00930E3F">
        <w:rPr>
          <w:rFonts w:ascii="Arial" w:hAnsi="Arial"/>
          <w:sz w:val="22"/>
          <w:szCs w:val="22"/>
        </w:rPr>
        <w:t xml:space="preserve"> (</w:t>
      </w:r>
      <w:r w:rsidR="00930E3F" w:rsidRPr="00930E3F">
        <w:rPr>
          <w:rFonts w:ascii="Arial" w:hAnsi="Arial"/>
          <w:b/>
          <w:sz w:val="22"/>
          <w:szCs w:val="22"/>
        </w:rPr>
        <w:t>Figure 2d-e</w:t>
      </w:r>
      <w:r w:rsidR="00930E3F">
        <w:rPr>
          <w:rFonts w:ascii="Arial" w:hAnsi="Arial"/>
          <w:sz w:val="22"/>
          <w:szCs w:val="22"/>
        </w:rPr>
        <w:t>)</w:t>
      </w:r>
      <w:r>
        <w:rPr>
          <w:rFonts w:ascii="Arial" w:hAnsi="Arial"/>
          <w:sz w:val="22"/>
          <w:szCs w:val="22"/>
        </w:rPr>
        <w:t>. AU,</w:t>
      </w:r>
      <w:r w:rsidRPr="009D66CD">
        <w:rPr>
          <w:rFonts w:ascii="Arial" w:hAnsi="Arial"/>
          <w:sz w:val="22"/>
          <w:szCs w:val="22"/>
        </w:rPr>
        <w:t xml:space="preserve"> asymmetric unit; </w:t>
      </w:r>
      <w:proofErr w:type="spellStart"/>
      <w:r w:rsidRPr="009D66CD">
        <w:rPr>
          <w:rFonts w:ascii="Arial" w:hAnsi="Arial"/>
          <w:sz w:val="22"/>
          <w:szCs w:val="22"/>
        </w:rPr>
        <w:t>Rmsd</w:t>
      </w:r>
      <w:proofErr w:type="spellEnd"/>
      <w:r w:rsidRPr="009D66CD">
        <w:rPr>
          <w:rFonts w:ascii="Arial" w:hAnsi="Arial"/>
          <w:sz w:val="22"/>
          <w:szCs w:val="22"/>
        </w:rPr>
        <w:t>, root-mean-square deviation. Values in parentheses indicate the corresponding statistics in the highest-resolution shell. CC1/2 is the correlation coefficient between symmetry-related intensities taken from random halves of the dataset.</w:t>
      </w:r>
    </w:p>
    <w:p w14:paraId="519E177C" w14:textId="1F75C433" w:rsidR="00EA3614" w:rsidRDefault="00114D63" w:rsidP="00AB35A2">
      <w:pPr>
        <w:spacing w:line="480" w:lineRule="auto"/>
        <w:rPr>
          <w:rFonts w:ascii="Arial" w:hAnsi="Arial"/>
          <w:b/>
          <w:sz w:val="22"/>
          <w:szCs w:val="22"/>
        </w:rPr>
      </w:pPr>
      <w:r>
        <w:rPr>
          <w:rFonts w:ascii="Arial" w:hAnsi="Arial"/>
          <w:b/>
          <w:noProof/>
          <w:sz w:val="22"/>
          <w:szCs w:val="22"/>
        </w:rPr>
        <w:lastRenderedPageBreak/>
        <w:drawing>
          <wp:inline distT="0" distB="0" distL="0" distR="0" wp14:anchorId="4ACD6E03" wp14:editId="460235BE">
            <wp:extent cx="3221355" cy="3209290"/>
            <wp:effectExtent l="0" t="0" r="4445" b="0"/>
            <wp:docPr id="26" name="Picture 26" descr="Macintosh HD:Users:Sarah:Desktop:Untitl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Sarah:Desktop:Untitled.pd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1355" cy="3209290"/>
                    </a:xfrm>
                    <a:prstGeom prst="rect">
                      <a:avLst/>
                    </a:prstGeom>
                    <a:noFill/>
                    <a:ln>
                      <a:noFill/>
                    </a:ln>
                  </pic:spPr>
                </pic:pic>
              </a:graphicData>
            </a:graphic>
          </wp:inline>
        </w:drawing>
      </w:r>
    </w:p>
    <w:p w14:paraId="1CE98B2C" w14:textId="77777777" w:rsidR="005E7A4C" w:rsidRDefault="005E7A4C" w:rsidP="00AB35A2">
      <w:pPr>
        <w:spacing w:line="480" w:lineRule="auto"/>
        <w:rPr>
          <w:rFonts w:ascii="Arial" w:hAnsi="Arial"/>
          <w:b/>
          <w:sz w:val="22"/>
          <w:szCs w:val="22"/>
        </w:rPr>
      </w:pPr>
    </w:p>
    <w:p w14:paraId="56149866" w14:textId="506974CD" w:rsidR="005E7A4C" w:rsidRDefault="005E7A4C" w:rsidP="005E7A4C">
      <w:pPr>
        <w:spacing w:line="480" w:lineRule="auto"/>
        <w:rPr>
          <w:rFonts w:ascii="Arial" w:hAnsi="Arial" w:cs="Arial"/>
          <w:sz w:val="22"/>
          <w:szCs w:val="22"/>
        </w:rPr>
      </w:pPr>
      <w:r w:rsidRPr="00864C19">
        <w:rPr>
          <w:rFonts w:ascii="Arial" w:hAnsi="Arial" w:cs="Arial"/>
          <w:b/>
          <w:i/>
          <w:sz w:val="22"/>
          <w:szCs w:val="22"/>
        </w:rPr>
        <w:t>Molecular dynamics simulations</w:t>
      </w:r>
      <w:r w:rsidRPr="00864C19">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To sample conformations separated by high energy barriers, which may not have been visited using unbiased simulations, Well-tempered </w:t>
      </w:r>
      <w:proofErr w:type="spellStart"/>
      <w:r>
        <w:rPr>
          <w:rFonts w:ascii="Arial" w:hAnsi="Arial" w:cs="Arial"/>
          <w:sz w:val="22"/>
          <w:szCs w:val="22"/>
        </w:rPr>
        <w:t>metadynamics</w:t>
      </w:r>
      <w:proofErr w:type="spellEnd"/>
      <w:r>
        <w:rPr>
          <w:rFonts w:ascii="Arial" w:hAnsi="Arial" w:cs="Arial"/>
          <w:sz w:val="22"/>
          <w:szCs w:val="22"/>
        </w:rPr>
        <w:t xml:space="preserve"> (</w:t>
      </w:r>
      <w:proofErr w:type="spellStart"/>
      <w:r>
        <w:rPr>
          <w:rFonts w:ascii="Arial" w:hAnsi="Arial" w:cs="Arial"/>
          <w:sz w:val="22"/>
          <w:szCs w:val="22"/>
        </w:rPr>
        <w:t>WTMetaD</w:t>
      </w:r>
      <w:proofErr w:type="spellEnd"/>
      <w:r>
        <w:rPr>
          <w:rFonts w:ascii="Arial" w:hAnsi="Arial" w:cs="Arial"/>
          <w:sz w:val="22"/>
          <w:szCs w:val="22"/>
        </w:rPr>
        <w:t>) of the PP2A wildtype and mutant structures was performed at 300 K using ACEMD software and the PLUMED plugin using an integration step of 4 fs</w:t>
      </w:r>
      <w:r w:rsidR="00E21EA8">
        <w:rPr>
          <w:rFonts w:ascii="Arial" w:hAnsi="Arial" w:cs="Arial"/>
          <w:sz w:val="22"/>
          <w:szCs w:val="22"/>
        </w:rPr>
        <w:t xml:space="preserve"> [33, 34]</w:t>
      </w:r>
      <w:r>
        <w:rPr>
          <w:rFonts w:ascii="Arial" w:hAnsi="Arial" w:cs="Arial"/>
          <w:sz w:val="22"/>
          <w:szCs w:val="22"/>
        </w:rPr>
        <w:t>. To study the influence of the mutations on the structure, we chose the dihedral angles of the WT/mutated residues to be the collective variables (CV). The choice of the CVs (CV1 = φ phi a</w:t>
      </w:r>
      <w:r w:rsidRPr="00FF28F2">
        <w:rPr>
          <w:rFonts w:ascii="Arial" w:hAnsi="Arial" w:cs="Arial"/>
          <w:sz w:val="22"/>
          <w:szCs w:val="22"/>
        </w:rPr>
        <w:t>nd</w:t>
      </w:r>
      <w:r>
        <w:rPr>
          <w:rFonts w:ascii="Arial" w:hAnsi="Arial" w:cs="Arial"/>
          <w:sz w:val="22"/>
          <w:szCs w:val="22"/>
        </w:rPr>
        <w:t xml:space="preserve"> CV2 = ψ psi) was based on the observation that the slowest motions in a protein are a function of their backbone flexibility</w:t>
      </w:r>
      <w:r w:rsidR="00E21EA8">
        <w:rPr>
          <w:rFonts w:ascii="Arial" w:hAnsi="Arial" w:cs="Arial"/>
          <w:sz w:val="22"/>
          <w:szCs w:val="22"/>
        </w:rPr>
        <w:t xml:space="preserve"> [35]</w:t>
      </w:r>
      <w:r>
        <w:rPr>
          <w:rFonts w:ascii="Arial" w:hAnsi="Arial" w:cs="Arial"/>
          <w:sz w:val="22"/>
          <w:szCs w:val="22"/>
        </w:rPr>
        <w:t xml:space="preserve">. Therefore, the differences in the structural effects resulting from the changes between wildtype and mutant should be pronounced in the dihedral angles. A total of 450 ns (P179 </w:t>
      </w:r>
      <w:r w:rsidRPr="008D6F99">
        <w:rPr>
          <w:rFonts w:ascii="Arial" w:hAnsi="Arial"/>
          <w:sz w:val="22"/>
          <w:szCs w:val="22"/>
        </w:rPr>
        <w:t>A</w:t>
      </w:r>
      <w:r>
        <w:rPr>
          <w:rFonts w:ascii="Arial" w:hAnsi="Arial" w:cs="Arial"/>
          <w:sz w:val="22"/>
          <w:szCs w:val="22"/>
        </w:rPr>
        <w:t xml:space="preserve">α), 550 ns (P179 </w:t>
      </w:r>
      <w:r w:rsidRPr="008D6F99">
        <w:rPr>
          <w:rFonts w:ascii="Arial" w:hAnsi="Arial"/>
          <w:sz w:val="22"/>
          <w:szCs w:val="22"/>
        </w:rPr>
        <w:t>A</w:t>
      </w:r>
      <w:r>
        <w:rPr>
          <w:rFonts w:ascii="Arial" w:hAnsi="Arial" w:cs="Arial"/>
          <w:sz w:val="22"/>
          <w:szCs w:val="22"/>
        </w:rPr>
        <w:t xml:space="preserve">α/C complex), 400 ns (R179 </w:t>
      </w:r>
      <w:r w:rsidRPr="008D6F99">
        <w:rPr>
          <w:rFonts w:ascii="Arial" w:hAnsi="Arial"/>
          <w:sz w:val="22"/>
          <w:szCs w:val="22"/>
        </w:rPr>
        <w:t>A</w:t>
      </w:r>
      <w:r>
        <w:rPr>
          <w:rFonts w:ascii="Arial" w:hAnsi="Arial" w:cs="Arial"/>
          <w:sz w:val="22"/>
          <w:szCs w:val="22"/>
        </w:rPr>
        <w:t>α), and 400 ns (</w:t>
      </w:r>
      <w:r>
        <w:rPr>
          <w:rFonts w:ascii="Arial" w:hAnsi="Arial"/>
          <w:sz w:val="22"/>
          <w:szCs w:val="22"/>
        </w:rPr>
        <w:t xml:space="preserve">R179 </w:t>
      </w:r>
      <w:r w:rsidRPr="008D6F99">
        <w:rPr>
          <w:rFonts w:ascii="Arial" w:hAnsi="Arial"/>
          <w:sz w:val="22"/>
          <w:szCs w:val="22"/>
        </w:rPr>
        <w:t>A</w:t>
      </w:r>
      <w:r>
        <w:rPr>
          <w:rFonts w:ascii="Arial" w:hAnsi="Arial" w:cs="Arial"/>
          <w:sz w:val="22"/>
          <w:szCs w:val="22"/>
        </w:rPr>
        <w:t>α/C complex) in the NVT ensemble were needed to reach full convergence of the free energy.</w:t>
      </w:r>
    </w:p>
    <w:p w14:paraId="6F27726B" w14:textId="77777777" w:rsidR="005E7A4C" w:rsidRDefault="005E7A4C" w:rsidP="005E7A4C">
      <w:pPr>
        <w:spacing w:line="480" w:lineRule="auto"/>
        <w:rPr>
          <w:rFonts w:ascii="Arial" w:hAnsi="Arial" w:cs="Arial"/>
          <w:sz w:val="22"/>
          <w:szCs w:val="22"/>
        </w:rPr>
      </w:pPr>
      <w:r>
        <w:rPr>
          <w:rFonts w:ascii="Arial" w:hAnsi="Arial" w:cs="Arial"/>
          <w:sz w:val="22"/>
          <w:szCs w:val="22"/>
        </w:rPr>
        <w:tab/>
        <w:t xml:space="preserve">The free energy surface of the </w:t>
      </w:r>
      <w:proofErr w:type="spellStart"/>
      <w:r>
        <w:rPr>
          <w:rFonts w:ascii="Arial" w:hAnsi="Arial" w:cs="Arial"/>
          <w:sz w:val="22"/>
          <w:szCs w:val="22"/>
        </w:rPr>
        <w:t>WTMetaD</w:t>
      </w:r>
      <w:proofErr w:type="spellEnd"/>
      <w:r>
        <w:rPr>
          <w:rFonts w:ascii="Arial" w:hAnsi="Arial" w:cs="Arial"/>
          <w:sz w:val="22"/>
          <w:szCs w:val="22"/>
        </w:rPr>
        <w:t xml:space="preserve"> simulation as a function of the two CVs is readily obtained by integrating the deposited energy bias along the trajectory. The error on the </w:t>
      </w:r>
      <w:r>
        <w:rPr>
          <w:rFonts w:ascii="Arial" w:hAnsi="Arial" w:cs="Arial"/>
          <w:sz w:val="22"/>
          <w:szCs w:val="22"/>
        </w:rPr>
        <w:lastRenderedPageBreak/>
        <w:t xml:space="preserve">minima and barriers of the free energy surface was estimated from the largest variation observed in the mono-dimensional projections along the collective variables during the last 100 ns of the simulation. It amounts to 0.5 kcal/mol. The sampling convergence was checked by comparing the reconstructed free energy surfaces at different time intervals during the last 50 ns of the simulations. Production simulations were initiated from the final snapshot of the corresponding equilibration simulations. The bias factor was determined by the </w:t>
      </w:r>
      <w:proofErr w:type="spellStart"/>
      <w:r>
        <w:rPr>
          <w:rFonts w:ascii="Arial" w:hAnsi="Arial" w:cs="Arial"/>
          <w:sz w:val="22"/>
          <w:szCs w:val="22"/>
        </w:rPr>
        <w:t>kT</w:t>
      </w:r>
      <w:proofErr w:type="spellEnd"/>
      <w:r>
        <w:rPr>
          <w:rFonts w:ascii="Arial" w:hAnsi="Arial" w:cs="Arial"/>
          <w:sz w:val="22"/>
          <w:szCs w:val="22"/>
        </w:rPr>
        <w:t xml:space="preserve"> value in the corresponding sampling temperature and the initial Gaussian height to 0.5 kcal/</w:t>
      </w:r>
      <w:proofErr w:type="spellStart"/>
      <w:r>
        <w:rPr>
          <w:rFonts w:ascii="Arial" w:hAnsi="Arial" w:cs="Arial"/>
          <w:sz w:val="22"/>
          <w:szCs w:val="22"/>
        </w:rPr>
        <w:t>mol</w:t>
      </w:r>
      <w:proofErr w:type="spellEnd"/>
      <w:r>
        <w:rPr>
          <w:rFonts w:ascii="Arial" w:hAnsi="Arial" w:cs="Arial"/>
          <w:sz w:val="22"/>
          <w:szCs w:val="22"/>
        </w:rPr>
        <w:t xml:space="preserve">, deposited every 1 ps. The Gaussian width was set to 0.3 for the two CVs, respectively. The free energy surface of the </w:t>
      </w:r>
      <w:proofErr w:type="spellStart"/>
      <w:r>
        <w:rPr>
          <w:rFonts w:ascii="Arial" w:hAnsi="Arial" w:cs="Arial"/>
          <w:sz w:val="22"/>
          <w:szCs w:val="22"/>
        </w:rPr>
        <w:t>metadynamics</w:t>
      </w:r>
      <w:proofErr w:type="spellEnd"/>
      <w:r>
        <w:rPr>
          <w:rFonts w:ascii="Arial" w:hAnsi="Arial" w:cs="Arial"/>
          <w:sz w:val="22"/>
          <w:szCs w:val="22"/>
        </w:rPr>
        <w:t xml:space="preserve"> simulation as a function of the two CVs is readily obtained by integrating the deposited energy bias along the trajectory. The structures corresponding to the minima were selected from the </w:t>
      </w:r>
      <w:proofErr w:type="spellStart"/>
      <w:r>
        <w:rPr>
          <w:rFonts w:ascii="Arial" w:hAnsi="Arial" w:cs="Arial"/>
          <w:sz w:val="22"/>
          <w:szCs w:val="22"/>
        </w:rPr>
        <w:t>metadynamics</w:t>
      </w:r>
      <w:proofErr w:type="spellEnd"/>
      <w:r>
        <w:rPr>
          <w:rFonts w:ascii="Arial" w:hAnsi="Arial" w:cs="Arial"/>
          <w:sz w:val="22"/>
          <w:szCs w:val="22"/>
        </w:rPr>
        <w:t xml:space="preserve"> trajectories, based on the values of collective variables CV1 and CV2. To retrieve representative structures of the minima, the conformations corresponding to each minimum on the landscape were clustered based on C</w:t>
      </w:r>
      <w:r w:rsidRPr="006C054A">
        <w:rPr>
          <w:rFonts w:ascii="Arial" w:hAnsi="Arial" w:cs="Arial"/>
          <w:sz w:val="22"/>
          <w:szCs w:val="22"/>
          <w:vertAlign w:val="subscript"/>
        </w:rPr>
        <w:t>α</w:t>
      </w:r>
      <w:r>
        <w:rPr>
          <w:rFonts w:ascii="Arial" w:hAnsi="Arial" w:cs="Arial"/>
          <w:sz w:val="22"/>
          <w:szCs w:val="22"/>
        </w:rPr>
        <w:t xml:space="preserve"> RMSD. The representative conformations of the most highly populated clusters are depicted.</w:t>
      </w:r>
    </w:p>
    <w:p w14:paraId="468CD998" w14:textId="3D08E6BF" w:rsidR="005E7A4C" w:rsidRPr="005E7A4C" w:rsidRDefault="005E7A4C" w:rsidP="00AB35A2">
      <w:pPr>
        <w:spacing w:line="480" w:lineRule="auto"/>
        <w:rPr>
          <w:rFonts w:ascii="Arial" w:hAnsi="Arial" w:cs="Arial"/>
          <w:sz w:val="22"/>
          <w:szCs w:val="22"/>
        </w:rPr>
      </w:pPr>
      <w:r>
        <w:rPr>
          <w:rFonts w:ascii="Arial" w:hAnsi="Arial" w:cs="Arial"/>
          <w:sz w:val="22"/>
          <w:szCs w:val="22"/>
        </w:rPr>
        <w:tab/>
        <w:t xml:space="preserve">The structures corresponding to the minima were selected from the </w:t>
      </w:r>
      <w:proofErr w:type="spellStart"/>
      <w:r>
        <w:rPr>
          <w:rFonts w:ascii="Arial" w:hAnsi="Arial" w:cs="Arial"/>
          <w:sz w:val="22"/>
          <w:szCs w:val="22"/>
        </w:rPr>
        <w:t>WTMetaD</w:t>
      </w:r>
      <w:proofErr w:type="spellEnd"/>
      <w:r>
        <w:rPr>
          <w:rFonts w:ascii="Arial" w:hAnsi="Arial" w:cs="Arial"/>
          <w:sz w:val="22"/>
          <w:szCs w:val="22"/>
        </w:rPr>
        <w:t xml:space="preserve"> trajectories, based on the values of collective variables CV1 and CV2. The RMSF was calculated from the unbiased simulations of 1000 ns of the wildtype and mutant, using the </w:t>
      </w:r>
      <w:proofErr w:type="spellStart"/>
      <w:r>
        <w:rPr>
          <w:rFonts w:ascii="Arial" w:hAnsi="Arial" w:cs="Arial"/>
          <w:sz w:val="22"/>
          <w:szCs w:val="22"/>
        </w:rPr>
        <w:t>g_rmsf</w:t>
      </w:r>
      <w:proofErr w:type="spellEnd"/>
      <w:r>
        <w:rPr>
          <w:rFonts w:ascii="Arial" w:hAnsi="Arial" w:cs="Arial"/>
          <w:sz w:val="22"/>
          <w:szCs w:val="22"/>
        </w:rPr>
        <w:t xml:space="preserve"> tool of the GROMACS analysis toolkit</w:t>
      </w:r>
      <w:r w:rsidR="00BC13C3">
        <w:rPr>
          <w:rFonts w:ascii="Arial" w:hAnsi="Arial" w:cs="Arial"/>
          <w:sz w:val="22"/>
          <w:szCs w:val="22"/>
        </w:rPr>
        <w:t xml:space="preserve"> [36]</w:t>
      </w:r>
      <w:r>
        <w:rPr>
          <w:rFonts w:ascii="Arial" w:hAnsi="Arial" w:cs="Arial"/>
          <w:sz w:val="22"/>
          <w:szCs w:val="22"/>
        </w:rPr>
        <w:t>. To remove the effect of slow, large-scale conformational transitions, the RMSF was calculated on the C</w:t>
      </w:r>
      <w:r w:rsidRPr="00B35A08">
        <w:rPr>
          <w:rFonts w:ascii="Arial" w:hAnsi="Arial" w:cs="Arial"/>
          <w:sz w:val="22"/>
          <w:szCs w:val="22"/>
        </w:rPr>
        <w:t>α</w:t>
      </w:r>
      <w:r>
        <w:rPr>
          <w:rFonts w:ascii="Arial" w:hAnsi="Arial" w:cs="Arial"/>
          <w:sz w:val="22"/>
          <w:szCs w:val="22"/>
        </w:rPr>
        <w:t xml:space="preserve"> atoms in overlapping windows of 100 ns each and averaged afterwards. The first 200 ns of the simulation were considered equilibration time and omitted from the calculation. The dihedral angles for the wildtype and mutant protein systems were performed using GROMACS analysis toolkit</w:t>
      </w:r>
      <w:r w:rsidR="00BC13C3">
        <w:rPr>
          <w:rFonts w:ascii="Arial" w:hAnsi="Arial" w:cs="Arial"/>
          <w:sz w:val="22"/>
          <w:szCs w:val="22"/>
        </w:rPr>
        <w:t xml:space="preserve"> [36]</w:t>
      </w:r>
      <w:r>
        <w:rPr>
          <w:rFonts w:ascii="Arial" w:hAnsi="Arial" w:cs="Arial"/>
          <w:sz w:val="22"/>
          <w:szCs w:val="22"/>
        </w:rPr>
        <w:t>. All unbiased and biased simulations were analyzed using functionalities available on GROMACS 5.1.2 analysis toolkit. The first 150 ns of each simulation were considered equilibration time and omitted from the calculation. The charges were assigned on the proteins using PDB2PQR functionality</w:t>
      </w:r>
      <w:r w:rsidR="00BC13C3">
        <w:rPr>
          <w:rFonts w:ascii="Arial" w:hAnsi="Arial" w:cs="Arial"/>
          <w:sz w:val="22"/>
          <w:szCs w:val="22"/>
        </w:rPr>
        <w:t xml:space="preserve"> [37]</w:t>
      </w:r>
      <w:r>
        <w:rPr>
          <w:rFonts w:ascii="Arial" w:hAnsi="Arial" w:cs="Arial"/>
          <w:sz w:val="22"/>
          <w:szCs w:val="22"/>
        </w:rPr>
        <w:t xml:space="preserve">. </w:t>
      </w:r>
      <w:r>
        <w:rPr>
          <w:rFonts w:ascii="Arial" w:hAnsi="Arial" w:cs="Arial"/>
          <w:sz w:val="22"/>
          <w:szCs w:val="22"/>
        </w:rPr>
        <w:lastRenderedPageBreak/>
        <w:t>The binding energy between the two subunits was calculated using the APBS program using a default protocol</w:t>
      </w:r>
      <w:r w:rsidR="00BC13C3">
        <w:rPr>
          <w:rFonts w:ascii="Arial" w:hAnsi="Arial" w:cs="Arial"/>
          <w:sz w:val="22"/>
          <w:szCs w:val="22"/>
        </w:rPr>
        <w:t xml:space="preserve"> [38]</w:t>
      </w:r>
      <w:r>
        <w:rPr>
          <w:rFonts w:ascii="Arial" w:hAnsi="Arial" w:cs="Arial"/>
          <w:sz w:val="22"/>
          <w:szCs w:val="22"/>
        </w:rPr>
        <w:t>. All structural figures were generated using ICM-Pro soft</w:t>
      </w:r>
      <w:bookmarkStart w:id="0" w:name="_GoBack"/>
      <w:bookmarkEnd w:id="0"/>
      <w:r>
        <w:rPr>
          <w:rFonts w:ascii="Arial" w:hAnsi="Arial" w:cs="Arial"/>
          <w:sz w:val="22"/>
          <w:szCs w:val="22"/>
        </w:rPr>
        <w:t>ware</w:t>
      </w:r>
      <w:r w:rsidR="00BC13C3">
        <w:rPr>
          <w:rFonts w:ascii="Arial" w:hAnsi="Arial" w:cs="Arial"/>
          <w:sz w:val="22"/>
          <w:szCs w:val="22"/>
        </w:rPr>
        <w:t xml:space="preserve"> [27]</w:t>
      </w:r>
      <w:r>
        <w:rPr>
          <w:rFonts w:ascii="Arial" w:hAnsi="Arial" w:cs="Arial"/>
          <w:sz w:val="22"/>
          <w:szCs w:val="22"/>
        </w:rPr>
        <w:t>.</w:t>
      </w:r>
    </w:p>
    <w:sectPr w:rsidR="005E7A4C" w:rsidRPr="005E7A4C" w:rsidSect="00A150C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7A456" w14:textId="77777777" w:rsidR="003D1448" w:rsidRDefault="003D1448" w:rsidP="00457791">
      <w:r>
        <w:separator/>
      </w:r>
    </w:p>
  </w:endnote>
  <w:endnote w:type="continuationSeparator" w:id="0">
    <w:p w14:paraId="7CFC20FE" w14:textId="77777777" w:rsidR="003D1448" w:rsidRDefault="003D1448" w:rsidP="0045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altName w:val="Times 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rade Gothic LT Std">
    <w:altName w:val="Cambria"/>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EE84F" w14:textId="007A0F62" w:rsidR="00EA3614" w:rsidRPr="00457791" w:rsidRDefault="00EA3614" w:rsidP="00457791">
    <w:pPr>
      <w:pStyle w:val="Footer"/>
      <w:jc w:val="center"/>
      <w:rPr>
        <w:rFonts w:ascii="Arial" w:hAnsi="Arial" w:cs="Arial"/>
        <w:sz w:val="22"/>
        <w:szCs w:val="22"/>
      </w:rPr>
    </w:pPr>
    <w:r w:rsidRPr="00457791">
      <w:rPr>
        <w:rStyle w:val="PageNumber"/>
        <w:rFonts w:ascii="Arial" w:hAnsi="Arial" w:cs="Arial"/>
        <w:sz w:val="22"/>
        <w:szCs w:val="22"/>
      </w:rPr>
      <w:fldChar w:fldCharType="begin"/>
    </w:r>
    <w:r w:rsidRPr="00457791">
      <w:rPr>
        <w:rStyle w:val="PageNumber"/>
        <w:rFonts w:ascii="Arial" w:hAnsi="Arial" w:cs="Arial"/>
        <w:sz w:val="22"/>
        <w:szCs w:val="22"/>
      </w:rPr>
      <w:instrText xml:space="preserve"> PAGE </w:instrText>
    </w:r>
    <w:r w:rsidRPr="00457791">
      <w:rPr>
        <w:rStyle w:val="PageNumber"/>
        <w:rFonts w:ascii="Arial" w:hAnsi="Arial" w:cs="Arial"/>
        <w:sz w:val="22"/>
        <w:szCs w:val="22"/>
      </w:rPr>
      <w:fldChar w:fldCharType="separate"/>
    </w:r>
    <w:r w:rsidR="00930E3F">
      <w:rPr>
        <w:rStyle w:val="PageNumber"/>
        <w:rFonts w:ascii="Arial" w:hAnsi="Arial" w:cs="Arial"/>
        <w:noProof/>
        <w:sz w:val="22"/>
        <w:szCs w:val="22"/>
      </w:rPr>
      <w:t>1</w:t>
    </w:r>
    <w:r w:rsidRPr="00457791">
      <w:rPr>
        <w:rStyle w:val="PageNumbe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9CEED4" w14:textId="77777777" w:rsidR="003D1448" w:rsidRDefault="003D1448" w:rsidP="00457791">
      <w:r>
        <w:separator/>
      </w:r>
    </w:p>
  </w:footnote>
  <w:footnote w:type="continuationSeparator" w:id="0">
    <w:p w14:paraId="2E936073" w14:textId="77777777" w:rsidR="003D1448" w:rsidRDefault="003D1448" w:rsidP="004577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A7020E4"/>
    <w:multiLevelType w:val="hybridMultilevel"/>
    <w:tmpl w:val="F036D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5750C"/>
    <w:multiLevelType w:val="hybridMultilevel"/>
    <w:tmpl w:val="3FA86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E9236A"/>
    <w:multiLevelType w:val="hybridMultilevel"/>
    <w:tmpl w:val="C5529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C1581A"/>
    <w:multiLevelType w:val="hybridMultilevel"/>
    <w:tmpl w:val="67DCE8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E3545"/>
    <w:multiLevelType w:val="hybridMultilevel"/>
    <w:tmpl w:val="D2C4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26683"/>
    <w:multiLevelType w:val="hybridMultilevel"/>
    <w:tmpl w:val="1B841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BB6751"/>
    <w:multiLevelType w:val="hybridMultilevel"/>
    <w:tmpl w:val="9E5EF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64CF3"/>
    <w:multiLevelType w:val="hybridMultilevel"/>
    <w:tmpl w:val="AF40B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208D5"/>
    <w:multiLevelType w:val="hybridMultilevel"/>
    <w:tmpl w:val="14FC55F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8C0D46"/>
    <w:multiLevelType w:val="hybridMultilevel"/>
    <w:tmpl w:val="B9DA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8E68F5"/>
    <w:multiLevelType w:val="hybridMultilevel"/>
    <w:tmpl w:val="94CCFB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F1174"/>
    <w:multiLevelType w:val="hybridMultilevel"/>
    <w:tmpl w:val="62B66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5528F"/>
    <w:multiLevelType w:val="hybridMultilevel"/>
    <w:tmpl w:val="8B2CB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436E42"/>
    <w:multiLevelType w:val="hybridMultilevel"/>
    <w:tmpl w:val="641AAD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B8465D"/>
    <w:multiLevelType w:val="hybridMultilevel"/>
    <w:tmpl w:val="44388D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973669"/>
    <w:multiLevelType w:val="hybridMultilevel"/>
    <w:tmpl w:val="4994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B10148"/>
    <w:multiLevelType w:val="hybridMultilevel"/>
    <w:tmpl w:val="A96C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734B0D"/>
    <w:multiLevelType w:val="hybridMultilevel"/>
    <w:tmpl w:val="E266EB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70CE5"/>
    <w:multiLevelType w:val="hybridMultilevel"/>
    <w:tmpl w:val="D5A0E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170C80"/>
    <w:multiLevelType w:val="hybridMultilevel"/>
    <w:tmpl w:val="93D86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98086F"/>
    <w:multiLevelType w:val="hybridMultilevel"/>
    <w:tmpl w:val="8BE20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D01717"/>
    <w:multiLevelType w:val="hybridMultilevel"/>
    <w:tmpl w:val="20A48A8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15:restartNumberingAfterBreak="0">
    <w:nsid w:val="498E7ECA"/>
    <w:multiLevelType w:val="hybridMultilevel"/>
    <w:tmpl w:val="B4629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9D2B55"/>
    <w:multiLevelType w:val="hybridMultilevel"/>
    <w:tmpl w:val="53D8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BF2866"/>
    <w:multiLevelType w:val="hybridMultilevel"/>
    <w:tmpl w:val="3892A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81399F"/>
    <w:multiLevelType w:val="hybridMultilevel"/>
    <w:tmpl w:val="B03C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D438A5"/>
    <w:multiLevelType w:val="hybridMultilevel"/>
    <w:tmpl w:val="B6127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69781E"/>
    <w:multiLevelType w:val="hybridMultilevel"/>
    <w:tmpl w:val="E632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B827FE"/>
    <w:multiLevelType w:val="hybridMultilevel"/>
    <w:tmpl w:val="F5961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C272A"/>
    <w:multiLevelType w:val="hybridMultilevel"/>
    <w:tmpl w:val="3EB41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87025F"/>
    <w:multiLevelType w:val="hybridMultilevel"/>
    <w:tmpl w:val="5A1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E052BE"/>
    <w:multiLevelType w:val="hybridMultilevel"/>
    <w:tmpl w:val="33F25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BA6D43"/>
    <w:multiLevelType w:val="hybridMultilevel"/>
    <w:tmpl w:val="DE12F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06F82"/>
    <w:multiLevelType w:val="hybridMultilevel"/>
    <w:tmpl w:val="36129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FE7661"/>
    <w:multiLevelType w:val="hybridMultilevel"/>
    <w:tmpl w:val="035C575E"/>
    <w:lvl w:ilvl="0" w:tplc="51768F68">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571B54"/>
    <w:multiLevelType w:val="hybridMultilevel"/>
    <w:tmpl w:val="372E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AA6EA7"/>
    <w:multiLevelType w:val="hybridMultilevel"/>
    <w:tmpl w:val="B792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4B052F"/>
    <w:multiLevelType w:val="hybridMultilevel"/>
    <w:tmpl w:val="1A707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01357C"/>
    <w:multiLevelType w:val="hybridMultilevel"/>
    <w:tmpl w:val="2730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5C6095"/>
    <w:multiLevelType w:val="hybridMultilevel"/>
    <w:tmpl w:val="E0A00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297F4F"/>
    <w:multiLevelType w:val="hybridMultilevel"/>
    <w:tmpl w:val="7652A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C163B5"/>
    <w:multiLevelType w:val="hybridMultilevel"/>
    <w:tmpl w:val="BD68F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D32831"/>
    <w:multiLevelType w:val="hybridMultilevel"/>
    <w:tmpl w:val="41689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0"/>
  </w:num>
  <w:num w:numId="3">
    <w:abstractNumId w:val="31"/>
  </w:num>
  <w:num w:numId="4">
    <w:abstractNumId w:val="33"/>
  </w:num>
  <w:num w:numId="5">
    <w:abstractNumId w:val="5"/>
  </w:num>
  <w:num w:numId="6">
    <w:abstractNumId w:val="29"/>
  </w:num>
  <w:num w:numId="7">
    <w:abstractNumId w:val="11"/>
  </w:num>
  <w:num w:numId="8">
    <w:abstractNumId w:val="21"/>
  </w:num>
  <w:num w:numId="9">
    <w:abstractNumId w:val="16"/>
  </w:num>
  <w:num w:numId="10">
    <w:abstractNumId w:val="23"/>
  </w:num>
  <w:num w:numId="11">
    <w:abstractNumId w:val="30"/>
  </w:num>
  <w:num w:numId="12">
    <w:abstractNumId w:val="7"/>
  </w:num>
  <w:num w:numId="13">
    <w:abstractNumId w:val="19"/>
  </w:num>
  <w:num w:numId="14">
    <w:abstractNumId w:val="35"/>
  </w:num>
  <w:num w:numId="15">
    <w:abstractNumId w:val="20"/>
  </w:num>
  <w:num w:numId="16">
    <w:abstractNumId w:val="1"/>
  </w:num>
  <w:num w:numId="17">
    <w:abstractNumId w:val="43"/>
  </w:num>
  <w:num w:numId="18">
    <w:abstractNumId w:val="4"/>
  </w:num>
  <w:num w:numId="19">
    <w:abstractNumId w:val="18"/>
  </w:num>
  <w:num w:numId="20">
    <w:abstractNumId w:val="13"/>
  </w:num>
  <w:num w:numId="21">
    <w:abstractNumId w:val="12"/>
  </w:num>
  <w:num w:numId="22">
    <w:abstractNumId w:val="40"/>
  </w:num>
  <w:num w:numId="23">
    <w:abstractNumId w:val="38"/>
  </w:num>
  <w:num w:numId="24">
    <w:abstractNumId w:val="39"/>
  </w:num>
  <w:num w:numId="25">
    <w:abstractNumId w:val="26"/>
  </w:num>
  <w:num w:numId="26">
    <w:abstractNumId w:val="3"/>
  </w:num>
  <w:num w:numId="27">
    <w:abstractNumId w:val="15"/>
  </w:num>
  <w:num w:numId="28">
    <w:abstractNumId w:val="28"/>
  </w:num>
  <w:num w:numId="29">
    <w:abstractNumId w:val="42"/>
  </w:num>
  <w:num w:numId="30">
    <w:abstractNumId w:val="17"/>
  </w:num>
  <w:num w:numId="31">
    <w:abstractNumId w:val="34"/>
  </w:num>
  <w:num w:numId="32">
    <w:abstractNumId w:val="41"/>
  </w:num>
  <w:num w:numId="33">
    <w:abstractNumId w:val="8"/>
  </w:num>
  <w:num w:numId="34">
    <w:abstractNumId w:val="6"/>
  </w:num>
  <w:num w:numId="35">
    <w:abstractNumId w:val="32"/>
  </w:num>
  <w:num w:numId="36">
    <w:abstractNumId w:val="14"/>
  </w:num>
  <w:num w:numId="37">
    <w:abstractNumId w:val="9"/>
  </w:num>
  <w:num w:numId="38">
    <w:abstractNumId w:val="2"/>
  </w:num>
  <w:num w:numId="39">
    <w:abstractNumId w:val="37"/>
  </w:num>
  <w:num w:numId="40">
    <w:abstractNumId w:val="25"/>
  </w:num>
  <w:num w:numId="41">
    <w:abstractNumId w:val="22"/>
  </w:num>
  <w:num w:numId="42">
    <w:abstractNumId w:val="24"/>
  </w:num>
  <w:num w:numId="43">
    <w:abstractNumId w:val="27"/>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50C6"/>
    <w:rsid w:val="00000133"/>
    <w:rsid w:val="0000196E"/>
    <w:rsid w:val="000034F5"/>
    <w:rsid w:val="0000471B"/>
    <w:rsid w:val="00010BE5"/>
    <w:rsid w:val="000111BC"/>
    <w:rsid w:val="00011297"/>
    <w:rsid w:val="0001248F"/>
    <w:rsid w:val="00013EC4"/>
    <w:rsid w:val="00030C91"/>
    <w:rsid w:val="000316E8"/>
    <w:rsid w:val="000328D4"/>
    <w:rsid w:val="00032CBC"/>
    <w:rsid w:val="00033AB7"/>
    <w:rsid w:val="000354D6"/>
    <w:rsid w:val="00035C47"/>
    <w:rsid w:val="00053A2B"/>
    <w:rsid w:val="000543C9"/>
    <w:rsid w:val="0005455E"/>
    <w:rsid w:val="00055155"/>
    <w:rsid w:val="00060BB4"/>
    <w:rsid w:val="00063816"/>
    <w:rsid w:val="000650F7"/>
    <w:rsid w:val="00065B78"/>
    <w:rsid w:val="00070650"/>
    <w:rsid w:val="000709A5"/>
    <w:rsid w:val="00070FB8"/>
    <w:rsid w:val="000758C0"/>
    <w:rsid w:val="0007779E"/>
    <w:rsid w:val="00081957"/>
    <w:rsid w:val="0008389E"/>
    <w:rsid w:val="0009150A"/>
    <w:rsid w:val="0009419C"/>
    <w:rsid w:val="000A05B4"/>
    <w:rsid w:val="000A07F5"/>
    <w:rsid w:val="000A0A24"/>
    <w:rsid w:val="000A5753"/>
    <w:rsid w:val="000B1B81"/>
    <w:rsid w:val="000B274F"/>
    <w:rsid w:val="000B30AC"/>
    <w:rsid w:val="000B3E16"/>
    <w:rsid w:val="000B7AD8"/>
    <w:rsid w:val="000C06F2"/>
    <w:rsid w:val="000C4F4C"/>
    <w:rsid w:val="000C61F1"/>
    <w:rsid w:val="000D38EB"/>
    <w:rsid w:val="000D3F5A"/>
    <w:rsid w:val="000D5B7C"/>
    <w:rsid w:val="000E2DB3"/>
    <w:rsid w:val="000E3803"/>
    <w:rsid w:val="000E396A"/>
    <w:rsid w:val="000F18C6"/>
    <w:rsid w:val="000F2CA2"/>
    <w:rsid w:val="001000A7"/>
    <w:rsid w:val="00101919"/>
    <w:rsid w:val="00104447"/>
    <w:rsid w:val="00105054"/>
    <w:rsid w:val="0011072E"/>
    <w:rsid w:val="0011114A"/>
    <w:rsid w:val="00114D63"/>
    <w:rsid w:val="00117BE4"/>
    <w:rsid w:val="00117D7A"/>
    <w:rsid w:val="00120206"/>
    <w:rsid w:val="0012152D"/>
    <w:rsid w:val="001225D0"/>
    <w:rsid w:val="0012330E"/>
    <w:rsid w:val="001240D4"/>
    <w:rsid w:val="00125092"/>
    <w:rsid w:val="00127488"/>
    <w:rsid w:val="001313EA"/>
    <w:rsid w:val="0013144D"/>
    <w:rsid w:val="00133187"/>
    <w:rsid w:val="001342C7"/>
    <w:rsid w:val="00140D95"/>
    <w:rsid w:val="0014186A"/>
    <w:rsid w:val="0014275C"/>
    <w:rsid w:val="00144EE2"/>
    <w:rsid w:val="00145E10"/>
    <w:rsid w:val="0014723A"/>
    <w:rsid w:val="00154B75"/>
    <w:rsid w:val="00157BEA"/>
    <w:rsid w:val="001617B5"/>
    <w:rsid w:val="00163891"/>
    <w:rsid w:val="00170B39"/>
    <w:rsid w:val="001712A7"/>
    <w:rsid w:val="0017138A"/>
    <w:rsid w:val="00171D6F"/>
    <w:rsid w:val="00173749"/>
    <w:rsid w:val="001810F7"/>
    <w:rsid w:val="0018234B"/>
    <w:rsid w:val="00186105"/>
    <w:rsid w:val="00195863"/>
    <w:rsid w:val="001A4220"/>
    <w:rsid w:val="001A52D0"/>
    <w:rsid w:val="001A59F8"/>
    <w:rsid w:val="001B1AB7"/>
    <w:rsid w:val="001B1F67"/>
    <w:rsid w:val="001B2F10"/>
    <w:rsid w:val="001B404D"/>
    <w:rsid w:val="001B70A8"/>
    <w:rsid w:val="001C0406"/>
    <w:rsid w:val="001C0EC9"/>
    <w:rsid w:val="001C1000"/>
    <w:rsid w:val="001D0E58"/>
    <w:rsid w:val="001D1564"/>
    <w:rsid w:val="001D18F5"/>
    <w:rsid w:val="001D315A"/>
    <w:rsid w:val="001E10B3"/>
    <w:rsid w:val="001E1430"/>
    <w:rsid w:val="001E1B83"/>
    <w:rsid w:val="001E2BF4"/>
    <w:rsid w:val="001E39F8"/>
    <w:rsid w:val="001E7D94"/>
    <w:rsid w:val="001F2881"/>
    <w:rsid w:val="001F742C"/>
    <w:rsid w:val="001F7C4D"/>
    <w:rsid w:val="002033FB"/>
    <w:rsid w:val="00204223"/>
    <w:rsid w:val="002057AA"/>
    <w:rsid w:val="0021007E"/>
    <w:rsid w:val="00223703"/>
    <w:rsid w:val="0022590D"/>
    <w:rsid w:val="002318CA"/>
    <w:rsid w:val="002320CC"/>
    <w:rsid w:val="00233814"/>
    <w:rsid w:val="00234FE4"/>
    <w:rsid w:val="00241426"/>
    <w:rsid w:val="00242BD3"/>
    <w:rsid w:val="00242C41"/>
    <w:rsid w:val="002544A7"/>
    <w:rsid w:val="002569AF"/>
    <w:rsid w:val="002634A6"/>
    <w:rsid w:val="0026479F"/>
    <w:rsid w:val="00264F53"/>
    <w:rsid w:val="0026710A"/>
    <w:rsid w:val="00270158"/>
    <w:rsid w:val="00272044"/>
    <w:rsid w:val="0027261B"/>
    <w:rsid w:val="00273AA3"/>
    <w:rsid w:val="002748C5"/>
    <w:rsid w:val="0027535A"/>
    <w:rsid w:val="00281D33"/>
    <w:rsid w:val="00283C56"/>
    <w:rsid w:val="00285647"/>
    <w:rsid w:val="00286F60"/>
    <w:rsid w:val="002877A6"/>
    <w:rsid w:val="00287BF3"/>
    <w:rsid w:val="00292D18"/>
    <w:rsid w:val="002A1A1D"/>
    <w:rsid w:val="002A632D"/>
    <w:rsid w:val="002A65B4"/>
    <w:rsid w:val="002A7B8C"/>
    <w:rsid w:val="002B08EE"/>
    <w:rsid w:val="002B753D"/>
    <w:rsid w:val="002C6F55"/>
    <w:rsid w:val="002D59D9"/>
    <w:rsid w:val="002D5B15"/>
    <w:rsid w:val="002D7DF2"/>
    <w:rsid w:val="002E02F2"/>
    <w:rsid w:val="002E038B"/>
    <w:rsid w:val="002E294D"/>
    <w:rsid w:val="002E58F4"/>
    <w:rsid w:val="002F0297"/>
    <w:rsid w:val="002F03EE"/>
    <w:rsid w:val="002F0FE1"/>
    <w:rsid w:val="002F223D"/>
    <w:rsid w:val="002F27A5"/>
    <w:rsid w:val="002F7FCC"/>
    <w:rsid w:val="0030214D"/>
    <w:rsid w:val="0030658F"/>
    <w:rsid w:val="003068AC"/>
    <w:rsid w:val="00306C27"/>
    <w:rsid w:val="00310DB0"/>
    <w:rsid w:val="00313C2D"/>
    <w:rsid w:val="00315AB3"/>
    <w:rsid w:val="00316647"/>
    <w:rsid w:val="00317CB2"/>
    <w:rsid w:val="00320867"/>
    <w:rsid w:val="00325B09"/>
    <w:rsid w:val="00325D92"/>
    <w:rsid w:val="00325F2A"/>
    <w:rsid w:val="00326112"/>
    <w:rsid w:val="003302E6"/>
    <w:rsid w:val="003308B1"/>
    <w:rsid w:val="00332CFD"/>
    <w:rsid w:val="00333C5E"/>
    <w:rsid w:val="00340582"/>
    <w:rsid w:val="00343063"/>
    <w:rsid w:val="00343768"/>
    <w:rsid w:val="00350597"/>
    <w:rsid w:val="00352591"/>
    <w:rsid w:val="00353971"/>
    <w:rsid w:val="00362973"/>
    <w:rsid w:val="0036339C"/>
    <w:rsid w:val="0036344F"/>
    <w:rsid w:val="00366798"/>
    <w:rsid w:val="00367FCD"/>
    <w:rsid w:val="00370129"/>
    <w:rsid w:val="00371E44"/>
    <w:rsid w:val="00376766"/>
    <w:rsid w:val="00376D2F"/>
    <w:rsid w:val="003806A3"/>
    <w:rsid w:val="003808DF"/>
    <w:rsid w:val="00381FD8"/>
    <w:rsid w:val="00382F57"/>
    <w:rsid w:val="00383BB5"/>
    <w:rsid w:val="003902B2"/>
    <w:rsid w:val="00393868"/>
    <w:rsid w:val="003A23EB"/>
    <w:rsid w:val="003A266E"/>
    <w:rsid w:val="003A5175"/>
    <w:rsid w:val="003B05F1"/>
    <w:rsid w:val="003B10E8"/>
    <w:rsid w:val="003B5606"/>
    <w:rsid w:val="003B6D31"/>
    <w:rsid w:val="003C0002"/>
    <w:rsid w:val="003C45DA"/>
    <w:rsid w:val="003C4D20"/>
    <w:rsid w:val="003C50A8"/>
    <w:rsid w:val="003C5BD7"/>
    <w:rsid w:val="003C6690"/>
    <w:rsid w:val="003C7B98"/>
    <w:rsid w:val="003D1448"/>
    <w:rsid w:val="003D1A47"/>
    <w:rsid w:val="003D330A"/>
    <w:rsid w:val="003D40DF"/>
    <w:rsid w:val="003D44A0"/>
    <w:rsid w:val="003E3E6A"/>
    <w:rsid w:val="003E4263"/>
    <w:rsid w:val="003E4A07"/>
    <w:rsid w:val="003E4DFE"/>
    <w:rsid w:val="003F0641"/>
    <w:rsid w:val="003F0AC6"/>
    <w:rsid w:val="003F13CA"/>
    <w:rsid w:val="003F3BD5"/>
    <w:rsid w:val="003F3D3B"/>
    <w:rsid w:val="003F5D7C"/>
    <w:rsid w:val="00410647"/>
    <w:rsid w:val="00412E69"/>
    <w:rsid w:val="00413279"/>
    <w:rsid w:val="00415556"/>
    <w:rsid w:val="0041734A"/>
    <w:rsid w:val="004173F2"/>
    <w:rsid w:val="00422F8E"/>
    <w:rsid w:val="00423BAC"/>
    <w:rsid w:val="00424361"/>
    <w:rsid w:val="004247B1"/>
    <w:rsid w:val="00424F66"/>
    <w:rsid w:val="00430BF8"/>
    <w:rsid w:val="00432381"/>
    <w:rsid w:val="004339B6"/>
    <w:rsid w:val="00433CCB"/>
    <w:rsid w:val="0043503D"/>
    <w:rsid w:val="00435404"/>
    <w:rsid w:val="00435550"/>
    <w:rsid w:val="004369DA"/>
    <w:rsid w:val="004371BA"/>
    <w:rsid w:val="004413B5"/>
    <w:rsid w:val="00446960"/>
    <w:rsid w:val="00454786"/>
    <w:rsid w:val="004557FD"/>
    <w:rsid w:val="00457791"/>
    <w:rsid w:val="0046042D"/>
    <w:rsid w:val="00466CD6"/>
    <w:rsid w:val="00473917"/>
    <w:rsid w:val="00476618"/>
    <w:rsid w:val="00476F10"/>
    <w:rsid w:val="004825C5"/>
    <w:rsid w:val="00483C20"/>
    <w:rsid w:val="004847E9"/>
    <w:rsid w:val="00487294"/>
    <w:rsid w:val="00487AAB"/>
    <w:rsid w:val="00492FAC"/>
    <w:rsid w:val="00493F8A"/>
    <w:rsid w:val="004942F4"/>
    <w:rsid w:val="00494DF2"/>
    <w:rsid w:val="00496350"/>
    <w:rsid w:val="00496913"/>
    <w:rsid w:val="004A0D20"/>
    <w:rsid w:val="004A3F51"/>
    <w:rsid w:val="004A5F16"/>
    <w:rsid w:val="004B1F19"/>
    <w:rsid w:val="004B7C23"/>
    <w:rsid w:val="004D0A1B"/>
    <w:rsid w:val="004D104B"/>
    <w:rsid w:val="004D2622"/>
    <w:rsid w:val="004D3F54"/>
    <w:rsid w:val="004D499A"/>
    <w:rsid w:val="004E4580"/>
    <w:rsid w:val="004E5EC6"/>
    <w:rsid w:val="004E600A"/>
    <w:rsid w:val="004E7A09"/>
    <w:rsid w:val="004E7FB3"/>
    <w:rsid w:val="004F2227"/>
    <w:rsid w:val="00505006"/>
    <w:rsid w:val="005123F2"/>
    <w:rsid w:val="005147E2"/>
    <w:rsid w:val="00517D80"/>
    <w:rsid w:val="00524C43"/>
    <w:rsid w:val="00527216"/>
    <w:rsid w:val="00530CA3"/>
    <w:rsid w:val="00531E0A"/>
    <w:rsid w:val="0053294B"/>
    <w:rsid w:val="00533530"/>
    <w:rsid w:val="005336F6"/>
    <w:rsid w:val="0053399D"/>
    <w:rsid w:val="00534215"/>
    <w:rsid w:val="0053459B"/>
    <w:rsid w:val="00535660"/>
    <w:rsid w:val="0053605C"/>
    <w:rsid w:val="00537609"/>
    <w:rsid w:val="00540489"/>
    <w:rsid w:val="00541763"/>
    <w:rsid w:val="005423A2"/>
    <w:rsid w:val="00543397"/>
    <w:rsid w:val="00550786"/>
    <w:rsid w:val="005621BB"/>
    <w:rsid w:val="0056397F"/>
    <w:rsid w:val="0056612F"/>
    <w:rsid w:val="00566B57"/>
    <w:rsid w:val="005724C8"/>
    <w:rsid w:val="0057322A"/>
    <w:rsid w:val="00573D0F"/>
    <w:rsid w:val="00576C0A"/>
    <w:rsid w:val="00576EF0"/>
    <w:rsid w:val="005778BE"/>
    <w:rsid w:val="00581ED8"/>
    <w:rsid w:val="0058490F"/>
    <w:rsid w:val="005850EB"/>
    <w:rsid w:val="005869D6"/>
    <w:rsid w:val="005910BE"/>
    <w:rsid w:val="005912F7"/>
    <w:rsid w:val="00591567"/>
    <w:rsid w:val="00592A43"/>
    <w:rsid w:val="00593F2C"/>
    <w:rsid w:val="0059694D"/>
    <w:rsid w:val="00597F78"/>
    <w:rsid w:val="005A200A"/>
    <w:rsid w:val="005A243B"/>
    <w:rsid w:val="005A348C"/>
    <w:rsid w:val="005A68DC"/>
    <w:rsid w:val="005A71A4"/>
    <w:rsid w:val="005B1EB3"/>
    <w:rsid w:val="005B415F"/>
    <w:rsid w:val="005B6DBB"/>
    <w:rsid w:val="005C2B8D"/>
    <w:rsid w:val="005C323E"/>
    <w:rsid w:val="005C682E"/>
    <w:rsid w:val="005C72B1"/>
    <w:rsid w:val="005D0FFB"/>
    <w:rsid w:val="005D1BDF"/>
    <w:rsid w:val="005D52C5"/>
    <w:rsid w:val="005D61D4"/>
    <w:rsid w:val="005D7031"/>
    <w:rsid w:val="005D7827"/>
    <w:rsid w:val="005E176E"/>
    <w:rsid w:val="005E1B9E"/>
    <w:rsid w:val="005E2BC9"/>
    <w:rsid w:val="005E56C7"/>
    <w:rsid w:val="005E7A4C"/>
    <w:rsid w:val="005E7AB9"/>
    <w:rsid w:val="005E7CD3"/>
    <w:rsid w:val="005F0449"/>
    <w:rsid w:val="005F04A2"/>
    <w:rsid w:val="005F0EAF"/>
    <w:rsid w:val="005F210F"/>
    <w:rsid w:val="005F3E8A"/>
    <w:rsid w:val="00600A3A"/>
    <w:rsid w:val="00607384"/>
    <w:rsid w:val="00610F24"/>
    <w:rsid w:val="00613B87"/>
    <w:rsid w:val="00613C31"/>
    <w:rsid w:val="00621DEB"/>
    <w:rsid w:val="00621E47"/>
    <w:rsid w:val="00623808"/>
    <w:rsid w:val="00623BDC"/>
    <w:rsid w:val="006240D5"/>
    <w:rsid w:val="00624340"/>
    <w:rsid w:val="0063190E"/>
    <w:rsid w:val="006411EC"/>
    <w:rsid w:val="00642546"/>
    <w:rsid w:val="0064281D"/>
    <w:rsid w:val="00642BC3"/>
    <w:rsid w:val="006443C4"/>
    <w:rsid w:val="00651CDB"/>
    <w:rsid w:val="00651D70"/>
    <w:rsid w:val="00652379"/>
    <w:rsid w:val="006534EB"/>
    <w:rsid w:val="00653AFF"/>
    <w:rsid w:val="0065695C"/>
    <w:rsid w:val="006621AD"/>
    <w:rsid w:val="0066348F"/>
    <w:rsid w:val="0066493C"/>
    <w:rsid w:val="0067059F"/>
    <w:rsid w:val="0067066C"/>
    <w:rsid w:val="00671092"/>
    <w:rsid w:val="00671702"/>
    <w:rsid w:val="00671BB6"/>
    <w:rsid w:val="00676C3D"/>
    <w:rsid w:val="00680703"/>
    <w:rsid w:val="00683FEF"/>
    <w:rsid w:val="00687613"/>
    <w:rsid w:val="00687755"/>
    <w:rsid w:val="00690011"/>
    <w:rsid w:val="00693153"/>
    <w:rsid w:val="006937D7"/>
    <w:rsid w:val="006968F3"/>
    <w:rsid w:val="00697084"/>
    <w:rsid w:val="006A1DFF"/>
    <w:rsid w:val="006A4F33"/>
    <w:rsid w:val="006A5387"/>
    <w:rsid w:val="006B05B2"/>
    <w:rsid w:val="006B173C"/>
    <w:rsid w:val="006B17F3"/>
    <w:rsid w:val="006B1DCE"/>
    <w:rsid w:val="006B30DB"/>
    <w:rsid w:val="006B53DD"/>
    <w:rsid w:val="006C054A"/>
    <w:rsid w:val="006D1C31"/>
    <w:rsid w:val="006D1E88"/>
    <w:rsid w:val="006D7EAB"/>
    <w:rsid w:val="006E0239"/>
    <w:rsid w:val="006E30BE"/>
    <w:rsid w:val="006E5907"/>
    <w:rsid w:val="006E5E8F"/>
    <w:rsid w:val="006E78E7"/>
    <w:rsid w:val="006E7EDE"/>
    <w:rsid w:val="006F210C"/>
    <w:rsid w:val="0070010F"/>
    <w:rsid w:val="0070538A"/>
    <w:rsid w:val="007077EC"/>
    <w:rsid w:val="007149A4"/>
    <w:rsid w:val="007228B5"/>
    <w:rsid w:val="007255E8"/>
    <w:rsid w:val="0072665F"/>
    <w:rsid w:val="00727149"/>
    <w:rsid w:val="007315E0"/>
    <w:rsid w:val="007323D2"/>
    <w:rsid w:val="00740269"/>
    <w:rsid w:val="00747524"/>
    <w:rsid w:val="0075128A"/>
    <w:rsid w:val="007513BF"/>
    <w:rsid w:val="0075187C"/>
    <w:rsid w:val="00751C4D"/>
    <w:rsid w:val="0075620C"/>
    <w:rsid w:val="00760513"/>
    <w:rsid w:val="007652F7"/>
    <w:rsid w:val="0076638F"/>
    <w:rsid w:val="007744AE"/>
    <w:rsid w:val="00776130"/>
    <w:rsid w:val="007810F2"/>
    <w:rsid w:val="00781FD9"/>
    <w:rsid w:val="00787A0B"/>
    <w:rsid w:val="007901F3"/>
    <w:rsid w:val="00792801"/>
    <w:rsid w:val="00793C68"/>
    <w:rsid w:val="00794F2B"/>
    <w:rsid w:val="00795329"/>
    <w:rsid w:val="00796F24"/>
    <w:rsid w:val="00797B90"/>
    <w:rsid w:val="00797D2B"/>
    <w:rsid w:val="007A07B4"/>
    <w:rsid w:val="007A0890"/>
    <w:rsid w:val="007A1DD0"/>
    <w:rsid w:val="007A538B"/>
    <w:rsid w:val="007C06C1"/>
    <w:rsid w:val="007C23E5"/>
    <w:rsid w:val="007C4BFF"/>
    <w:rsid w:val="007C4C0D"/>
    <w:rsid w:val="007C5046"/>
    <w:rsid w:val="007D09FE"/>
    <w:rsid w:val="007D5B8D"/>
    <w:rsid w:val="007D6A2F"/>
    <w:rsid w:val="007E0EBA"/>
    <w:rsid w:val="007E13D6"/>
    <w:rsid w:val="007E5115"/>
    <w:rsid w:val="007E57D9"/>
    <w:rsid w:val="007E59EF"/>
    <w:rsid w:val="007E6DE8"/>
    <w:rsid w:val="007E73B5"/>
    <w:rsid w:val="00803743"/>
    <w:rsid w:val="00806A78"/>
    <w:rsid w:val="008110C6"/>
    <w:rsid w:val="00812813"/>
    <w:rsid w:val="00815BA2"/>
    <w:rsid w:val="00823318"/>
    <w:rsid w:val="00831AD9"/>
    <w:rsid w:val="008327A9"/>
    <w:rsid w:val="008343D0"/>
    <w:rsid w:val="0083510C"/>
    <w:rsid w:val="00835DF3"/>
    <w:rsid w:val="00846B28"/>
    <w:rsid w:val="00846D04"/>
    <w:rsid w:val="008473DD"/>
    <w:rsid w:val="008505E3"/>
    <w:rsid w:val="008548F1"/>
    <w:rsid w:val="0085581C"/>
    <w:rsid w:val="00857054"/>
    <w:rsid w:val="00857185"/>
    <w:rsid w:val="00861C80"/>
    <w:rsid w:val="0086435D"/>
    <w:rsid w:val="0086474D"/>
    <w:rsid w:val="00864C19"/>
    <w:rsid w:val="00864CB0"/>
    <w:rsid w:val="008708AC"/>
    <w:rsid w:val="0087167B"/>
    <w:rsid w:val="00874432"/>
    <w:rsid w:val="00876A96"/>
    <w:rsid w:val="00877678"/>
    <w:rsid w:val="008803D1"/>
    <w:rsid w:val="00880555"/>
    <w:rsid w:val="00883A8C"/>
    <w:rsid w:val="008846DB"/>
    <w:rsid w:val="00885928"/>
    <w:rsid w:val="00890D9D"/>
    <w:rsid w:val="00894B8E"/>
    <w:rsid w:val="00894E6E"/>
    <w:rsid w:val="00897EAA"/>
    <w:rsid w:val="008A2A21"/>
    <w:rsid w:val="008A4880"/>
    <w:rsid w:val="008A58A8"/>
    <w:rsid w:val="008A7931"/>
    <w:rsid w:val="008B4126"/>
    <w:rsid w:val="008C02A9"/>
    <w:rsid w:val="008C48FA"/>
    <w:rsid w:val="008C55EA"/>
    <w:rsid w:val="008C6271"/>
    <w:rsid w:val="008C6911"/>
    <w:rsid w:val="008D1A16"/>
    <w:rsid w:val="008D3368"/>
    <w:rsid w:val="008D3A5A"/>
    <w:rsid w:val="008D4981"/>
    <w:rsid w:val="008D6F99"/>
    <w:rsid w:val="008D7DFF"/>
    <w:rsid w:val="008E3E36"/>
    <w:rsid w:val="008E4602"/>
    <w:rsid w:val="008E58B9"/>
    <w:rsid w:val="008E637D"/>
    <w:rsid w:val="008F54F9"/>
    <w:rsid w:val="008F6DB4"/>
    <w:rsid w:val="008F7CF1"/>
    <w:rsid w:val="0090091D"/>
    <w:rsid w:val="009011C8"/>
    <w:rsid w:val="00906406"/>
    <w:rsid w:val="00907A94"/>
    <w:rsid w:val="009105E1"/>
    <w:rsid w:val="00912D8B"/>
    <w:rsid w:val="00913232"/>
    <w:rsid w:val="00914EDD"/>
    <w:rsid w:val="00915641"/>
    <w:rsid w:val="00915D3F"/>
    <w:rsid w:val="00916D39"/>
    <w:rsid w:val="00917A0C"/>
    <w:rsid w:val="009263CD"/>
    <w:rsid w:val="00930E3F"/>
    <w:rsid w:val="00934CE6"/>
    <w:rsid w:val="00935867"/>
    <w:rsid w:val="00940171"/>
    <w:rsid w:val="009402A2"/>
    <w:rsid w:val="00940F86"/>
    <w:rsid w:val="00941EFA"/>
    <w:rsid w:val="0094245B"/>
    <w:rsid w:val="00944354"/>
    <w:rsid w:val="0094553B"/>
    <w:rsid w:val="00945B6B"/>
    <w:rsid w:val="00946274"/>
    <w:rsid w:val="00946888"/>
    <w:rsid w:val="0094720D"/>
    <w:rsid w:val="00951475"/>
    <w:rsid w:val="0095325C"/>
    <w:rsid w:val="009540BE"/>
    <w:rsid w:val="0096219A"/>
    <w:rsid w:val="009623AB"/>
    <w:rsid w:val="009628BE"/>
    <w:rsid w:val="00965CE8"/>
    <w:rsid w:val="00966E00"/>
    <w:rsid w:val="009712E8"/>
    <w:rsid w:val="00972A38"/>
    <w:rsid w:val="00975071"/>
    <w:rsid w:val="00975B4B"/>
    <w:rsid w:val="00975DA2"/>
    <w:rsid w:val="00980C7A"/>
    <w:rsid w:val="00981A3E"/>
    <w:rsid w:val="00982B37"/>
    <w:rsid w:val="009900E4"/>
    <w:rsid w:val="00990341"/>
    <w:rsid w:val="00991FDD"/>
    <w:rsid w:val="0099434D"/>
    <w:rsid w:val="00994791"/>
    <w:rsid w:val="009952AA"/>
    <w:rsid w:val="00995DFA"/>
    <w:rsid w:val="00997D13"/>
    <w:rsid w:val="009A0242"/>
    <w:rsid w:val="009A6152"/>
    <w:rsid w:val="009B23E3"/>
    <w:rsid w:val="009B2D25"/>
    <w:rsid w:val="009B76D2"/>
    <w:rsid w:val="009C16F1"/>
    <w:rsid w:val="009C3166"/>
    <w:rsid w:val="009C489F"/>
    <w:rsid w:val="009C5FEA"/>
    <w:rsid w:val="009D66CD"/>
    <w:rsid w:val="009E5EA8"/>
    <w:rsid w:val="009F0150"/>
    <w:rsid w:val="009F06BC"/>
    <w:rsid w:val="009F5349"/>
    <w:rsid w:val="009F77D8"/>
    <w:rsid w:val="00A069D5"/>
    <w:rsid w:val="00A0785E"/>
    <w:rsid w:val="00A10842"/>
    <w:rsid w:val="00A1304B"/>
    <w:rsid w:val="00A14EFB"/>
    <w:rsid w:val="00A14F98"/>
    <w:rsid w:val="00A150C6"/>
    <w:rsid w:val="00A17E50"/>
    <w:rsid w:val="00A2303E"/>
    <w:rsid w:val="00A23272"/>
    <w:rsid w:val="00A2454B"/>
    <w:rsid w:val="00A249CF"/>
    <w:rsid w:val="00A251B9"/>
    <w:rsid w:val="00A26018"/>
    <w:rsid w:val="00A34DB2"/>
    <w:rsid w:val="00A353B6"/>
    <w:rsid w:val="00A3546D"/>
    <w:rsid w:val="00A42BA8"/>
    <w:rsid w:val="00A54D6B"/>
    <w:rsid w:val="00A55B93"/>
    <w:rsid w:val="00A56559"/>
    <w:rsid w:val="00A57E76"/>
    <w:rsid w:val="00A61FA4"/>
    <w:rsid w:val="00A62B37"/>
    <w:rsid w:val="00A7560C"/>
    <w:rsid w:val="00A7641D"/>
    <w:rsid w:val="00A76B9B"/>
    <w:rsid w:val="00A7722F"/>
    <w:rsid w:val="00A809BA"/>
    <w:rsid w:val="00A827C5"/>
    <w:rsid w:val="00A83914"/>
    <w:rsid w:val="00A84977"/>
    <w:rsid w:val="00A84D39"/>
    <w:rsid w:val="00A852CE"/>
    <w:rsid w:val="00A85EAB"/>
    <w:rsid w:val="00A86BBE"/>
    <w:rsid w:val="00A8781C"/>
    <w:rsid w:val="00A97EEA"/>
    <w:rsid w:val="00AA23E0"/>
    <w:rsid w:val="00AA3E83"/>
    <w:rsid w:val="00AA521B"/>
    <w:rsid w:val="00AA6867"/>
    <w:rsid w:val="00AB17C5"/>
    <w:rsid w:val="00AB192B"/>
    <w:rsid w:val="00AB1BB4"/>
    <w:rsid w:val="00AB35A2"/>
    <w:rsid w:val="00AB41B9"/>
    <w:rsid w:val="00AB6A6D"/>
    <w:rsid w:val="00AB6BFC"/>
    <w:rsid w:val="00AC0D4D"/>
    <w:rsid w:val="00AC0EDE"/>
    <w:rsid w:val="00AC1923"/>
    <w:rsid w:val="00AC7239"/>
    <w:rsid w:val="00AD160B"/>
    <w:rsid w:val="00AD2778"/>
    <w:rsid w:val="00AD2FE0"/>
    <w:rsid w:val="00AE100E"/>
    <w:rsid w:val="00AE32E7"/>
    <w:rsid w:val="00AE35F2"/>
    <w:rsid w:val="00AF113A"/>
    <w:rsid w:val="00AF2070"/>
    <w:rsid w:val="00AF2302"/>
    <w:rsid w:val="00AF384A"/>
    <w:rsid w:val="00AF3D2C"/>
    <w:rsid w:val="00AF70E6"/>
    <w:rsid w:val="00B007A2"/>
    <w:rsid w:val="00B10590"/>
    <w:rsid w:val="00B12BB6"/>
    <w:rsid w:val="00B13F87"/>
    <w:rsid w:val="00B1441D"/>
    <w:rsid w:val="00B15536"/>
    <w:rsid w:val="00B22645"/>
    <w:rsid w:val="00B264B9"/>
    <w:rsid w:val="00B302F2"/>
    <w:rsid w:val="00B326D9"/>
    <w:rsid w:val="00B3288F"/>
    <w:rsid w:val="00B336E7"/>
    <w:rsid w:val="00B35A08"/>
    <w:rsid w:val="00B36CBA"/>
    <w:rsid w:val="00B376E7"/>
    <w:rsid w:val="00B40B8A"/>
    <w:rsid w:val="00B421C2"/>
    <w:rsid w:val="00B43231"/>
    <w:rsid w:val="00B51586"/>
    <w:rsid w:val="00B5232F"/>
    <w:rsid w:val="00B54402"/>
    <w:rsid w:val="00B54508"/>
    <w:rsid w:val="00B61348"/>
    <w:rsid w:val="00B645C4"/>
    <w:rsid w:val="00B65ED0"/>
    <w:rsid w:val="00B66649"/>
    <w:rsid w:val="00B66718"/>
    <w:rsid w:val="00B726A9"/>
    <w:rsid w:val="00B72CEC"/>
    <w:rsid w:val="00B769F5"/>
    <w:rsid w:val="00B80571"/>
    <w:rsid w:val="00B814A2"/>
    <w:rsid w:val="00B845F5"/>
    <w:rsid w:val="00B90511"/>
    <w:rsid w:val="00B92301"/>
    <w:rsid w:val="00B92BAE"/>
    <w:rsid w:val="00B934CE"/>
    <w:rsid w:val="00B94343"/>
    <w:rsid w:val="00B97537"/>
    <w:rsid w:val="00BA07CD"/>
    <w:rsid w:val="00BA121A"/>
    <w:rsid w:val="00BA150B"/>
    <w:rsid w:val="00BA278C"/>
    <w:rsid w:val="00BA2996"/>
    <w:rsid w:val="00BA31A7"/>
    <w:rsid w:val="00BA3ACC"/>
    <w:rsid w:val="00BA543F"/>
    <w:rsid w:val="00BA5B08"/>
    <w:rsid w:val="00BB1B6C"/>
    <w:rsid w:val="00BB592A"/>
    <w:rsid w:val="00BB718A"/>
    <w:rsid w:val="00BB79B6"/>
    <w:rsid w:val="00BC13C3"/>
    <w:rsid w:val="00BD28D2"/>
    <w:rsid w:val="00BD5AD4"/>
    <w:rsid w:val="00BD61DB"/>
    <w:rsid w:val="00BE1F84"/>
    <w:rsid w:val="00BE3221"/>
    <w:rsid w:val="00BE4FB0"/>
    <w:rsid w:val="00BE7099"/>
    <w:rsid w:val="00BF2754"/>
    <w:rsid w:val="00BF36C4"/>
    <w:rsid w:val="00BF47A8"/>
    <w:rsid w:val="00BF712C"/>
    <w:rsid w:val="00C03762"/>
    <w:rsid w:val="00C05082"/>
    <w:rsid w:val="00C07A5E"/>
    <w:rsid w:val="00C11430"/>
    <w:rsid w:val="00C11FD5"/>
    <w:rsid w:val="00C15208"/>
    <w:rsid w:val="00C201D0"/>
    <w:rsid w:val="00C22DC0"/>
    <w:rsid w:val="00C24AF3"/>
    <w:rsid w:val="00C30849"/>
    <w:rsid w:val="00C336B5"/>
    <w:rsid w:val="00C410C7"/>
    <w:rsid w:val="00C43396"/>
    <w:rsid w:val="00C4460F"/>
    <w:rsid w:val="00C45551"/>
    <w:rsid w:val="00C509E7"/>
    <w:rsid w:val="00C530A6"/>
    <w:rsid w:val="00C53470"/>
    <w:rsid w:val="00C55DF9"/>
    <w:rsid w:val="00C604E7"/>
    <w:rsid w:val="00C6082A"/>
    <w:rsid w:val="00C61B87"/>
    <w:rsid w:val="00C6302E"/>
    <w:rsid w:val="00C636F5"/>
    <w:rsid w:val="00C6769C"/>
    <w:rsid w:val="00C719E6"/>
    <w:rsid w:val="00C73AE5"/>
    <w:rsid w:val="00C73E92"/>
    <w:rsid w:val="00C76EEC"/>
    <w:rsid w:val="00C7747C"/>
    <w:rsid w:val="00C8572A"/>
    <w:rsid w:val="00C86282"/>
    <w:rsid w:val="00C91C06"/>
    <w:rsid w:val="00C925EF"/>
    <w:rsid w:val="00C96264"/>
    <w:rsid w:val="00CA46A2"/>
    <w:rsid w:val="00CB13E2"/>
    <w:rsid w:val="00CB1E2D"/>
    <w:rsid w:val="00CB2D37"/>
    <w:rsid w:val="00CB58A8"/>
    <w:rsid w:val="00CB59CB"/>
    <w:rsid w:val="00CC0716"/>
    <w:rsid w:val="00CC07C2"/>
    <w:rsid w:val="00CC1A2C"/>
    <w:rsid w:val="00CC3850"/>
    <w:rsid w:val="00CC4612"/>
    <w:rsid w:val="00CD25A9"/>
    <w:rsid w:val="00CD2957"/>
    <w:rsid w:val="00CE0020"/>
    <w:rsid w:val="00CE0406"/>
    <w:rsid w:val="00CE0A42"/>
    <w:rsid w:val="00CE1083"/>
    <w:rsid w:val="00CE177C"/>
    <w:rsid w:val="00CE34CB"/>
    <w:rsid w:val="00CE5F05"/>
    <w:rsid w:val="00CF1390"/>
    <w:rsid w:val="00CF1B45"/>
    <w:rsid w:val="00CF77B3"/>
    <w:rsid w:val="00D0013B"/>
    <w:rsid w:val="00D01A0C"/>
    <w:rsid w:val="00D021A1"/>
    <w:rsid w:val="00D11BD3"/>
    <w:rsid w:val="00D13340"/>
    <w:rsid w:val="00D146E6"/>
    <w:rsid w:val="00D14ECA"/>
    <w:rsid w:val="00D21D74"/>
    <w:rsid w:val="00D22D18"/>
    <w:rsid w:val="00D2458D"/>
    <w:rsid w:val="00D25732"/>
    <w:rsid w:val="00D305C6"/>
    <w:rsid w:val="00D31AA7"/>
    <w:rsid w:val="00D328F7"/>
    <w:rsid w:val="00D329F8"/>
    <w:rsid w:val="00D40451"/>
    <w:rsid w:val="00D412B8"/>
    <w:rsid w:val="00D417AB"/>
    <w:rsid w:val="00D43860"/>
    <w:rsid w:val="00D43C09"/>
    <w:rsid w:val="00D54887"/>
    <w:rsid w:val="00D5703D"/>
    <w:rsid w:val="00D70D32"/>
    <w:rsid w:val="00D70F05"/>
    <w:rsid w:val="00D7239D"/>
    <w:rsid w:val="00D73651"/>
    <w:rsid w:val="00D8081D"/>
    <w:rsid w:val="00D83927"/>
    <w:rsid w:val="00D92F28"/>
    <w:rsid w:val="00D94287"/>
    <w:rsid w:val="00D96188"/>
    <w:rsid w:val="00DA2D0D"/>
    <w:rsid w:val="00DA36A8"/>
    <w:rsid w:val="00DA47AD"/>
    <w:rsid w:val="00DB1918"/>
    <w:rsid w:val="00DB3576"/>
    <w:rsid w:val="00DB3788"/>
    <w:rsid w:val="00DC0D3E"/>
    <w:rsid w:val="00DC0F0B"/>
    <w:rsid w:val="00DC22CE"/>
    <w:rsid w:val="00DC3DA5"/>
    <w:rsid w:val="00DC7912"/>
    <w:rsid w:val="00DD3925"/>
    <w:rsid w:val="00DD4598"/>
    <w:rsid w:val="00DE2C26"/>
    <w:rsid w:val="00DE4CD0"/>
    <w:rsid w:val="00DE5038"/>
    <w:rsid w:val="00DE6E6C"/>
    <w:rsid w:val="00DF1C4E"/>
    <w:rsid w:val="00DF674E"/>
    <w:rsid w:val="00E005E5"/>
    <w:rsid w:val="00E021E0"/>
    <w:rsid w:val="00E023B3"/>
    <w:rsid w:val="00E055E0"/>
    <w:rsid w:val="00E075F4"/>
    <w:rsid w:val="00E13F91"/>
    <w:rsid w:val="00E15074"/>
    <w:rsid w:val="00E1655B"/>
    <w:rsid w:val="00E16D64"/>
    <w:rsid w:val="00E21EA8"/>
    <w:rsid w:val="00E2365E"/>
    <w:rsid w:val="00E23F7D"/>
    <w:rsid w:val="00E244B8"/>
    <w:rsid w:val="00E268F9"/>
    <w:rsid w:val="00E270E3"/>
    <w:rsid w:val="00E3063A"/>
    <w:rsid w:val="00E338AB"/>
    <w:rsid w:val="00E339EF"/>
    <w:rsid w:val="00E3762D"/>
    <w:rsid w:val="00E40002"/>
    <w:rsid w:val="00E40198"/>
    <w:rsid w:val="00E41543"/>
    <w:rsid w:val="00E502FF"/>
    <w:rsid w:val="00E55150"/>
    <w:rsid w:val="00E556F5"/>
    <w:rsid w:val="00E558B2"/>
    <w:rsid w:val="00E62745"/>
    <w:rsid w:val="00E62C07"/>
    <w:rsid w:val="00E70FA6"/>
    <w:rsid w:val="00E71E35"/>
    <w:rsid w:val="00E76297"/>
    <w:rsid w:val="00E84509"/>
    <w:rsid w:val="00E93217"/>
    <w:rsid w:val="00E933EB"/>
    <w:rsid w:val="00E94900"/>
    <w:rsid w:val="00E953D1"/>
    <w:rsid w:val="00E95982"/>
    <w:rsid w:val="00EA3614"/>
    <w:rsid w:val="00EA4155"/>
    <w:rsid w:val="00EB0A63"/>
    <w:rsid w:val="00EB2850"/>
    <w:rsid w:val="00EB509D"/>
    <w:rsid w:val="00EB676D"/>
    <w:rsid w:val="00EC2674"/>
    <w:rsid w:val="00EC520A"/>
    <w:rsid w:val="00ED01C6"/>
    <w:rsid w:val="00ED0435"/>
    <w:rsid w:val="00ED54FB"/>
    <w:rsid w:val="00EE1C38"/>
    <w:rsid w:val="00EE66BD"/>
    <w:rsid w:val="00EF049F"/>
    <w:rsid w:val="00EF0DF8"/>
    <w:rsid w:val="00EF7336"/>
    <w:rsid w:val="00F016D5"/>
    <w:rsid w:val="00F022AC"/>
    <w:rsid w:val="00F03FFC"/>
    <w:rsid w:val="00F05173"/>
    <w:rsid w:val="00F05959"/>
    <w:rsid w:val="00F062EA"/>
    <w:rsid w:val="00F064A0"/>
    <w:rsid w:val="00F07F58"/>
    <w:rsid w:val="00F07FFA"/>
    <w:rsid w:val="00F17E3A"/>
    <w:rsid w:val="00F21230"/>
    <w:rsid w:val="00F24FCB"/>
    <w:rsid w:val="00F25099"/>
    <w:rsid w:val="00F25355"/>
    <w:rsid w:val="00F25456"/>
    <w:rsid w:val="00F26864"/>
    <w:rsid w:val="00F307D9"/>
    <w:rsid w:val="00F33230"/>
    <w:rsid w:val="00F3685F"/>
    <w:rsid w:val="00F3748E"/>
    <w:rsid w:val="00F411CD"/>
    <w:rsid w:val="00F42134"/>
    <w:rsid w:val="00F42EA3"/>
    <w:rsid w:val="00F45D10"/>
    <w:rsid w:val="00F46DB0"/>
    <w:rsid w:val="00F50E50"/>
    <w:rsid w:val="00F51A9B"/>
    <w:rsid w:val="00F532F5"/>
    <w:rsid w:val="00F5454D"/>
    <w:rsid w:val="00F603FA"/>
    <w:rsid w:val="00F6206D"/>
    <w:rsid w:val="00F63B4A"/>
    <w:rsid w:val="00F65DE6"/>
    <w:rsid w:val="00F67AE2"/>
    <w:rsid w:val="00F71B84"/>
    <w:rsid w:val="00F72FCD"/>
    <w:rsid w:val="00F761F2"/>
    <w:rsid w:val="00F76D6A"/>
    <w:rsid w:val="00F81DDA"/>
    <w:rsid w:val="00F81F2F"/>
    <w:rsid w:val="00F91BED"/>
    <w:rsid w:val="00F93617"/>
    <w:rsid w:val="00F949A5"/>
    <w:rsid w:val="00F94BFC"/>
    <w:rsid w:val="00F94C63"/>
    <w:rsid w:val="00F959FA"/>
    <w:rsid w:val="00F96CED"/>
    <w:rsid w:val="00FA2F53"/>
    <w:rsid w:val="00FA7527"/>
    <w:rsid w:val="00FB7FFA"/>
    <w:rsid w:val="00FC193E"/>
    <w:rsid w:val="00FC19F1"/>
    <w:rsid w:val="00FC31F3"/>
    <w:rsid w:val="00FC4398"/>
    <w:rsid w:val="00FC5934"/>
    <w:rsid w:val="00FC5B2E"/>
    <w:rsid w:val="00FC7420"/>
    <w:rsid w:val="00FD0127"/>
    <w:rsid w:val="00FD1330"/>
    <w:rsid w:val="00FD2D1E"/>
    <w:rsid w:val="00FD3766"/>
    <w:rsid w:val="00FD6675"/>
    <w:rsid w:val="00FE13A2"/>
    <w:rsid w:val="00FE35B7"/>
    <w:rsid w:val="00FF28F2"/>
    <w:rsid w:val="00FF2A21"/>
    <w:rsid w:val="00FF57BF"/>
    <w:rsid w:val="00FF5F90"/>
    <w:rsid w:val="00FF66E0"/>
    <w:rsid w:val="00FF6E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193A2E"/>
  <w14:defaultImageDpi w14:val="300"/>
  <w15:docId w15:val="{C4D44E89-A35B-834D-AA11-E4764CDE4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7E0EBA"/>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D33"/>
    <w:pPr>
      <w:ind w:left="720"/>
      <w:contextualSpacing/>
    </w:pPr>
  </w:style>
  <w:style w:type="character" w:styleId="Hyperlink">
    <w:name w:val="Hyperlink"/>
    <w:basedOn w:val="DefaultParagraphFont"/>
    <w:uiPriority w:val="99"/>
    <w:unhideWhenUsed/>
    <w:rsid w:val="00F3748E"/>
    <w:rPr>
      <w:color w:val="0000FF" w:themeColor="hyperlink"/>
      <w:u w:val="single"/>
    </w:rPr>
  </w:style>
  <w:style w:type="character" w:styleId="FollowedHyperlink">
    <w:name w:val="FollowedHyperlink"/>
    <w:basedOn w:val="DefaultParagraphFont"/>
    <w:uiPriority w:val="99"/>
    <w:semiHidden/>
    <w:unhideWhenUsed/>
    <w:rsid w:val="001712A7"/>
    <w:rPr>
      <w:color w:val="800080" w:themeColor="followedHyperlink"/>
      <w:u w:val="single"/>
    </w:rPr>
  </w:style>
  <w:style w:type="table" w:styleId="TableGrid">
    <w:name w:val="Table Grid"/>
    <w:basedOn w:val="TableNormal"/>
    <w:uiPriority w:val="59"/>
    <w:rsid w:val="00B264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E0EBA"/>
    <w:rPr>
      <w:rFonts w:ascii="Times" w:hAnsi="Times"/>
      <w:b/>
      <w:bCs/>
      <w:kern w:val="36"/>
      <w:sz w:val="48"/>
      <w:szCs w:val="48"/>
    </w:rPr>
  </w:style>
  <w:style w:type="paragraph" w:styleId="Header">
    <w:name w:val="header"/>
    <w:basedOn w:val="Normal"/>
    <w:link w:val="HeaderChar"/>
    <w:uiPriority w:val="99"/>
    <w:unhideWhenUsed/>
    <w:rsid w:val="00457791"/>
    <w:pPr>
      <w:tabs>
        <w:tab w:val="center" w:pos="4320"/>
        <w:tab w:val="right" w:pos="8640"/>
      </w:tabs>
    </w:pPr>
  </w:style>
  <w:style w:type="character" w:customStyle="1" w:styleId="HeaderChar">
    <w:name w:val="Header Char"/>
    <w:basedOn w:val="DefaultParagraphFont"/>
    <w:link w:val="Header"/>
    <w:uiPriority w:val="99"/>
    <w:rsid w:val="00457791"/>
  </w:style>
  <w:style w:type="paragraph" w:styleId="Footer">
    <w:name w:val="footer"/>
    <w:basedOn w:val="Normal"/>
    <w:link w:val="FooterChar"/>
    <w:uiPriority w:val="99"/>
    <w:unhideWhenUsed/>
    <w:rsid w:val="00457791"/>
    <w:pPr>
      <w:tabs>
        <w:tab w:val="center" w:pos="4320"/>
        <w:tab w:val="right" w:pos="8640"/>
      </w:tabs>
    </w:pPr>
  </w:style>
  <w:style w:type="character" w:customStyle="1" w:styleId="FooterChar">
    <w:name w:val="Footer Char"/>
    <w:basedOn w:val="DefaultParagraphFont"/>
    <w:link w:val="Footer"/>
    <w:uiPriority w:val="99"/>
    <w:rsid w:val="00457791"/>
  </w:style>
  <w:style w:type="character" w:styleId="PageNumber">
    <w:name w:val="page number"/>
    <w:basedOn w:val="DefaultParagraphFont"/>
    <w:uiPriority w:val="99"/>
    <w:semiHidden/>
    <w:unhideWhenUsed/>
    <w:rsid w:val="00457791"/>
  </w:style>
  <w:style w:type="character" w:styleId="CommentReference">
    <w:name w:val="annotation reference"/>
    <w:basedOn w:val="DefaultParagraphFont"/>
    <w:uiPriority w:val="99"/>
    <w:semiHidden/>
    <w:unhideWhenUsed/>
    <w:rsid w:val="001D0E58"/>
    <w:rPr>
      <w:sz w:val="18"/>
      <w:szCs w:val="18"/>
    </w:rPr>
  </w:style>
  <w:style w:type="paragraph" w:styleId="CommentText">
    <w:name w:val="annotation text"/>
    <w:basedOn w:val="Normal"/>
    <w:link w:val="CommentTextChar"/>
    <w:uiPriority w:val="99"/>
    <w:semiHidden/>
    <w:unhideWhenUsed/>
    <w:rsid w:val="001D0E58"/>
  </w:style>
  <w:style w:type="character" w:customStyle="1" w:styleId="CommentTextChar">
    <w:name w:val="Comment Text Char"/>
    <w:basedOn w:val="DefaultParagraphFont"/>
    <w:link w:val="CommentText"/>
    <w:uiPriority w:val="99"/>
    <w:semiHidden/>
    <w:rsid w:val="001D0E58"/>
  </w:style>
  <w:style w:type="paragraph" w:styleId="CommentSubject">
    <w:name w:val="annotation subject"/>
    <w:basedOn w:val="CommentText"/>
    <w:next w:val="CommentText"/>
    <w:link w:val="CommentSubjectChar"/>
    <w:uiPriority w:val="99"/>
    <w:semiHidden/>
    <w:unhideWhenUsed/>
    <w:rsid w:val="001D0E58"/>
    <w:rPr>
      <w:b/>
      <w:bCs/>
      <w:sz w:val="20"/>
      <w:szCs w:val="20"/>
    </w:rPr>
  </w:style>
  <w:style w:type="character" w:customStyle="1" w:styleId="CommentSubjectChar">
    <w:name w:val="Comment Subject Char"/>
    <w:basedOn w:val="CommentTextChar"/>
    <w:link w:val="CommentSubject"/>
    <w:uiPriority w:val="99"/>
    <w:semiHidden/>
    <w:rsid w:val="001D0E58"/>
    <w:rPr>
      <w:b/>
      <w:bCs/>
      <w:sz w:val="20"/>
      <w:szCs w:val="20"/>
    </w:rPr>
  </w:style>
  <w:style w:type="paragraph" w:styleId="BalloonText">
    <w:name w:val="Balloon Text"/>
    <w:basedOn w:val="Normal"/>
    <w:link w:val="BalloonTextChar"/>
    <w:uiPriority w:val="99"/>
    <w:semiHidden/>
    <w:unhideWhenUsed/>
    <w:rsid w:val="001D0E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0E58"/>
    <w:rPr>
      <w:rFonts w:ascii="Lucida Grande" w:hAnsi="Lucida Grande" w:cs="Lucida Grande"/>
      <w:sz w:val="18"/>
      <w:szCs w:val="18"/>
    </w:rPr>
  </w:style>
  <w:style w:type="paragraph" w:styleId="NormalWeb">
    <w:name w:val="Normal (Web)"/>
    <w:basedOn w:val="Normal"/>
    <w:uiPriority w:val="99"/>
    <w:semiHidden/>
    <w:unhideWhenUsed/>
    <w:rsid w:val="00B43231"/>
    <w:pPr>
      <w:spacing w:before="100" w:beforeAutospacing="1" w:after="100" w:afterAutospacing="1"/>
    </w:pPr>
    <w:rPr>
      <w:rFonts w:ascii="Times New Roman" w:hAnsi="Times New Roman" w:cs="Times New Roman"/>
      <w:sz w:val="20"/>
      <w:szCs w:val="20"/>
    </w:rPr>
  </w:style>
  <w:style w:type="paragraph" w:customStyle="1" w:styleId="Default">
    <w:name w:val="Default"/>
    <w:rsid w:val="00F25355"/>
    <w:pPr>
      <w:widowControl w:val="0"/>
      <w:autoSpaceDE w:val="0"/>
      <w:autoSpaceDN w:val="0"/>
      <w:adjustRightInd w:val="0"/>
    </w:pPr>
    <w:rPr>
      <w:rFonts w:ascii="Trade Gothic LT Std" w:hAnsi="Trade Gothic LT Std" w:cs="Trade Gothic LT Std"/>
      <w:color w:val="000000"/>
    </w:rPr>
  </w:style>
  <w:style w:type="paragraph" w:customStyle="1" w:styleId="EndNoteBibliography">
    <w:name w:val="EndNote Bibliography"/>
    <w:basedOn w:val="Normal"/>
    <w:link w:val="EndNoteBibliographyChar"/>
    <w:rsid w:val="00E023B3"/>
    <w:pPr>
      <w:pBdr>
        <w:top w:val="nil"/>
        <w:left w:val="nil"/>
        <w:bottom w:val="nil"/>
        <w:right w:val="nil"/>
        <w:between w:val="nil"/>
        <w:bar w:val="nil"/>
      </w:pBdr>
      <w:jc w:val="both"/>
    </w:pPr>
    <w:rPr>
      <w:rFonts w:ascii="Times" w:eastAsia="Arial Unicode MS" w:hAnsi="Times" w:cs="Times New Roman"/>
      <w:bdr w:val="nil"/>
      <w:lang w:val="en-GB"/>
    </w:rPr>
  </w:style>
  <w:style w:type="character" w:customStyle="1" w:styleId="EndNoteBibliographyChar">
    <w:name w:val="EndNote Bibliography Char"/>
    <w:basedOn w:val="DefaultParagraphFont"/>
    <w:link w:val="EndNoteBibliography"/>
    <w:rsid w:val="00E023B3"/>
    <w:rPr>
      <w:rFonts w:ascii="Times" w:eastAsia="Arial Unicode MS" w:hAnsi="Times" w:cs="Times New Roman"/>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229534">
      <w:bodyDiv w:val="1"/>
      <w:marLeft w:val="0"/>
      <w:marRight w:val="0"/>
      <w:marTop w:val="0"/>
      <w:marBottom w:val="0"/>
      <w:divBdr>
        <w:top w:val="none" w:sz="0" w:space="0" w:color="auto"/>
        <w:left w:val="none" w:sz="0" w:space="0" w:color="auto"/>
        <w:bottom w:val="none" w:sz="0" w:space="0" w:color="auto"/>
        <w:right w:val="none" w:sz="0" w:space="0" w:color="auto"/>
      </w:divBdr>
    </w:div>
    <w:div w:id="164518953">
      <w:bodyDiv w:val="1"/>
      <w:marLeft w:val="0"/>
      <w:marRight w:val="0"/>
      <w:marTop w:val="0"/>
      <w:marBottom w:val="0"/>
      <w:divBdr>
        <w:top w:val="none" w:sz="0" w:space="0" w:color="auto"/>
        <w:left w:val="none" w:sz="0" w:space="0" w:color="auto"/>
        <w:bottom w:val="none" w:sz="0" w:space="0" w:color="auto"/>
        <w:right w:val="none" w:sz="0" w:space="0" w:color="auto"/>
      </w:divBdr>
    </w:div>
    <w:div w:id="180824559">
      <w:bodyDiv w:val="1"/>
      <w:marLeft w:val="0"/>
      <w:marRight w:val="0"/>
      <w:marTop w:val="0"/>
      <w:marBottom w:val="0"/>
      <w:divBdr>
        <w:top w:val="none" w:sz="0" w:space="0" w:color="auto"/>
        <w:left w:val="none" w:sz="0" w:space="0" w:color="auto"/>
        <w:bottom w:val="none" w:sz="0" w:space="0" w:color="auto"/>
        <w:right w:val="none" w:sz="0" w:space="0" w:color="auto"/>
      </w:divBdr>
    </w:div>
    <w:div w:id="213543766">
      <w:bodyDiv w:val="1"/>
      <w:marLeft w:val="0"/>
      <w:marRight w:val="0"/>
      <w:marTop w:val="0"/>
      <w:marBottom w:val="0"/>
      <w:divBdr>
        <w:top w:val="none" w:sz="0" w:space="0" w:color="auto"/>
        <w:left w:val="none" w:sz="0" w:space="0" w:color="auto"/>
        <w:bottom w:val="none" w:sz="0" w:space="0" w:color="auto"/>
        <w:right w:val="none" w:sz="0" w:space="0" w:color="auto"/>
      </w:divBdr>
    </w:div>
    <w:div w:id="326131720">
      <w:bodyDiv w:val="1"/>
      <w:marLeft w:val="0"/>
      <w:marRight w:val="0"/>
      <w:marTop w:val="0"/>
      <w:marBottom w:val="0"/>
      <w:divBdr>
        <w:top w:val="none" w:sz="0" w:space="0" w:color="auto"/>
        <w:left w:val="none" w:sz="0" w:space="0" w:color="auto"/>
        <w:bottom w:val="none" w:sz="0" w:space="0" w:color="auto"/>
        <w:right w:val="none" w:sz="0" w:space="0" w:color="auto"/>
      </w:divBdr>
    </w:div>
    <w:div w:id="362902782">
      <w:bodyDiv w:val="1"/>
      <w:marLeft w:val="0"/>
      <w:marRight w:val="0"/>
      <w:marTop w:val="0"/>
      <w:marBottom w:val="0"/>
      <w:divBdr>
        <w:top w:val="none" w:sz="0" w:space="0" w:color="auto"/>
        <w:left w:val="none" w:sz="0" w:space="0" w:color="auto"/>
        <w:bottom w:val="none" w:sz="0" w:space="0" w:color="auto"/>
        <w:right w:val="none" w:sz="0" w:space="0" w:color="auto"/>
      </w:divBdr>
    </w:div>
    <w:div w:id="514853228">
      <w:bodyDiv w:val="1"/>
      <w:marLeft w:val="0"/>
      <w:marRight w:val="0"/>
      <w:marTop w:val="0"/>
      <w:marBottom w:val="0"/>
      <w:divBdr>
        <w:top w:val="none" w:sz="0" w:space="0" w:color="auto"/>
        <w:left w:val="none" w:sz="0" w:space="0" w:color="auto"/>
        <w:bottom w:val="none" w:sz="0" w:space="0" w:color="auto"/>
        <w:right w:val="none" w:sz="0" w:space="0" w:color="auto"/>
      </w:divBdr>
    </w:div>
    <w:div w:id="537624392">
      <w:bodyDiv w:val="1"/>
      <w:marLeft w:val="0"/>
      <w:marRight w:val="0"/>
      <w:marTop w:val="0"/>
      <w:marBottom w:val="0"/>
      <w:divBdr>
        <w:top w:val="none" w:sz="0" w:space="0" w:color="auto"/>
        <w:left w:val="none" w:sz="0" w:space="0" w:color="auto"/>
        <w:bottom w:val="none" w:sz="0" w:space="0" w:color="auto"/>
        <w:right w:val="none" w:sz="0" w:space="0" w:color="auto"/>
      </w:divBdr>
    </w:div>
    <w:div w:id="698900397">
      <w:bodyDiv w:val="1"/>
      <w:marLeft w:val="0"/>
      <w:marRight w:val="0"/>
      <w:marTop w:val="0"/>
      <w:marBottom w:val="0"/>
      <w:divBdr>
        <w:top w:val="none" w:sz="0" w:space="0" w:color="auto"/>
        <w:left w:val="none" w:sz="0" w:space="0" w:color="auto"/>
        <w:bottom w:val="none" w:sz="0" w:space="0" w:color="auto"/>
        <w:right w:val="none" w:sz="0" w:space="0" w:color="auto"/>
      </w:divBdr>
    </w:div>
    <w:div w:id="806165027">
      <w:bodyDiv w:val="1"/>
      <w:marLeft w:val="0"/>
      <w:marRight w:val="0"/>
      <w:marTop w:val="0"/>
      <w:marBottom w:val="0"/>
      <w:divBdr>
        <w:top w:val="none" w:sz="0" w:space="0" w:color="auto"/>
        <w:left w:val="none" w:sz="0" w:space="0" w:color="auto"/>
        <w:bottom w:val="none" w:sz="0" w:space="0" w:color="auto"/>
        <w:right w:val="none" w:sz="0" w:space="0" w:color="auto"/>
      </w:divBdr>
    </w:div>
    <w:div w:id="833492739">
      <w:bodyDiv w:val="1"/>
      <w:marLeft w:val="0"/>
      <w:marRight w:val="0"/>
      <w:marTop w:val="0"/>
      <w:marBottom w:val="0"/>
      <w:divBdr>
        <w:top w:val="none" w:sz="0" w:space="0" w:color="auto"/>
        <w:left w:val="none" w:sz="0" w:space="0" w:color="auto"/>
        <w:bottom w:val="none" w:sz="0" w:space="0" w:color="auto"/>
        <w:right w:val="none" w:sz="0" w:space="0" w:color="auto"/>
      </w:divBdr>
    </w:div>
    <w:div w:id="1055201202">
      <w:bodyDiv w:val="1"/>
      <w:marLeft w:val="0"/>
      <w:marRight w:val="0"/>
      <w:marTop w:val="0"/>
      <w:marBottom w:val="0"/>
      <w:divBdr>
        <w:top w:val="none" w:sz="0" w:space="0" w:color="auto"/>
        <w:left w:val="none" w:sz="0" w:space="0" w:color="auto"/>
        <w:bottom w:val="none" w:sz="0" w:space="0" w:color="auto"/>
        <w:right w:val="none" w:sz="0" w:space="0" w:color="auto"/>
      </w:divBdr>
    </w:div>
    <w:div w:id="1179853699">
      <w:bodyDiv w:val="1"/>
      <w:marLeft w:val="0"/>
      <w:marRight w:val="0"/>
      <w:marTop w:val="0"/>
      <w:marBottom w:val="0"/>
      <w:divBdr>
        <w:top w:val="none" w:sz="0" w:space="0" w:color="auto"/>
        <w:left w:val="none" w:sz="0" w:space="0" w:color="auto"/>
        <w:bottom w:val="none" w:sz="0" w:space="0" w:color="auto"/>
        <w:right w:val="none" w:sz="0" w:space="0" w:color="auto"/>
      </w:divBdr>
    </w:div>
    <w:div w:id="1190021341">
      <w:bodyDiv w:val="1"/>
      <w:marLeft w:val="0"/>
      <w:marRight w:val="0"/>
      <w:marTop w:val="0"/>
      <w:marBottom w:val="0"/>
      <w:divBdr>
        <w:top w:val="none" w:sz="0" w:space="0" w:color="auto"/>
        <w:left w:val="none" w:sz="0" w:space="0" w:color="auto"/>
        <w:bottom w:val="none" w:sz="0" w:space="0" w:color="auto"/>
        <w:right w:val="none" w:sz="0" w:space="0" w:color="auto"/>
      </w:divBdr>
      <w:divsChild>
        <w:div w:id="1402601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6517547">
              <w:marLeft w:val="0"/>
              <w:marRight w:val="0"/>
              <w:marTop w:val="0"/>
              <w:marBottom w:val="0"/>
              <w:divBdr>
                <w:top w:val="none" w:sz="0" w:space="0" w:color="auto"/>
                <w:left w:val="none" w:sz="0" w:space="0" w:color="auto"/>
                <w:bottom w:val="none" w:sz="0" w:space="0" w:color="auto"/>
                <w:right w:val="none" w:sz="0" w:space="0" w:color="auto"/>
              </w:divBdr>
              <w:divsChild>
                <w:div w:id="24302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809224">
      <w:bodyDiv w:val="1"/>
      <w:marLeft w:val="0"/>
      <w:marRight w:val="0"/>
      <w:marTop w:val="0"/>
      <w:marBottom w:val="0"/>
      <w:divBdr>
        <w:top w:val="none" w:sz="0" w:space="0" w:color="auto"/>
        <w:left w:val="none" w:sz="0" w:space="0" w:color="auto"/>
        <w:bottom w:val="none" w:sz="0" w:space="0" w:color="auto"/>
        <w:right w:val="none" w:sz="0" w:space="0" w:color="auto"/>
      </w:divBdr>
    </w:div>
    <w:div w:id="1251937311">
      <w:bodyDiv w:val="1"/>
      <w:marLeft w:val="0"/>
      <w:marRight w:val="0"/>
      <w:marTop w:val="0"/>
      <w:marBottom w:val="0"/>
      <w:divBdr>
        <w:top w:val="none" w:sz="0" w:space="0" w:color="auto"/>
        <w:left w:val="none" w:sz="0" w:space="0" w:color="auto"/>
        <w:bottom w:val="none" w:sz="0" w:space="0" w:color="auto"/>
        <w:right w:val="none" w:sz="0" w:space="0" w:color="auto"/>
      </w:divBdr>
    </w:div>
    <w:div w:id="1414350174">
      <w:bodyDiv w:val="1"/>
      <w:marLeft w:val="0"/>
      <w:marRight w:val="0"/>
      <w:marTop w:val="0"/>
      <w:marBottom w:val="0"/>
      <w:divBdr>
        <w:top w:val="none" w:sz="0" w:space="0" w:color="auto"/>
        <w:left w:val="none" w:sz="0" w:space="0" w:color="auto"/>
        <w:bottom w:val="none" w:sz="0" w:space="0" w:color="auto"/>
        <w:right w:val="none" w:sz="0" w:space="0" w:color="auto"/>
      </w:divBdr>
    </w:div>
    <w:div w:id="1420448833">
      <w:bodyDiv w:val="1"/>
      <w:marLeft w:val="0"/>
      <w:marRight w:val="0"/>
      <w:marTop w:val="0"/>
      <w:marBottom w:val="0"/>
      <w:divBdr>
        <w:top w:val="none" w:sz="0" w:space="0" w:color="auto"/>
        <w:left w:val="none" w:sz="0" w:space="0" w:color="auto"/>
        <w:bottom w:val="none" w:sz="0" w:space="0" w:color="auto"/>
        <w:right w:val="none" w:sz="0" w:space="0" w:color="auto"/>
      </w:divBdr>
    </w:div>
    <w:div w:id="1578857792">
      <w:bodyDiv w:val="1"/>
      <w:marLeft w:val="0"/>
      <w:marRight w:val="0"/>
      <w:marTop w:val="0"/>
      <w:marBottom w:val="0"/>
      <w:divBdr>
        <w:top w:val="none" w:sz="0" w:space="0" w:color="auto"/>
        <w:left w:val="none" w:sz="0" w:space="0" w:color="auto"/>
        <w:bottom w:val="none" w:sz="0" w:space="0" w:color="auto"/>
        <w:right w:val="none" w:sz="0" w:space="0" w:color="auto"/>
      </w:divBdr>
    </w:div>
    <w:div w:id="1755392740">
      <w:bodyDiv w:val="1"/>
      <w:marLeft w:val="0"/>
      <w:marRight w:val="0"/>
      <w:marTop w:val="0"/>
      <w:marBottom w:val="0"/>
      <w:divBdr>
        <w:top w:val="none" w:sz="0" w:space="0" w:color="auto"/>
        <w:left w:val="none" w:sz="0" w:space="0" w:color="auto"/>
        <w:bottom w:val="none" w:sz="0" w:space="0" w:color="auto"/>
        <w:right w:val="none" w:sz="0" w:space="0" w:color="auto"/>
      </w:divBdr>
    </w:div>
    <w:div w:id="1771387851">
      <w:bodyDiv w:val="1"/>
      <w:marLeft w:val="0"/>
      <w:marRight w:val="0"/>
      <w:marTop w:val="0"/>
      <w:marBottom w:val="0"/>
      <w:divBdr>
        <w:top w:val="none" w:sz="0" w:space="0" w:color="auto"/>
        <w:left w:val="none" w:sz="0" w:space="0" w:color="auto"/>
        <w:bottom w:val="none" w:sz="0" w:space="0" w:color="auto"/>
        <w:right w:val="none" w:sz="0" w:space="0" w:color="auto"/>
      </w:divBdr>
    </w:div>
    <w:div w:id="1827237391">
      <w:bodyDiv w:val="1"/>
      <w:marLeft w:val="0"/>
      <w:marRight w:val="0"/>
      <w:marTop w:val="0"/>
      <w:marBottom w:val="0"/>
      <w:divBdr>
        <w:top w:val="none" w:sz="0" w:space="0" w:color="auto"/>
        <w:left w:val="none" w:sz="0" w:space="0" w:color="auto"/>
        <w:bottom w:val="none" w:sz="0" w:space="0" w:color="auto"/>
        <w:right w:val="none" w:sz="0" w:space="0" w:color="auto"/>
      </w:divBdr>
    </w:div>
    <w:div w:id="1862742739">
      <w:bodyDiv w:val="1"/>
      <w:marLeft w:val="0"/>
      <w:marRight w:val="0"/>
      <w:marTop w:val="0"/>
      <w:marBottom w:val="0"/>
      <w:divBdr>
        <w:top w:val="none" w:sz="0" w:space="0" w:color="auto"/>
        <w:left w:val="none" w:sz="0" w:space="0" w:color="auto"/>
        <w:bottom w:val="none" w:sz="0" w:space="0" w:color="auto"/>
        <w:right w:val="none" w:sz="0" w:space="0" w:color="auto"/>
      </w:divBdr>
    </w:div>
    <w:div w:id="18652870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133</TotalTime>
  <Pages>11</Pages>
  <Words>2404</Words>
  <Characters>13707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Taylor</dc:creator>
  <cp:keywords/>
  <dc:description/>
  <cp:lastModifiedBy>Microsoft Office User</cp:lastModifiedBy>
  <cp:revision>38</cp:revision>
  <dcterms:created xsi:type="dcterms:W3CDTF">2018-12-11T03:43:00Z</dcterms:created>
  <dcterms:modified xsi:type="dcterms:W3CDTF">2019-05-15T02:42:00Z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PERS2_INFO_01">
    <vt:lpwstr>&lt;info&gt;&lt;style id="http://www.zotero.org/styles/nature-medicine"/&gt;&lt;hasBiblio/&gt;&lt;format class="21"/&gt;&lt;count citations="56" publications="61"/&gt;&lt;/info&gt;PAPERS2_INFO_END</vt:lpwstr>
  </property>
</Properties>
</file>