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98" w:rsidRPr="00F52534" w:rsidRDefault="002A0898" w:rsidP="002A08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2534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20AA52DB" wp14:editId="41395E8B">
            <wp:extent cx="4226505" cy="5534527"/>
            <wp:effectExtent l="0" t="0" r="317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-Fig6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387" cy="555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98" w:rsidRPr="00F52534" w:rsidRDefault="002A0898" w:rsidP="002A089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A0898" w:rsidRPr="00F52534" w:rsidRDefault="002A0898" w:rsidP="002A08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2534">
        <w:rPr>
          <w:rFonts w:ascii="Arial" w:hAnsi="Arial" w:cs="Arial"/>
          <w:b/>
          <w:color w:val="000000" w:themeColor="text1"/>
          <w:sz w:val="22"/>
          <w:szCs w:val="22"/>
        </w:rPr>
        <w:t>Suppl. Fig. 6.</w:t>
      </w:r>
      <w:r w:rsidRPr="00F52534">
        <w:rPr>
          <w:rFonts w:ascii="Arial" w:hAnsi="Arial" w:cs="Arial"/>
          <w:color w:val="000000" w:themeColor="text1"/>
          <w:sz w:val="22"/>
          <w:szCs w:val="22"/>
        </w:rPr>
        <w:t xml:space="preserve"> RAB11A-KD cells show increased YAP signaling and proliferation.</w:t>
      </w:r>
    </w:p>
    <w:p w:rsidR="002A0898" w:rsidRPr="00F52534" w:rsidRDefault="002A0898" w:rsidP="002A08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2534">
        <w:rPr>
          <w:rFonts w:ascii="Arial" w:hAnsi="Arial" w:cs="Arial"/>
          <w:color w:val="000000" w:themeColor="text1"/>
          <w:sz w:val="22"/>
          <w:szCs w:val="22"/>
        </w:rPr>
        <w:t>(A) TEAD reporter assay shows increased canonical YAP activity in RAB11A-KD SW480 cells. Data represent three independent experiments.</w:t>
      </w:r>
    </w:p>
    <w:p w:rsidR="002A0898" w:rsidRPr="00F52534" w:rsidRDefault="002A0898" w:rsidP="002A08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2534">
        <w:rPr>
          <w:rFonts w:ascii="Arial" w:hAnsi="Arial" w:cs="Arial"/>
          <w:color w:val="000000" w:themeColor="text1"/>
          <w:sz w:val="22"/>
          <w:szCs w:val="22"/>
        </w:rPr>
        <w:t xml:space="preserve">(B) YAP1 </w:t>
      </w:r>
      <w:proofErr w:type="spellStart"/>
      <w:r w:rsidRPr="00F52534">
        <w:rPr>
          <w:rFonts w:ascii="Arial" w:hAnsi="Arial" w:cs="Arial"/>
          <w:color w:val="000000" w:themeColor="text1"/>
          <w:sz w:val="22"/>
          <w:szCs w:val="22"/>
        </w:rPr>
        <w:t>ChIP</w:t>
      </w:r>
      <w:proofErr w:type="spellEnd"/>
      <w:r w:rsidRPr="00F52534">
        <w:rPr>
          <w:rFonts w:ascii="Arial" w:hAnsi="Arial" w:cs="Arial"/>
          <w:color w:val="000000" w:themeColor="text1"/>
          <w:sz w:val="22"/>
          <w:szCs w:val="22"/>
        </w:rPr>
        <w:t xml:space="preserve"> assays show increased YAP1 chromatin binding to LATS2, TEAD1, and CCND-1 regulatory elements in both KD Caco2 and SW480 cells.</w:t>
      </w:r>
    </w:p>
    <w:p w:rsidR="002A0898" w:rsidRPr="00F52534" w:rsidRDefault="002A0898" w:rsidP="002A08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2534">
        <w:rPr>
          <w:rFonts w:ascii="Arial" w:hAnsi="Arial" w:cs="Arial"/>
          <w:color w:val="000000" w:themeColor="text1"/>
          <w:sz w:val="22"/>
          <w:szCs w:val="22"/>
        </w:rPr>
        <w:t xml:space="preserve">(C) Doubling time analysis shows that RAB11A-KD Caco2 cells have increased proliferation, which could be suppressed by treating cells with a YAP inhibitor (VTP). </w:t>
      </w:r>
    </w:p>
    <w:p w:rsidR="00D13B9A" w:rsidRDefault="00D13B9A">
      <w:bookmarkStart w:id="0" w:name="_GoBack"/>
      <w:bookmarkEnd w:id="0"/>
    </w:p>
    <w:sectPr w:rsidR="00D1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D3"/>
    <w:rsid w:val="002A0898"/>
    <w:rsid w:val="00D13B9A"/>
    <w:rsid w:val="00E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960DF-DB8A-4127-B4DA-3EC9C522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Sayantani</dc:creator>
  <cp:keywords/>
  <dc:description/>
  <cp:lastModifiedBy>Sayantani</cp:lastModifiedBy>
  <cp:revision>2</cp:revision>
  <dcterms:created xsi:type="dcterms:W3CDTF">2019-06-04T19:47:00Z</dcterms:created>
  <dcterms:modified xsi:type="dcterms:W3CDTF">2019-06-04T19:47:00Z</dcterms:modified>
</cp:coreProperties>
</file>