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C5D" w:rsidRPr="00721207" w:rsidRDefault="00B35823">
      <w:pPr>
        <w:rPr>
          <w:rFonts w:ascii="Arial" w:hAnsi="Arial" w:cs="Arial"/>
          <w:b/>
          <w:sz w:val="24"/>
          <w:szCs w:val="24"/>
        </w:rPr>
      </w:pPr>
      <w:r w:rsidRPr="00721207">
        <w:rPr>
          <w:rFonts w:ascii="Arial" w:hAnsi="Arial" w:cs="Arial"/>
          <w:b/>
          <w:sz w:val="24"/>
          <w:szCs w:val="24"/>
        </w:rPr>
        <w:t>Supplemental Figures</w:t>
      </w:r>
    </w:p>
    <w:p w:rsidR="00B35823" w:rsidRPr="00721207" w:rsidRDefault="00B35823" w:rsidP="00B35823">
      <w:pPr>
        <w:rPr>
          <w:rFonts w:ascii="Arial" w:hAnsi="Arial" w:cs="Arial"/>
          <w:sz w:val="24"/>
          <w:szCs w:val="24"/>
        </w:rPr>
      </w:pPr>
      <w:r w:rsidRPr="00721207">
        <w:rPr>
          <w:rFonts w:ascii="Arial" w:hAnsi="Arial" w:cs="Arial"/>
          <w:noProof/>
          <w:sz w:val="24"/>
          <w:szCs w:val="24"/>
        </w:rPr>
        <w:drawing>
          <wp:inline distT="0" distB="0" distL="0" distR="0">
            <wp:extent cx="5943600" cy="4164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1.tif"/>
                    <pic:cNvPicPr/>
                  </pic:nvPicPr>
                  <pic:blipFill>
                    <a:blip r:embed="rId4">
                      <a:extLst>
                        <a:ext uri="{28A0092B-C50C-407E-A947-70E740481C1C}">
                          <a14:useLocalDpi xmlns:a14="http://schemas.microsoft.com/office/drawing/2010/main" val="0"/>
                        </a:ext>
                      </a:extLst>
                    </a:blip>
                    <a:stretch>
                      <a:fillRect/>
                    </a:stretch>
                  </pic:blipFill>
                  <pic:spPr>
                    <a:xfrm>
                      <a:off x="0" y="0"/>
                      <a:ext cx="5943600" cy="4164330"/>
                    </a:xfrm>
                    <a:prstGeom prst="rect">
                      <a:avLst/>
                    </a:prstGeom>
                  </pic:spPr>
                </pic:pic>
              </a:graphicData>
            </a:graphic>
          </wp:inline>
        </w:drawing>
      </w:r>
      <w:r w:rsidRPr="00721207">
        <w:rPr>
          <w:rFonts w:ascii="Arial" w:hAnsi="Arial" w:cs="Arial"/>
          <w:b/>
          <w:sz w:val="24"/>
          <w:szCs w:val="24"/>
        </w:rPr>
        <w:t>Supplemental Figure 1</w:t>
      </w:r>
      <w:r w:rsidRPr="00721207">
        <w:rPr>
          <w:rFonts w:ascii="Arial" w:hAnsi="Arial" w:cs="Arial"/>
          <w:sz w:val="24"/>
          <w:szCs w:val="24"/>
        </w:rPr>
        <w:t>: FACS was utilized for the isolation of CD133-positive and –</w:t>
      </w:r>
      <w:r w:rsidR="00721207">
        <w:rPr>
          <w:rFonts w:ascii="Arial" w:hAnsi="Arial" w:cs="Arial"/>
          <w:sz w:val="24"/>
          <w:szCs w:val="24"/>
        </w:rPr>
        <w:t>n</w:t>
      </w:r>
      <w:r w:rsidRPr="00721207">
        <w:rPr>
          <w:rFonts w:ascii="Arial" w:hAnsi="Arial" w:cs="Arial"/>
          <w:sz w:val="24"/>
          <w:szCs w:val="24"/>
        </w:rPr>
        <w:t xml:space="preserve">egative cell populations from the B16-F10 cell line. </w:t>
      </w:r>
      <w:r w:rsidR="0097274A" w:rsidRPr="00721207">
        <w:rPr>
          <w:rFonts w:ascii="Arial" w:hAnsi="Arial" w:cs="Arial"/>
          <w:sz w:val="24"/>
          <w:szCs w:val="24"/>
        </w:rPr>
        <w:t>Representative p</w:t>
      </w:r>
      <w:r w:rsidRPr="00721207">
        <w:rPr>
          <w:rFonts w:ascii="Arial" w:hAnsi="Arial" w:cs="Arial"/>
          <w:sz w:val="24"/>
          <w:szCs w:val="24"/>
        </w:rPr>
        <w:t>anels depicting the gating strategy from the parental cell line (left, purple, BD Aria II) as well as the post-sort validation of CD133</w:t>
      </w:r>
      <w:r w:rsidRPr="00721207">
        <w:rPr>
          <w:rFonts w:ascii="Arial" w:hAnsi="Arial" w:cs="Arial"/>
          <w:sz w:val="24"/>
          <w:szCs w:val="24"/>
          <w:vertAlign w:val="superscript"/>
        </w:rPr>
        <w:t>-</w:t>
      </w:r>
      <w:r w:rsidRPr="00721207">
        <w:rPr>
          <w:rFonts w:ascii="Arial" w:hAnsi="Arial" w:cs="Arial"/>
          <w:sz w:val="24"/>
          <w:szCs w:val="24"/>
        </w:rPr>
        <w:t xml:space="preserve"> (red, top) and CD133</w:t>
      </w:r>
      <w:r w:rsidRPr="00721207">
        <w:rPr>
          <w:rFonts w:ascii="Arial" w:hAnsi="Arial" w:cs="Arial"/>
          <w:sz w:val="24"/>
          <w:szCs w:val="24"/>
          <w:vertAlign w:val="superscript"/>
        </w:rPr>
        <w:t>+</w:t>
      </w:r>
      <w:r w:rsidRPr="00721207">
        <w:rPr>
          <w:rFonts w:ascii="Arial" w:hAnsi="Arial" w:cs="Arial"/>
          <w:sz w:val="24"/>
          <w:szCs w:val="24"/>
        </w:rPr>
        <w:t xml:space="preserve"> (red, bottom) populations (BD </w:t>
      </w:r>
      <w:proofErr w:type="spellStart"/>
      <w:r w:rsidRPr="00721207">
        <w:rPr>
          <w:rFonts w:ascii="Arial" w:hAnsi="Arial" w:cs="Arial"/>
          <w:sz w:val="24"/>
          <w:szCs w:val="24"/>
        </w:rPr>
        <w:t>FACSCelesta</w:t>
      </w:r>
      <w:proofErr w:type="spellEnd"/>
      <w:r w:rsidRPr="00721207">
        <w:rPr>
          <w:rFonts w:ascii="Arial" w:hAnsi="Arial" w:cs="Arial"/>
          <w:sz w:val="24"/>
          <w:szCs w:val="24"/>
        </w:rPr>
        <w:t xml:space="preserve">) are shown. Further validation by immunoblot </w:t>
      </w:r>
      <w:r w:rsidR="0097274A" w:rsidRPr="00721207">
        <w:rPr>
          <w:rFonts w:ascii="Arial" w:hAnsi="Arial" w:cs="Arial"/>
          <w:sz w:val="24"/>
          <w:szCs w:val="24"/>
        </w:rPr>
        <w:t xml:space="preserve">analysis </w:t>
      </w:r>
      <w:r w:rsidRPr="00721207">
        <w:rPr>
          <w:rFonts w:ascii="Arial" w:hAnsi="Arial" w:cs="Arial"/>
          <w:sz w:val="24"/>
          <w:szCs w:val="24"/>
        </w:rPr>
        <w:t>was used to assess the lev</w:t>
      </w:r>
      <w:r w:rsidR="00721207">
        <w:rPr>
          <w:rFonts w:ascii="Arial" w:hAnsi="Arial" w:cs="Arial"/>
          <w:sz w:val="24"/>
          <w:szCs w:val="24"/>
        </w:rPr>
        <w:t>el of CD133 expression from sorted cells</w:t>
      </w:r>
      <w:r w:rsidRPr="00721207">
        <w:rPr>
          <w:rFonts w:ascii="Arial" w:hAnsi="Arial" w:cs="Arial"/>
          <w:sz w:val="24"/>
          <w:szCs w:val="24"/>
        </w:rPr>
        <w:t>.</w:t>
      </w:r>
    </w:p>
    <w:p w:rsidR="0097274A" w:rsidRPr="00721207" w:rsidRDefault="00CA6E20" w:rsidP="00B35823">
      <w:pPr>
        <w:rPr>
          <w:rFonts w:ascii="Arial" w:hAnsi="Arial" w:cs="Arial"/>
          <w:sz w:val="24"/>
          <w:szCs w:val="24"/>
        </w:rPr>
      </w:pPr>
      <w:r>
        <w:rPr>
          <w:rFonts w:ascii="Arial" w:hAnsi="Arial" w:cs="Arial"/>
          <w:sz w:val="24"/>
          <w:szCs w:val="24"/>
        </w:rPr>
        <w:br w:type="column"/>
      </w:r>
    </w:p>
    <w:p w:rsidR="0097274A" w:rsidRPr="00721207" w:rsidRDefault="0097274A" w:rsidP="00B35823">
      <w:pPr>
        <w:rPr>
          <w:rFonts w:ascii="Arial" w:hAnsi="Arial" w:cs="Arial"/>
          <w:sz w:val="24"/>
          <w:szCs w:val="24"/>
        </w:rPr>
      </w:pPr>
      <w:r w:rsidRPr="00721207">
        <w:rPr>
          <w:rFonts w:ascii="Arial" w:hAnsi="Arial" w:cs="Arial"/>
          <w:noProof/>
          <w:sz w:val="24"/>
          <w:szCs w:val="24"/>
        </w:rPr>
        <w:drawing>
          <wp:inline distT="0" distB="0" distL="0" distR="0">
            <wp:extent cx="5943600" cy="4333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2.tif"/>
                    <pic:cNvPicPr/>
                  </pic:nvPicPr>
                  <pic:blipFill>
                    <a:blip r:embed="rId5">
                      <a:extLst>
                        <a:ext uri="{28A0092B-C50C-407E-A947-70E740481C1C}">
                          <a14:useLocalDpi xmlns:a14="http://schemas.microsoft.com/office/drawing/2010/main" val="0"/>
                        </a:ext>
                      </a:extLst>
                    </a:blip>
                    <a:stretch>
                      <a:fillRect/>
                    </a:stretch>
                  </pic:blipFill>
                  <pic:spPr>
                    <a:xfrm>
                      <a:off x="0" y="0"/>
                      <a:ext cx="5943600" cy="4333875"/>
                    </a:xfrm>
                    <a:prstGeom prst="rect">
                      <a:avLst/>
                    </a:prstGeom>
                  </pic:spPr>
                </pic:pic>
              </a:graphicData>
            </a:graphic>
          </wp:inline>
        </w:drawing>
      </w:r>
    </w:p>
    <w:p w:rsidR="00B35823" w:rsidRPr="00721207" w:rsidRDefault="0097274A">
      <w:pPr>
        <w:rPr>
          <w:rFonts w:ascii="Arial" w:hAnsi="Arial" w:cs="Arial"/>
          <w:sz w:val="24"/>
          <w:szCs w:val="24"/>
        </w:rPr>
      </w:pPr>
      <w:r w:rsidRPr="00721207">
        <w:rPr>
          <w:rFonts w:ascii="Arial" w:hAnsi="Arial" w:cs="Arial"/>
          <w:b/>
          <w:sz w:val="24"/>
          <w:szCs w:val="24"/>
        </w:rPr>
        <w:t xml:space="preserve">Supplemental Figure 2: </w:t>
      </w:r>
      <w:r w:rsidR="00721207">
        <w:rPr>
          <w:rFonts w:ascii="Arial" w:hAnsi="Arial" w:cs="Arial"/>
          <w:sz w:val="24"/>
          <w:szCs w:val="24"/>
        </w:rPr>
        <w:t>SPADE trees</w:t>
      </w:r>
      <w:r w:rsidRPr="00721207">
        <w:rPr>
          <w:rFonts w:ascii="Arial" w:hAnsi="Arial" w:cs="Arial"/>
          <w:sz w:val="24"/>
          <w:szCs w:val="24"/>
        </w:rPr>
        <w:t xml:space="preserve"> from pooled data obtained from flow c</w:t>
      </w:r>
      <w:r w:rsidR="00721207">
        <w:rPr>
          <w:rFonts w:ascii="Arial" w:hAnsi="Arial" w:cs="Arial"/>
          <w:sz w:val="24"/>
          <w:szCs w:val="24"/>
        </w:rPr>
        <w:t>ytometry experiments representative of</w:t>
      </w:r>
      <w:r w:rsidRPr="00721207">
        <w:rPr>
          <w:rFonts w:ascii="Arial" w:hAnsi="Arial" w:cs="Arial"/>
          <w:sz w:val="24"/>
          <w:szCs w:val="24"/>
        </w:rPr>
        <w:t xml:space="preserve"> lung tissues </w:t>
      </w:r>
      <w:r w:rsidR="00721207">
        <w:rPr>
          <w:rFonts w:ascii="Arial" w:hAnsi="Arial" w:cs="Arial"/>
          <w:sz w:val="24"/>
          <w:szCs w:val="24"/>
        </w:rPr>
        <w:t>derived from</w:t>
      </w:r>
      <w:r w:rsidRPr="00721207">
        <w:rPr>
          <w:rFonts w:ascii="Arial" w:hAnsi="Arial" w:cs="Arial"/>
          <w:sz w:val="24"/>
          <w:szCs w:val="24"/>
        </w:rPr>
        <w:t xml:space="preserve"> naïve and tumor bearing mice (</w:t>
      </w:r>
      <w:r w:rsidR="00721207">
        <w:rPr>
          <w:rFonts w:ascii="Arial" w:hAnsi="Arial" w:cs="Arial"/>
          <w:sz w:val="24"/>
          <w:szCs w:val="24"/>
        </w:rPr>
        <w:t>Figure 5). Each SPADE tree represents</w:t>
      </w:r>
      <w:r w:rsidRPr="00721207">
        <w:rPr>
          <w:rFonts w:ascii="Arial" w:hAnsi="Arial" w:cs="Arial"/>
          <w:sz w:val="24"/>
          <w:szCs w:val="24"/>
        </w:rPr>
        <w:t xml:space="preserve"> a specific marker and its relative level of expression, </w:t>
      </w:r>
      <w:r w:rsidR="00721207">
        <w:rPr>
          <w:rFonts w:ascii="Arial" w:hAnsi="Arial" w:cs="Arial"/>
          <w:sz w:val="24"/>
          <w:szCs w:val="24"/>
        </w:rPr>
        <w:t xml:space="preserve">which is </w:t>
      </w:r>
      <w:r w:rsidRPr="00721207">
        <w:rPr>
          <w:rFonts w:ascii="Arial" w:hAnsi="Arial" w:cs="Arial"/>
          <w:sz w:val="24"/>
          <w:szCs w:val="24"/>
        </w:rPr>
        <w:t xml:space="preserve">used in the identification of immune cell phenotypes present within the TME. Scales in the lower right hand corner of each tree depict the mean fluorescence from lowly expressed (blue) to highly expressed (red) for each biomarker. </w:t>
      </w:r>
    </w:p>
    <w:p w:rsidR="00A57E84" w:rsidRDefault="00A57E84" w:rsidP="00A57E84">
      <w:pPr>
        <w:rPr>
          <w:rFonts w:ascii="Arial" w:hAnsi="Arial" w:cs="Arial"/>
          <w:noProof/>
          <w:sz w:val="24"/>
          <w:szCs w:val="24"/>
        </w:rPr>
      </w:pPr>
      <w:r>
        <w:rPr>
          <w:rFonts w:ascii="Arial" w:hAnsi="Arial" w:cs="Arial"/>
          <w:sz w:val="24"/>
          <w:szCs w:val="24"/>
        </w:rPr>
        <w:br w:type="column"/>
      </w:r>
    </w:p>
    <w:p w:rsidR="00A57E84" w:rsidRDefault="00A57E84" w:rsidP="00A57E84">
      <w:pPr>
        <w:rPr>
          <w:rFonts w:ascii="Arial" w:hAnsi="Arial" w:cs="Arial"/>
          <w:sz w:val="24"/>
          <w:szCs w:val="24"/>
        </w:rPr>
      </w:pPr>
      <w:r>
        <w:rPr>
          <w:rFonts w:ascii="Arial" w:hAnsi="Arial" w:cs="Arial"/>
          <w:noProof/>
          <w:sz w:val="24"/>
          <w:szCs w:val="24"/>
        </w:rPr>
        <w:drawing>
          <wp:inline distT="0" distB="0" distL="0" distR="0" wp14:anchorId="4A35D63F" wp14:editId="0E690283">
            <wp:extent cx="5943600" cy="4450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B.tif"/>
                    <pic:cNvPicPr/>
                  </pic:nvPicPr>
                  <pic:blipFill>
                    <a:blip r:embed="rId6">
                      <a:extLst>
                        <a:ext uri="{28A0092B-C50C-407E-A947-70E740481C1C}">
                          <a14:useLocalDpi xmlns:a14="http://schemas.microsoft.com/office/drawing/2010/main" val="0"/>
                        </a:ext>
                      </a:extLst>
                    </a:blip>
                    <a:stretch>
                      <a:fillRect/>
                    </a:stretch>
                  </pic:blipFill>
                  <pic:spPr>
                    <a:xfrm>
                      <a:off x="0" y="0"/>
                      <a:ext cx="5943600" cy="4450715"/>
                    </a:xfrm>
                    <a:prstGeom prst="rect">
                      <a:avLst/>
                    </a:prstGeom>
                  </pic:spPr>
                </pic:pic>
              </a:graphicData>
            </a:graphic>
          </wp:inline>
        </w:drawing>
      </w:r>
    </w:p>
    <w:p w:rsidR="0097274A" w:rsidRPr="00721207" w:rsidRDefault="00A57E84">
      <w:pPr>
        <w:rPr>
          <w:rFonts w:ascii="Arial" w:hAnsi="Arial" w:cs="Arial"/>
          <w:sz w:val="24"/>
          <w:szCs w:val="24"/>
        </w:rPr>
      </w:pPr>
      <w:r>
        <w:rPr>
          <w:rFonts w:ascii="Arial" w:hAnsi="Arial" w:cs="Arial"/>
          <w:b/>
          <w:sz w:val="24"/>
          <w:szCs w:val="24"/>
        </w:rPr>
        <w:t>Supplemental Figure 3</w:t>
      </w:r>
      <w:r>
        <w:rPr>
          <w:rFonts w:ascii="Arial" w:hAnsi="Arial" w:cs="Arial"/>
          <w:sz w:val="24"/>
          <w:szCs w:val="24"/>
        </w:rPr>
        <w:t>: Whole lysates isolated from CD133 positive and CD133 negative cells showed differential expression patterns in immunoblot analysis of integrins and TGF-</w:t>
      </w:r>
      <w:r>
        <w:rPr>
          <w:rFonts w:ascii="Times New Roman" w:hAnsi="Times New Roman" w:cs="Times New Roman"/>
          <w:sz w:val="24"/>
          <w:szCs w:val="24"/>
        </w:rPr>
        <w:t>β</w:t>
      </w:r>
      <w:r>
        <w:rPr>
          <w:rFonts w:ascii="Arial" w:hAnsi="Arial" w:cs="Arial"/>
          <w:sz w:val="24"/>
          <w:szCs w:val="24"/>
        </w:rPr>
        <w:t xml:space="preserve"> signaling molecules. Full membrane images following exposure to ECL substrate are provided for the bands referenced in Figure 3B.</w:t>
      </w:r>
    </w:p>
    <w:p w:rsidR="0097274A" w:rsidRDefault="0097274A">
      <w:pPr>
        <w:rPr>
          <w:rFonts w:ascii="Arial" w:hAnsi="Arial" w:cs="Arial"/>
          <w:noProof/>
          <w:sz w:val="24"/>
          <w:szCs w:val="24"/>
        </w:rPr>
      </w:pPr>
      <w:r w:rsidRPr="00721207">
        <w:rPr>
          <w:rFonts w:ascii="Arial" w:hAnsi="Arial" w:cs="Arial"/>
          <w:noProof/>
          <w:sz w:val="24"/>
          <w:szCs w:val="24"/>
        </w:rPr>
        <w:lastRenderedPageBreak/>
        <w:drawing>
          <wp:inline distT="0" distB="0" distL="0" distR="0">
            <wp:extent cx="5943600" cy="4187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3.tif"/>
                    <pic:cNvPicPr/>
                  </pic:nvPicPr>
                  <pic:blipFill>
                    <a:blip r:embed="rId7">
                      <a:extLst>
                        <a:ext uri="{28A0092B-C50C-407E-A947-70E740481C1C}">
                          <a14:useLocalDpi xmlns:a14="http://schemas.microsoft.com/office/drawing/2010/main" val="0"/>
                        </a:ext>
                      </a:extLst>
                    </a:blip>
                    <a:stretch>
                      <a:fillRect/>
                    </a:stretch>
                  </pic:blipFill>
                  <pic:spPr>
                    <a:xfrm>
                      <a:off x="0" y="0"/>
                      <a:ext cx="5943600" cy="4187190"/>
                    </a:xfrm>
                    <a:prstGeom prst="rect">
                      <a:avLst/>
                    </a:prstGeom>
                  </pic:spPr>
                </pic:pic>
              </a:graphicData>
            </a:graphic>
          </wp:inline>
        </w:drawing>
      </w:r>
      <w:r w:rsidRPr="00721207">
        <w:rPr>
          <w:rFonts w:ascii="Arial" w:hAnsi="Arial" w:cs="Arial"/>
          <w:b/>
          <w:sz w:val="24"/>
          <w:szCs w:val="24"/>
        </w:rPr>
        <w:t xml:space="preserve">Supplemental Figure </w:t>
      </w:r>
      <w:r w:rsidR="00A57E84">
        <w:rPr>
          <w:rFonts w:ascii="Arial" w:hAnsi="Arial" w:cs="Arial"/>
          <w:b/>
          <w:sz w:val="24"/>
          <w:szCs w:val="24"/>
        </w:rPr>
        <w:t>4</w:t>
      </w:r>
      <w:r w:rsidRPr="00721207">
        <w:rPr>
          <w:rFonts w:ascii="Arial" w:hAnsi="Arial" w:cs="Arial"/>
          <w:b/>
          <w:sz w:val="24"/>
          <w:szCs w:val="24"/>
        </w:rPr>
        <w:t>:</w:t>
      </w:r>
      <w:r w:rsidRPr="00721207">
        <w:rPr>
          <w:rFonts w:ascii="Arial" w:hAnsi="Arial" w:cs="Arial"/>
          <w:sz w:val="24"/>
          <w:szCs w:val="24"/>
        </w:rPr>
        <w:t xml:space="preserve"> Spleens isolated from naïve and tumo</w:t>
      </w:r>
      <w:r w:rsidR="00721207">
        <w:rPr>
          <w:rFonts w:ascii="Arial" w:hAnsi="Arial" w:cs="Arial"/>
          <w:sz w:val="24"/>
          <w:szCs w:val="24"/>
        </w:rPr>
        <w:t>r bearing mice were isolated, dissociated, and</w:t>
      </w:r>
      <w:r w:rsidRPr="00721207">
        <w:rPr>
          <w:rFonts w:ascii="Arial" w:hAnsi="Arial" w:cs="Arial"/>
          <w:sz w:val="24"/>
          <w:szCs w:val="24"/>
        </w:rPr>
        <w:t xml:space="preserve"> subjected to flow cytometric analysis for </w:t>
      </w:r>
      <w:r w:rsidR="00721207" w:rsidRPr="00721207">
        <w:rPr>
          <w:rFonts w:ascii="Arial" w:hAnsi="Arial" w:cs="Arial"/>
          <w:sz w:val="24"/>
          <w:szCs w:val="24"/>
        </w:rPr>
        <w:t xml:space="preserve">myeloid cell (top) and </w:t>
      </w:r>
      <w:r w:rsidRPr="00721207">
        <w:rPr>
          <w:rFonts w:ascii="Arial" w:hAnsi="Arial" w:cs="Arial"/>
          <w:sz w:val="24"/>
          <w:szCs w:val="24"/>
        </w:rPr>
        <w:t xml:space="preserve">lymphocyte </w:t>
      </w:r>
      <w:r w:rsidR="00721207" w:rsidRPr="00721207">
        <w:rPr>
          <w:rFonts w:ascii="Arial" w:hAnsi="Arial" w:cs="Arial"/>
          <w:sz w:val="24"/>
          <w:szCs w:val="24"/>
        </w:rPr>
        <w:t xml:space="preserve">(bottom) </w:t>
      </w:r>
      <w:r w:rsidRPr="00721207">
        <w:rPr>
          <w:rFonts w:ascii="Arial" w:hAnsi="Arial" w:cs="Arial"/>
          <w:sz w:val="24"/>
          <w:szCs w:val="24"/>
        </w:rPr>
        <w:t xml:space="preserve">subsets. </w:t>
      </w:r>
      <w:r w:rsidR="00721207" w:rsidRPr="00721207">
        <w:rPr>
          <w:rFonts w:ascii="Arial" w:hAnsi="Arial" w:cs="Arial"/>
          <w:noProof/>
          <w:sz w:val="24"/>
          <w:szCs w:val="24"/>
        </w:rPr>
        <w:t>Statistical significance was determined by student’s t-test and is denoted by an asterisk. P-values are provided where appropriate.</w:t>
      </w:r>
    </w:p>
    <w:p w:rsidR="00A57E84" w:rsidRDefault="00A57E84">
      <w:pPr>
        <w:rPr>
          <w:rFonts w:ascii="Arial" w:hAnsi="Arial" w:cs="Arial"/>
          <w:noProof/>
          <w:sz w:val="24"/>
          <w:szCs w:val="24"/>
        </w:rPr>
      </w:pPr>
      <w:r>
        <w:rPr>
          <w:rFonts w:ascii="Arial" w:hAnsi="Arial" w:cs="Arial"/>
          <w:noProof/>
          <w:sz w:val="24"/>
          <w:szCs w:val="24"/>
        </w:rPr>
        <w:br w:type="column"/>
      </w:r>
      <w:r w:rsidR="002048CF" w:rsidRPr="002048CF">
        <w:rPr>
          <w:rFonts w:ascii="Arial" w:hAnsi="Arial" w:cs="Arial"/>
          <w:noProof/>
          <w:sz w:val="24"/>
          <w:szCs w:val="24"/>
        </w:rPr>
        <w:lastRenderedPageBreak/>
        <w:drawing>
          <wp:inline distT="0" distB="0" distL="0" distR="0" wp14:anchorId="3271DEDE" wp14:editId="557FBD12">
            <wp:extent cx="3204462" cy="4572000"/>
            <wp:effectExtent l="0" t="0" r="0" b="0"/>
            <wp:docPr id="5" name="Picture 3">
              <a:extLst xmlns:a="http://schemas.openxmlformats.org/drawingml/2006/main">
                <a:ext uri="{FF2B5EF4-FFF2-40B4-BE49-F238E27FC236}">
                  <a16:creationId xmlns:a16="http://schemas.microsoft.com/office/drawing/2014/main" id="{2794EA77-58D9-4649-BDA4-2A3DD7B43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794EA77-58D9-4649-BDA4-2A3DD7B43961}"/>
                        </a:ext>
                      </a:extLst>
                    </pic:cNvPr>
                    <pic:cNvPicPr>
                      <a:picLocks noChangeAspect="1"/>
                    </pic:cNvPicPr>
                  </pic:nvPicPr>
                  <pic:blipFill>
                    <a:blip r:embed="rId8"/>
                    <a:stretch>
                      <a:fillRect/>
                    </a:stretch>
                  </pic:blipFill>
                  <pic:spPr>
                    <a:xfrm>
                      <a:off x="0" y="0"/>
                      <a:ext cx="3204462" cy="4572000"/>
                    </a:xfrm>
                    <a:prstGeom prst="rect">
                      <a:avLst/>
                    </a:prstGeom>
                  </pic:spPr>
                </pic:pic>
              </a:graphicData>
            </a:graphic>
          </wp:inline>
        </w:drawing>
      </w:r>
    </w:p>
    <w:p w:rsidR="002048CF" w:rsidRDefault="002048CF">
      <w:pPr>
        <w:rPr>
          <w:rFonts w:ascii="Arial" w:hAnsi="Arial" w:cs="Arial"/>
          <w:noProof/>
          <w:sz w:val="24"/>
          <w:szCs w:val="24"/>
        </w:rPr>
      </w:pPr>
    </w:p>
    <w:p w:rsidR="002048CF" w:rsidRPr="00721207" w:rsidRDefault="002048CF" w:rsidP="002048CF">
      <w:pPr>
        <w:rPr>
          <w:rFonts w:ascii="Arial" w:hAnsi="Arial" w:cs="Arial"/>
          <w:sz w:val="24"/>
          <w:szCs w:val="24"/>
        </w:rPr>
      </w:pPr>
      <w:r>
        <w:rPr>
          <w:rFonts w:ascii="Arial" w:hAnsi="Arial" w:cs="Arial"/>
          <w:b/>
          <w:sz w:val="24"/>
          <w:szCs w:val="24"/>
        </w:rPr>
        <w:t>Supplemental Figure 5</w:t>
      </w:r>
      <w:r>
        <w:rPr>
          <w:rFonts w:ascii="Arial" w:hAnsi="Arial" w:cs="Arial"/>
          <w:sz w:val="24"/>
          <w:szCs w:val="24"/>
        </w:rPr>
        <w:t>: ELISA was performed to analyze changes in TGF-β liberation and activation between CSCs and non-CSCs using an in vitro co-culture model. Active TGF-β was measured using CD133+ and CD133- B16-F10 melanoma cells in combination with freshly isolated splenocytes from C57Bl/6 mice after 8 hours and 24 hours. Groups consisting of cancer cells alone, splenocytes alone, and combinations of cancer cells and splenocytes (1:1 ratio) are shown. Asterisks denote statistical significance with * = p &lt; 0.05, ** = p &lt; 0.01, and *** = p &lt; 0.001.</w:t>
      </w:r>
    </w:p>
    <w:p w:rsidR="00A57E84" w:rsidRDefault="00A71A12" w:rsidP="00A57E84">
      <w:pPr>
        <w:rPr>
          <w:rFonts w:ascii="Arial" w:hAnsi="Arial" w:cs="Arial"/>
          <w:b/>
          <w:sz w:val="24"/>
          <w:szCs w:val="24"/>
        </w:rPr>
      </w:pPr>
      <w:r>
        <w:rPr>
          <w:rFonts w:ascii="Arial" w:hAnsi="Arial" w:cs="Arial"/>
          <w:noProof/>
          <w:sz w:val="24"/>
          <w:szCs w:val="24"/>
        </w:rPr>
        <w:br w:type="column"/>
      </w:r>
      <w:r w:rsidR="00A57E84" w:rsidRPr="00CA6E20">
        <w:rPr>
          <w:rFonts w:ascii="Arial" w:hAnsi="Arial" w:cs="Arial"/>
          <w:b/>
          <w:sz w:val="24"/>
          <w:szCs w:val="24"/>
        </w:rPr>
        <w:lastRenderedPageBreak/>
        <w:t xml:space="preserve">Supplemental Table </w:t>
      </w:r>
      <w:r w:rsidR="00A57E84">
        <w:rPr>
          <w:rFonts w:ascii="Arial" w:hAnsi="Arial" w:cs="Arial"/>
          <w:b/>
          <w:sz w:val="24"/>
          <w:szCs w:val="24"/>
        </w:rPr>
        <w:t>1: Primer Sequences</w:t>
      </w:r>
      <w:r w:rsidR="00DD4D6F">
        <w:rPr>
          <w:rFonts w:ascii="Arial" w:hAnsi="Arial" w:cs="Arial"/>
          <w:b/>
          <w:sz w:val="24"/>
          <w:szCs w:val="24"/>
        </w:rPr>
        <w:t xml:space="preserve"> for </w:t>
      </w:r>
      <w:proofErr w:type="spellStart"/>
      <w:r w:rsidR="00DD4D6F">
        <w:rPr>
          <w:rFonts w:ascii="Arial" w:hAnsi="Arial" w:cs="Arial"/>
          <w:b/>
          <w:sz w:val="24"/>
          <w:szCs w:val="24"/>
        </w:rPr>
        <w:t>qRT</w:t>
      </w:r>
      <w:proofErr w:type="spellEnd"/>
      <w:r w:rsidR="00DD4D6F">
        <w:rPr>
          <w:rFonts w:ascii="Arial" w:hAnsi="Arial" w:cs="Arial"/>
          <w:b/>
          <w:sz w:val="24"/>
          <w:szCs w:val="24"/>
        </w:rPr>
        <w:t>-PCR</w:t>
      </w:r>
    </w:p>
    <w:p w:rsidR="00A57E84" w:rsidRDefault="00A57E84">
      <w:pPr>
        <w:rPr>
          <w:rFonts w:ascii="Arial" w:hAnsi="Arial" w:cs="Arial"/>
          <w:sz w:val="24"/>
          <w:szCs w:val="24"/>
        </w:rPr>
      </w:pPr>
    </w:p>
    <w:tbl>
      <w:tblPr>
        <w:tblStyle w:val="TableGrid"/>
        <w:tblW w:w="0" w:type="auto"/>
        <w:tblLook w:val="04A0" w:firstRow="1" w:lastRow="0" w:firstColumn="1" w:lastColumn="0" w:noHBand="0" w:noVBand="1"/>
      </w:tblPr>
      <w:tblGrid>
        <w:gridCol w:w="2116"/>
        <w:gridCol w:w="2182"/>
        <w:gridCol w:w="4814"/>
      </w:tblGrid>
      <w:tr w:rsidR="00A57E84" w:rsidRPr="00B94E50" w:rsidTr="00A57E84">
        <w:trPr>
          <w:trHeight w:val="544"/>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Gene</w:t>
            </w:r>
          </w:p>
        </w:tc>
        <w:tc>
          <w:tcPr>
            <w:tcW w:w="2182"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Primer</w:t>
            </w:r>
          </w:p>
        </w:tc>
        <w:tc>
          <w:tcPr>
            <w:tcW w:w="4814"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Sequence (5’ to 3’)</w:t>
            </w:r>
          </w:p>
        </w:tc>
      </w:tr>
      <w:tr w:rsidR="00A57E84" w:rsidRPr="00B94E50" w:rsidTr="00A57E84">
        <w:trPr>
          <w:trHeight w:val="527"/>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IL10</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TGAATTCCCTGGGTGAGAAGC</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ATCATCCTTCACCTGCTCCAC</w:t>
            </w:r>
          </w:p>
        </w:tc>
      </w:tr>
      <w:tr w:rsidR="00A57E84" w:rsidRPr="00B94E50" w:rsidTr="00A57E84">
        <w:trPr>
          <w:trHeight w:val="544"/>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TGFβ1</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rPr>
              <w:t>GAGAAGAACTGCTGTGTGCG GTGTCCAGGCTCCAAATATAGG</w:t>
            </w:r>
          </w:p>
        </w:tc>
      </w:tr>
      <w:tr w:rsidR="00A57E84" w:rsidRPr="00B94E50" w:rsidTr="00A57E84">
        <w:trPr>
          <w:trHeight w:val="527"/>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TGFβ2</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rPr>
              <w:t>CTTCGACGTGACAGACGCT GCAGGGGCAGTGTAAACTTATT</w:t>
            </w:r>
          </w:p>
        </w:tc>
      </w:tr>
      <w:tr w:rsidR="00A57E84" w:rsidRPr="00B94E50" w:rsidTr="00A57E84">
        <w:trPr>
          <w:trHeight w:val="544"/>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TGFβ3</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rPr>
              <w:t>AACAGCCACTCACGCACAGTG GCACAACGAACTGGCTGTCTG</w:t>
            </w:r>
          </w:p>
        </w:tc>
      </w:tr>
      <w:tr w:rsidR="00A57E84" w:rsidRPr="00B94E50" w:rsidTr="00A57E84">
        <w:trPr>
          <w:trHeight w:val="527"/>
        </w:trPr>
        <w:tc>
          <w:tcPr>
            <w:tcW w:w="2116" w:type="dxa"/>
          </w:tcPr>
          <w:p w:rsidR="00A57E84" w:rsidRPr="00B94E50" w:rsidRDefault="00A57E84" w:rsidP="00A57E84">
            <w:pPr>
              <w:spacing w:line="480" w:lineRule="auto"/>
              <w:rPr>
                <w:rFonts w:ascii="Arial" w:hAnsi="Arial" w:cs="Arial"/>
                <w:sz w:val="24"/>
                <w:szCs w:val="24"/>
                <w:shd w:val="clear" w:color="auto" w:fill="FFFFFF"/>
              </w:rPr>
            </w:pPr>
            <w:r>
              <w:rPr>
                <w:rFonts w:ascii="Arial" w:hAnsi="Arial" w:cs="Arial"/>
                <w:sz w:val="24"/>
                <w:szCs w:val="24"/>
                <w:shd w:val="clear" w:color="auto" w:fill="FFFFFF"/>
              </w:rPr>
              <w:t>SMAD</w:t>
            </w:r>
            <w:r w:rsidRPr="00B94E50">
              <w:rPr>
                <w:rFonts w:ascii="Arial" w:hAnsi="Arial" w:cs="Arial"/>
                <w:sz w:val="24"/>
                <w:szCs w:val="24"/>
                <w:shd w:val="clear" w:color="auto" w:fill="FFFFFF"/>
              </w:rPr>
              <w:t>2</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rPr>
              <w:t>ATTCCAGAAACGCCACCTCC GCTATTGAACACCAAAATGCAGG</w:t>
            </w:r>
          </w:p>
        </w:tc>
      </w:tr>
      <w:tr w:rsidR="00A57E84" w:rsidRPr="00B94E50" w:rsidTr="00A57E84">
        <w:trPr>
          <w:trHeight w:val="544"/>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ITGB1</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GTGAAGACATGGACGCTTACT</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CTCTTCCTACACACACACTGT</w:t>
            </w:r>
          </w:p>
        </w:tc>
      </w:tr>
      <w:tr w:rsidR="00A57E84" w:rsidRPr="00B94E50" w:rsidTr="00A57E84">
        <w:trPr>
          <w:trHeight w:val="527"/>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ITGB3</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GTAGCTCTTCCCAGGAGATTT</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AGTCTCAGCACATAGCACAAG</w:t>
            </w:r>
          </w:p>
        </w:tc>
      </w:tr>
      <w:tr w:rsidR="00A57E84" w:rsidRPr="00B94E50" w:rsidTr="00A57E84">
        <w:trPr>
          <w:trHeight w:val="544"/>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ITGA5</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CCGAAGAGCCAGTCCAATAC</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TGTCTCTGGGCTAGGAAGAA</w:t>
            </w:r>
          </w:p>
        </w:tc>
      </w:tr>
      <w:tr w:rsidR="00A57E84" w:rsidRPr="00B94E50" w:rsidTr="00A57E84">
        <w:trPr>
          <w:trHeight w:val="544"/>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ITGAV</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CCTCAAGGAGAAGGAAAGGAAG</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GTACAAGCTAGCCACGAGTAAG</w:t>
            </w:r>
          </w:p>
        </w:tc>
      </w:tr>
      <w:tr w:rsidR="00A57E84" w:rsidRPr="00B94E50" w:rsidTr="00A57E84">
        <w:trPr>
          <w:trHeight w:val="527"/>
        </w:trPr>
        <w:tc>
          <w:tcPr>
            <w:tcW w:w="2116" w:type="dxa"/>
          </w:tcPr>
          <w:p w:rsidR="00A57E84" w:rsidRPr="00B94E50" w:rsidRDefault="00A57E84" w:rsidP="00A57E84">
            <w:pPr>
              <w:spacing w:line="480" w:lineRule="auto"/>
              <w:rPr>
                <w:rFonts w:ascii="Arial" w:hAnsi="Arial" w:cs="Arial"/>
                <w:sz w:val="24"/>
                <w:szCs w:val="24"/>
                <w:shd w:val="clear" w:color="auto" w:fill="FFFFFF"/>
              </w:rPr>
            </w:pPr>
            <w:r w:rsidRPr="00B94E50">
              <w:rPr>
                <w:rFonts w:ascii="Arial" w:hAnsi="Arial" w:cs="Arial"/>
                <w:sz w:val="24"/>
                <w:szCs w:val="24"/>
                <w:shd w:val="clear" w:color="auto" w:fill="FFFFFF"/>
              </w:rPr>
              <w:t>Β-Actin</w:t>
            </w:r>
          </w:p>
        </w:tc>
        <w:tc>
          <w:tcPr>
            <w:tcW w:w="2182"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Forward</w:t>
            </w:r>
          </w:p>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shd w:val="clear" w:color="auto" w:fill="FFFFFF"/>
              </w:rPr>
              <w:t>Reverse</w:t>
            </w:r>
          </w:p>
        </w:tc>
        <w:tc>
          <w:tcPr>
            <w:tcW w:w="4814" w:type="dxa"/>
          </w:tcPr>
          <w:p w:rsidR="00A57E84" w:rsidRPr="00B94E50" w:rsidRDefault="00A57E84" w:rsidP="00A57E84">
            <w:pPr>
              <w:rPr>
                <w:rFonts w:ascii="Arial" w:hAnsi="Arial" w:cs="Arial"/>
                <w:sz w:val="24"/>
                <w:szCs w:val="24"/>
                <w:shd w:val="clear" w:color="auto" w:fill="FFFFFF"/>
              </w:rPr>
            </w:pPr>
            <w:r w:rsidRPr="00B94E50">
              <w:rPr>
                <w:rFonts w:ascii="Arial" w:hAnsi="Arial" w:cs="Arial"/>
                <w:sz w:val="24"/>
                <w:szCs w:val="24"/>
              </w:rPr>
              <w:t>GGCTGTATTCCCCTCCG CCAGTTGGTAACAATGCCATGT</w:t>
            </w:r>
          </w:p>
        </w:tc>
      </w:tr>
    </w:tbl>
    <w:p w:rsidR="00A57E84" w:rsidRDefault="00A57E84">
      <w:pPr>
        <w:rPr>
          <w:rFonts w:ascii="Arial" w:hAnsi="Arial" w:cs="Arial"/>
          <w:sz w:val="24"/>
          <w:szCs w:val="24"/>
        </w:rPr>
      </w:pPr>
    </w:p>
    <w:p w:rsidR="00A57E84" w:rsidRDefault="00A57E84" w:rsidP="00A57E84">
      <w:pPr>
        <w:rPr>
          <w:rFonts w:ascii="Arial" w:hAnsi="Arial" w:cs="Arial"/>
          <w:sz w:val="24"/>
          <w:szCs w:val="24"/>
        </w:rPr>
      </w:pPr>
      <w:r>
        <w:rPr>
          <w:rFonts w:ascii="Arial" w:hAnsi="Arial" w:cs="Arial"/>
          <w:b/>
          <w:sz w:val="24"/>
          <w:szCs w:val="24"/>
        </w:rPr>
        <w:t xml:space="preserve">Supplemental Table 1: </w:t>
      </w:r>
      <w:r>
        <w:rPr>
          <w:rFonts w:ascii="Arial" w:hAnsi="Arial" w:cs="Arial"/>
          <w:sz w:val="24"/>
          <w:szCs w:val="24"/>
        </w:rPr>
        <w:t xml:space="preserve">Commercially available and validated primers (IDT) were used for amplification and quantitation of genes of interests by </w:t>
      </w:r>
      <w:proofErr w:type="spellStart"/>
      <w:r>
        <w:rPr>
          <w:rFonts w:ascii="Arial" w:hAnsi="Arial" w:cs="Arial"/>
          <w:sz w:val="24"/>
          <w:szCs w:val="24"/>
        </w:rPr>
        <w:t>qRT</w:t>
      </w:r>
      <w:proofErr w:type="spellEnd"/>
      <w:r>
        <w:rPr>
          <w:rFonts w:ascii="Arial" w:hAnsi="Arial" w:cs="Arial"/>
          <w:sz w:val="24"/>
          <w:szCs w:val="24"/>
        </w:rPr>
        <w:t>-PCR. The sequences for the forward and reverse primers and their targeted gene</w:t>
      </w:r>
      <w:r w:rsidR="007852CF">
        <w:rPr>
          <w:rFonts w:ascii="Arial" w:hAnsi="Arial" w:cs="Arial"/>
          <w:sz w:val="24"/>
          <w:szCs w:val="24"/>
        </w:rPr>
        <w:t>s</w:t>
      </w:r>
      <w:bookmarkStart w:id="0" w:name="_GoBack"/>
      <w:bookmarkEnd w:id="0"/>
      <w:r>
        <w:rPr>
          <w:rFonts w:ascii="Arial" w:hAnsi="Arial" w:cs="Arial"/>
          <w:sz w:val="24"/>
          <w:szCs w:val="24"/>
        </w:rPr>
        <w:t xml:space="preserve"> are provided above.</w:t>
      </w:r>
    </w:p>
    <w:p w:rsidR="00A57E84" w:rsidRDefault="00A57E84" w:rsidP="00A57E84">
      <w:pPr>
        <w:rPr>
          <w:rFonts w:ascii="Arial" w:hAnsi="Arial" w:cs="Arial"/>
          <w:b/>
          <w:sz w:val="24"/>
          <w:szCs w:val="24"/>
        </w:rPr>
      </w:pPr>
      <w:r>
        <w:rPr>
          <w:rFonts w:ascii="Arial" w:hAnsi="Arial" w:cs="Arial"/>
          <w:sz w:val="24"/>
          <w:szCs w:val="24"/>
        </w:rPr>
        <w:br w:type="column"/>
      </w:r>
      <w:r w:rsidRPr="00CA6E20">
        <w:rPr>
          <w:rFonts w:ascii="Arial" w:hAnsi="Arial" w:cs="Arial"/>
          <w:b/>
          <w:sz w:val="24"/>
          <w:szCs w:val="24"/>
        </w:rPr>
        <w:lastRenderedPageBreak/>
        <w:t xml:space="preserve">Supplemental Table </w:t>
      </w:r>
      <w:r>
        <w:rPr>
          <w:rFonts w:ascii="Arial" w:hAnsi="Arial" w:cs="Arial"/>
          <w:b/>
          <w:sz w:val="24"/>
          <w:szCs w:val="24"/>
        </w:rPr>
        <w:t xml:space="preserve">2: Microarray Results </w:t>
      </w:r>
      <w:proofErr w:type="gramStart"/>
      <w:r>
        <w:rPr>
          <w:rFonts w:ascii="Arial" w:hAnsi="Arial" w:cs="Arial"/>
          <w:b/>
          <w:sz w:val="24"/>
          <w:szCs w:val="24"/>
        </w:rPr>
        <w:t>( &gt;</w:t>
      </w:r>
      <w:proofErr w:type="gramEnd"/>
      <w:r>
        <w:rPr>
          <w:rFonts w:ascii="Arial" w:hAnsi="Arial" w:cs="Arial"/>
          <w:b/>
          <w:sz w:val="24"/>
          <w:szCs w:val="24"/>
        </w:rPr>
        <w:t xml:space="preserve"> 2-fold change)</w:t>
      </w:r>
    </w:p>
    <w:tbl>
      <w:tblPr>
        <w:tblW w:w="0" w:type="auto"/>
        <w:tblLayout w:type="fixed"/>
        <w:tblLook w:val="04A0" w:firstRow="1" w:lastRow="0" w:firstColumn="1" w:lastColumn="0" w:noHBand="0" w:noVBand="1"/>
      </w:tblPr>
      <w:tblGrid>
        <w:gridCol w:w="1890"/>
        <w:gridCol w:w="90"/>
        <w:gridCol w:w="990"/>
        <w:gridCol w:w="1058"/>
        <w:gridCol w:w="472"/>
        <w:gridCol w:w="270"/>
        <w:gridCol w:w="270"/>
        <w:gridCol w:w="735"/>
        <w:gridCol w:w="236"/>
        <w:gridCol w:w="236"/>
        <w:gridCol w:w="1181"/>
        <w:gridCol w:w="852"/>
        <w:gridCol w:w="90"/>
        <w:gridCol w:w="900"/>
      </w:tblGrid>
      <w:tr w:rsidR="00A57E84" w:rsidRPr="00CA6E20" w:rsidTr="00A57E84">
        <w:trPr>
          <w:trHeight w:val="300"/>
        </w:trPr>
        <w:tc>
          <w:tcPr>
            <w:tcW w:w="18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4"/>
                <w:szCs w:val="24"/>
              </w:rPr>
            </w:pPr>
          </w:p>
        </w:tc>
        <w:tc>
          <w:tcPr>
            <w:tcW w:w="10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u w:val="single"/>
              </w:rPr>
            </w:pPr>
            <w:r w:rsidRPr="00CA6E20">
              <w:rPr>
                <w:rFonts w:ascii="Calibri" w:eastAsia="Times New Roman" w:hAnsi="Calibri" w:cs="Times New Roman"/>
                <w:b/>
                <w:bCs/>
                <w:color w:val="000000"/>
                <w:u w:val="single"/>
              </w:rPr>
              <w:t xml:space="preserve">Negative </w:t>
            </w:r>
          </w:p>
        </w:tc>
        <w:tc>
          <w:tcPr>
            <w:tcW w:w="1058"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747"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u w:val="single"/>
              </w:rPr>
            </w:pPr>
            <w:r>
              <w:rPr>
                <w:rFonts w:ascii="Calibri" w:eastAsia="Times New Roman" w:hAnsi="Calibri" w:cs="Times New Roman"/>
                <w:b/>
                <w:bCs/>
                <w:color w:val="000000"/>
                <w:u w:val="single"/>
              </w:rPr>
              <w:t>Negative (</w:t>
            </w:r>
            <w:proofErr w:type="spellStart"/>
            <w:r>
              <w:rPr>
                <w:rFonts w:ascii="Calibri" w:eastAsia="Times New Roman" w:hAnsi="Calibri" w:cs="Times New Roman"/>
                <w:b/>
                <w:bCs/>
                <w:color w:val="000000"/>
                <w:u w:val="single"/>
              </w:rPr>
              <w:t>contd</w:t>
            </w:r>
            <w:proofErr w:type="spellEnd"/>
            <w:r>
              <w:rPr>
                <w:rFonts w:ascii="Calibri" w:eastAsia="Times New Roman" w:hAnsi="Calibri" w:cs="Times New Roman"/>
                <w:b/>
                <w:bCs/>
                <w:color w:val="000000"/>
                <w:u w:val="single"/>
              </w:rPr>
              <w:t>)</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u w:val="single"/>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u w:val="single"/>
              </w:rPr>
            </w:pPr>
            <w:r w:rsidRPr="00CA6E20">
              <w:rPr>
                <w:rFonts w:ascii="Calibri" w:eastAsia="Times New Roman" w:hAnsi="Calibri" w:cs="Times New Roman"/>
                <w:b/>
                <w:bCs/>
                <w:color w:val="000000"/>
                <w:u w:val="single"/>
              </w:rPr>
              <w:t>Positive</w:t>
            </w:r>
          </w:p>
        </w:tc>
      </w:tr>
      <w:tr w:rsidR="00A57E84" w:rsidRPr="00CA6E20" w:rsidTr="00A57E84">
        <w:trPr>
          <w:trHeight w:val="300"/>
        </w:trPr>
        <w:tc>
          <w:tcPr>
            <w:tcW w:w="18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rPr>
            </w:pPr>
            <w:r w:rsidRPr="00CA6E20">
              <w:rPr>
                <w:rFonts w:ascii="Calibri" w:eastAsia="Times New Roman" w:hAnsi="Calibri" w:cs="Times New Roman"/>
                <w:b/>
                <w:bCs/>
                <w:color w:val="000000"/>
              </w:rPr>
              <w:t>Transcript ID</w:t>
            </w:r>
          </w:p>
        </w:tc>
        <w:tc>
          <w:tcPr>
            <w:tcW w:w="10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rPr>
            </w:pPr>
            <w:r w:rsidRPr="00CA6E20">
              <w:rPr>
                <w:rFonts w:ascii="Calibri" w:eastAsia="Times New Roman" w:hAnsi="Calibri" w:cs="Times New Roman"/>
                <w:b/>
                <w:bCs/>
                <w:color w:val="000000"/>
              </w:rPr>
              <w:t>Fold Change (CD133+ vs CD133-)</w:t>
            </w:r>
          </w:p>
        </w:tc>
        <w:tc>
          <w:tcPr>
            <w:tcW w:w="153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rPr>
            </w:pPr>
            <w:r w:rsidRPr="00CA6E20">
              <w:rPr>
                <w:rFonts w:ascii="Calibri" w:eastAsia="Times New Roman" w:hAnsi="Calibri" w:cs="Times New Roman"/>
                <w:b/>
                <w:bCs/>
                <w:color w:val="000000"/>
              </w:rPr>
              <w:t>Transcript ID</w:t>
            </w:r>
          </w:p>
        </w:tc>
        <w:tc>
          <w:tcPr>
            <w:tcW w:w="1275"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rPr>
            </w:pPr>
            <w:r w:rsidRPr="00CA6E20">
              <w:rPr>
                <w:rFonts w:ascii="Calibri" w:eastAsia="Times New Roman" w:hAnsi="Calibri" w:cs="Times New Roman"/>
                <w:b/>
                <w:bCs/>
                <w:color w:val="000000"/>
              </w:rPr>
              <w:t>Fold Change (CD133+ vs CD133-)</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rPr>
            </w:pPr>
            <w:r w:rsidRPr="00CA6E20">
              <w:rPr>
                <w:rFonts w:ascii="Calibri" w:eastAsia="Times New Roman" w:hAnsi="Calibri" w:cs="Times New Roman"/>
                <w:b/>
                <w:bCs/>
                <w:color w:val="000000"/>
              </w:rPr>
              <w:t>Transcript ID</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b/>
                <w:bCs/>
                <w:color w:val="000000"/>
              </w:rPr>
            </w:pPr>
            <w:r w:rsidRPr="00CA6E20">
              <w:rPr>
                <w:rFonts w:ascii="Calibri" w:eastAsia="Times New Roman" w:hAnsi="Calibri" w:cs="Times New Roman"/>
                <w:b/>
                <w:bCs/>
                <w:color w:val="000000"/>
              </w:rPr>
              <w:t>Fold Change (CD133+ vs CD133-)</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mmu-miR-669l-5p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-23.35</w:t>
            </w:r>
          </w:p>
        </w:tc>
        <w:tc>
          <w:tcPr>
            <w:tcW w:w="1800"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mmu-miR-542-5p</w:t>
            </w:r>
          </w:p>
        </w:tc>
        <w:tc>
          <w:tcPr>
            <w:tcW w:w="1005"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-2.59</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mmu-miR-34b-5p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2.01</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mmu-miR-466h-5p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-19.62</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mmu-miR-193b-5p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mmu-mir-6516</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2.03</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mmu-miR-8095</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-15.58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mmu-miR-6378</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mmu-miR-501-3p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mmu-miR-467h</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-15.42</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mmu-miR-6988-5p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mmu-miR-1903</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mmu-miR-669a-5p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-12.93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mmu-miR-672-5p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mmu-miR-93-3p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2.05</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mmu-miR-669p-5p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-12.93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mmu-miR-7083-5p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mmu-miR-1981-5p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2.05</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mmu-miR-669k-5p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-11.37</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mmu-miR-297b-5p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-2.51</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mmu-miR-3064-3p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2.05</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mmu-miR-669o-5p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-9.56</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mmu-miR-7039-5p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-2.51</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mmu-mir-500</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2.05</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mmu-miR-669m-5p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-9.18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mmu-miR-670-5p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-2.48</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mmu-miR-7211-3p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2.06</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mmu-miR-466m-5p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-9.18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mmu-miR-6979-5p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-2.48</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mmu-miR-7222-3p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2.07</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mmu-miR-6238</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-9.09</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mmu-miR-150-3p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-2.47</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mmu-miR-291b-5p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2.08</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mmu-miR-669d-5p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-8.28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mmu-miR-5129-3p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-2.47</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mmu-let-7a-1</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2.08</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mmu-miR-669e-5p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-7.5</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mmu-miR-6944-5p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-2.47</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mmu-miR-125a-3p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mmu-miR-7002-5p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-7.45</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mmu-miR-6905-5p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-2.46</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mmu-mir-188</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2.12</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mmu-miR-5620-3p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-6.29</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mmu-miR-7003-5p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mmu-miR-324-5p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2.13</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mmu-miR-297a-5p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-5.98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mmu-miR-7654-3p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mmu-miR-378a-5p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2.13</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mmu-miR-466j</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-5.74</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mmu-miR-7242-5p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-2.43</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mmu-miR-326-3p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mmu-miR-669b-5p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-5.69</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mmu-miR-743a-5p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mmu-miR-491-5p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2.17</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mmu-mir-467h</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-5.24</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mmu-miR-6963-3p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-2.41</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mmu-miR-362-5p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2.18</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mmu-miR-3100-5p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-5.01</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mmu-mir-467e</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mmu-miR-346-5p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2.19</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mmu-miR-7684-3p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-4.87</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mmu-miR-7658-5p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-2.39</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mmu-miR-7018-5p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mmu-mir-7017</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-4.79</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mmu-mir-6979</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-2.39</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mmu-miR-1291</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2.23</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mmu-mir-467h</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-4.78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mmu-miR-6991-5p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-2.37</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mmu-miR-7080-5p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2.26</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mmu-miR-297c-5p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-4.71</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mmu-miR-6909-5p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-2.36</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mmu-mir-465d</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2.27</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mmu-miR-7076-5p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-4.67</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mmu-miR-200c-3p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mmu-miR-3068-5p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2.29</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mmu-miR-680</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mmu-miR-669n</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mmu-miR-1981-3p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2.32</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mmu-miR-7024-5p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mmu-miR-7087-5p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mmu-mir-138-1</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2.33</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mmu-miR-1956</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-4.23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mmu-miR-7665-5p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mmu-miR-3065-5p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mmu-miR-7036-5p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-4.21</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mmu-miR-7009-5p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mmu-miR-6984-5p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mmu-miR-7014-5p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-4.15</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mmu-miR-871-5p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-2.33</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mmu-miR-652-5p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2.36</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mmu-miR-762</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-4.05</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mmu-miR-32-3p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mmu-miR-574-3p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2.36</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mmu-miR-5620-5p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-4.01</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mmu-miR-6953-5p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mmu-miR-1306-3p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2.36</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mmu-miR-696</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-3.95</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mmu-miR-7031-5p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mmu-miR-7677-5p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2.37</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mmu-miR-6337</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-3.9</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mmu-mir-7082</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-2.32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mmu-miR-211-3p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mmu-miR-669f-5p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-3.87</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mmu-miR-7084-3p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-2.29</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mmu-miR-199b-5p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mmu-miR-7115-5p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-3.85</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mmu-miR-365-1-5p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-2.27</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mmu-miR-7684-5p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lastRenderedPageBreak/>
              <w:t>mmu-miR-326-5p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-3.78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mmu-miR-7045-5p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-2.27</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mmu-miR-1894-5p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2.42</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FF0000"/>
              </w:rPr>
            </w:pPr>
            <w:r w:rsidRPr="00CA6E20">
              <w:rPr>
                <w:rFonts w:ascii="Calibri" w:eastAsia="Times New Roman" w:hAnsi="Calibri" w:cs="Times New Roman"/>
                <w:color w:val="FF0000"/>
              </w:rPr>
              <w:t>mmu-miR-92a-3p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FF0000"/>
              </w:rPr>
            </w:pPr>
            <w:r w:rsidRPr="00CA6E20">
              <w:rPr>
                <w:rFonts w:ascii="Calibri" w:eastAsia="Times New Roman" w:hAnsi="Calibri" w:cs="Times New Roman"/>
                <w:color w:val="FF0000"/>
              </w:rPr>
              <w:t>-3.57</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mmu-miR-6911-5p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-2.26</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mmu-miR-1933-3p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2.43</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mmu-mir-1194</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-3.5</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mmu-miR-7221-3p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mmu-miR-6907-5p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2.48</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mmu-miR-3090-5p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-3.45</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mmu-mir-150</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mmu-miR-455-3p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2.49</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mmu-miR-346-3p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-3.41</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mmu-mir-301b</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mmu-miR-532-3p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mmu-mir-466f-4</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-3.41</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mmu-mir-466j</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mmu-miR-505-5p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2.57</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mmu-miR-7662-5p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-3.37</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mmu-mir-466j</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mmu-miR-5622-3p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2.58</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mmu-miR-7648-3p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-3.36</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mmu-miR-7036b-3p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-2.21</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123"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mmu-miR-181a-1-3p</w:t>
            </w:r>
          </w:p>
        </w:tc>
        <w:tc>
          <w:tcPr>
            <w:tcW w:w="90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2.59</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mmu-miR-6921-5p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mmu-mir-101c</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-2.21</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123"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mmu-miR-219a-1-3p</w:t>
            </w:r>
          </w:p>
        </w:tc>
        <w:tc>
          <w:tcPr>
            <w:tcW w:w="90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2.63</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mmu-miR-6958-3p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mmu-miR-872-5p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mmu-miR-671-5p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2.7</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mmu-miR-7212-5p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-3.28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mmu-miR-28c</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mmu-miR-501-5p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2.81</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mmu-miR-7682-3p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-3.19</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mmu-mir-6930</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-2.19</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mmu-miR-330-5p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2.84</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mmu-miR-6935-5p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-3.18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mmu-mir-3113</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mmu-let-7a-1</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2.88</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mmu-miR-3620-5p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-3.06</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mmu-mir-1956</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-2.13</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mmu-miR-1968-5p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2.96</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mmu-miR-7030-5p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-3.05</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mmu-miR-6391</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mmu-miR-7116-5p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3.01</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mmu-miR-669c-5p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-3.04</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mmu-miR-7047-5p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-2.12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mmu-miR-29b-2-5p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3.02</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mmu-miR-128-2-5p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-3.01</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mmu-miR-194-2-3p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-2.09</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mmu-miR-188-5p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3.18</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mmu-miR-6970-5p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mmu-mir-466f-1</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-2.09</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mmu-miR-1843a-5p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3.22</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mmu-miR-711</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-2.99</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mmu-miR-7063-5p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-2.08</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mmu-miR-7034-5p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3.28</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mmu-miR-1893</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-2.98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mmu-miR-7075-5p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-2.08</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2033"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mmu-miR-301b-5p</w:t>
            </w:r>
          </w:p>
        </w:tc>
        <w:tc>
          <w:tcPr>
            <w:tcW w:w="99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4.33</w:t>
            </w: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mmu-miR-6980-5p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-2.98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mmu-miR-7082-3p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-2.08</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mmu-miR-1247-3p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-2.93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mmu-miR-6952-5p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-2.06</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mmu-miR-195a-3p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-2.91</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mmu-miR-7085-5p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-2.06</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mmu-miR-16-1-3p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-2.91</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mmu-miR-7235-5p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-2.06</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mmu-miR-7001-5p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-2.87</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mmu-miR-7668-3p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-2.06</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mmu-miR-7067-5p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-2.87</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mmu-mir-297c</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-2.06</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mmu-miR-466c-5p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-2.82</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mmu-miR-466p-5p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mmu-miR-466f-5p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-2.82</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mmu-miR-5627-5p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mmu-miR-6937-5p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-2.78</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mmu-miR-7066-3p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-2.05</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mmu-miR-466f</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-2.67</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mmu-miR-6244</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-2.04</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mmu-miR-7038-3p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-2.66</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mmu-miR-22-5p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-2.03</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mmu-miR-5135</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-2.64</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mmu-miR-770-5p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mmu-miR-1934-3p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-2.63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mmu-miR-6908-5p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mmu-miR-6910-5p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-2.63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mmu-mir-30e</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-2.02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mmu-miR-6966-5p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-2.63</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mmu-miR-338-5p</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r w:rsidR="00A57E84" w:rsidRPr="00CA6E20" w:rsidTr="00A57E84">
        <w:trPr>
          <w:trHeight w:val="300"/>
        </w:trPr>
        <w:tc>
          <w:tcPr>
            <w:tcW w:w="1980" w:type="dxa"/>
            <w:gridSpan w:val="2"/>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mmu-miR-21a-5p</w:t>
            </w:r>
          </w:p>
        </w:tc>
        <w:tc>
          <w:tcPr>
            <w:tcW w:w="990"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-2.62</w:t>
            </w:r>
          </w:p>
        </w:tc>
        <w:tc>
          <w:tcPr>
            <w:tcW w:w="2070" w:type="dxa"/>
            <w:gridSpan w:val="4"/>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Calibri" w:eastAsia="Times New Roman" w:hAnsi="Calibri" w:cs="Times New Roman"/>
                <w:color w:val="000000"/>
              </w:rPr>
            </w:pPr>
            <w:r w:rsidRPr="00CA6E20">
              <w:rPr>
                <w:rFonts w:ascii="Calibri" w:eastAsia="Times New Roman" w:hAnsi="Calibri" w:cs="Times New Roman"/>
                <w:color w:val="000000"/>
              </w:rPr>
              <w:t>mmu-mir-669m-2</w:t>
            </w:r>
          </w:p>
        </w:tc>
        <w:tc>
          <w:tcPr>
            <w:tcW w:w="735"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r w:rsidRPr="00CA6E20">
              <w:rPr>
                <w:rFonts w:ascii="Calibri" w:eastAsia="Times New Roman" w:hAnsi="Calibri" w:cs="Times New Roman"/>
                <w:color w:val="000000"/>
              </w:rPr>
              <w:t>-2</w:t>
            </w: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181" w:type="dxa"/>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A57E84" w:rsidRPr="00CA6E20" w:rsidRDefault="00A57E84" w:rsidP="00A57E84">
            <w:pPr>
              <w:spacing w:after="0" w:line="240" w:lineRule="auto"/>
              <w:rPr>
                <w:rFonts w:ascii="Times New Roman" w:eastAsia="Times New Roman" w:hAnsi="Times New Roman" w:cs="Times New Roman"/>
                <w:sz w:val="20"/>
                <w:szCs w:val="20"/>
              </w:rPr>
            </w:pPr>
          </w:p>
        </w:tc>
      </w:tr>
    </w:tbl>
    <w:p w:rsidR="00A57E84" w:rsidRDefault="00A57E84" w:rsidP="00A57E84">
      <w:pPr>
        <w:rPr>
          <w:rFonts w:ascii="Arial" w:hAnsi="Arial" w:cs="Arial"/>
          <w:b/>
          <w:sz w:val="24"/>
          <w:szCs w:val="24"/>
        </w:rPr>
      </w:pPr>
    </w:p>
    <w:p w:rsidR="00A57E84" w:rsidRPr="00CA6E20" w:rsidRDefault="00A57E84">
      <w:pPr>
        <w:rPr>
          <w:rFonts w:ascii="Arial" w:hAnsi="Arial" w:cs="Arial"/>
          <w:sz w:val="24"/>
          <w:szCs w:val="24"/>
        </w:rPr>
      </w:pPr>
      <w:r>
        <w:rPr>
          <w:rFonts w:ascii="Arial" w:hAnsi="Arial" w:cs="Arial"/>
          <w:b/>
          <w:sz w:val="24"/>
          <w:szCs w:val="24"/>
        </w:rPr>
        <w:t xml:space="preserve">Supplemental Table 2: </w:t>
      </w:r>
      <w:r>
        <w:rPr>
          <w:rFonts w:ascii="Arial" w:hAnsi="Arial" w:cs="Arial"/>
          <w:sz w:val="24"/>
          <w:szCs w:val="24"/>
        </w:rPr>
        <w:t xml:space="preserve">TAC software reported several hundred microRNAs from our microarray comparing </w:t>
      </w:r>
      <w:proofErr w:type="spellStart"/>
      <w:r>
        <w:rPr>
          <w:rFonts w:ascii="Arial" w:hAnsi="Arial" w:cs="Arial"/>
          <w:sz w:val="24"/>
          <w:szCs w:val="24"/>
        </w:rPr>
        <w:t>miR</w:t>
      </w:r>
      <w:proofErr w:type="spellEnd"/>
      <w:r>
        <w:rPr>
          <w:rFonts w:ascii="Arial" w:hAnsi="Arial" w:cs="Arial"/>
          <w:sz w:val="24"/>
          <w:szCs w:val="24"/>
        </w:rPr>
        <w:t xml:space="preserve"> expression profiles of CD133+ and CD133- B16-F10 cells. The comprehensive list of </w:t>
      </w:r>
      <w:proofErr w:type="spellStart"/>
      <w:r>
        <w:rPr>
          <w:rFonts w:ascii="Arial" w:hAnsi="Arial" w:cs="Arial"/>
          <w:sz w:val="24"/>
          <w:szCs w:val="24"/>
        </w:rPr>
        <w:t>miRs</w:t>
      </w:r>
      <w:proofErr w:type="spellEnd"/>
      <w:r>
        <w:rPr>
          <w:rFonts w:ascii="Arial" w:hAnsi="Arial" w:cs="Arial"/>
          <w:sz w:val="24"/>
          <w:szCs w:val="24"/>
        </w:rPr>
        <w:t xml:space="preserve"> with &lt; 2-fold and &gt; 2-fold changes in expression are listed above. MicroRNA-92a has been highlighted in red, and miRNAs have been sorted by fold-change expression in ascending order.</w:t>
      </w:r>
    </w:p>
    <w:sectPr w:rsidR="00A57E84" w:rsidRPr="00CA6E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823"/>
    <w:rsid w:val="002048CF"/>
    <w:rsid w:val="00625312"/>
    <w:rsid w:val="00721207"/>
    <w:rsid w:val="007852CF"/>
    <w:rsid w:val="00964C5D"/>
    <w:rsid w:val="0097274A"/>
    <w:rsid w:val="00A57E84"/>
    <w:rsid w:val="00A71A12"/>
    <w:rsid w:val="00B35823"/>
    <w:rsid w:val="00CA6E20"/>
    <w:rsid w:val="00DD4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23841"/>
  <w15:chartTrackingRefBased/>
  <w15:docId w15:val="{0304ACF8-EC4E-4516-93B8-A0FF5A8B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58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57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701509">
      <w:bodyDiv w:val="1"/>
      <w:marLeft w:val="0"/>
      <w:marRight w:val="0"/>
      <w:marTop w:val="0"/>
      <w:marBottom w:val="0"/>
      <w:divBdr>
        <w:top w:val="none" w:sz="0" w:space="0" w:color="auto"/>
        <w:left w:val="none" w:sz="0" w:space="0" w:color="auto"/>
        <w:bottom w:val="none" w:sz="0" w:space="0" w:color="auto"/>
        <w:right w:val="none" w:sz="0" w:space="0" w:color="auto"/>
      </w:divBdr>
    </w:div>
    <w:div w:id="201518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5" Type="http://schemas.openxmlformats.org/officeDocument/2006/relationships/image" Target="media/image2.tif"/><Relationship Id="rId10" Type="http://schemas.openxmlformats.org/officeDocument/2006/relationships/theme" Target="theme/theme1.xml"/><Relationship Id="rId4" Type="http://schemas.openxmlformats.org/officeDocument/2006/relationships/image" Target="media/image1.ti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Louisville</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Shidal, Chris</cp:lastModifiedBy>
  <cp:revision>4</cp:revision>
  <dcterms:created xsi:type="dcterms:W3CDTF">2019-04-17T20:18:00Z</dcterms:created>
  <dcterms:modified xsi:type="dcterms:W3CDTF">2019-04-17T21:08:00Z</dcterms:modified>
</cp:coreProperties>
</file>