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7EA50" w14:textId="44648B0D" w:rsidR="007D3F18" w:rsidRDefault="007D3F18" w:rsidP="007D3F18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D7DEC">
        <w:rPr>
          <w:rFonts w:ascii="Times New Roman" w:eastAsia="Calibri" w:hAnsi="Times New Roman" w:cs="Times New Roman"/>
          <w:b/>
          <w:sz w:val="24"/>
          <w:szCs w:val="24"/>
        </w:rPr>
        <w:t>Figure S1. Study schema</w:t>
      </w:r>
      <w:bookmarkStart w:id="0" w:name="_GoBack"/>
      <w:bookmarkEnd w:id="0"/>
      <w:r w:rsidRPr="006D7DEC">
        <w:rPr>
          <w:rFonts w:ascii="Times New Roman" w:eastAsia="Calibri" w:hAnsi="Times New Roman" w:cs="Times New Roman"/>
          <w:b/>
          <w:sz w:val="24"/>
          <w:szCs w:val="24"/>
        </w:rPr>
        <w:t xml:space="preserve">tic for patients genotyped in this study.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6D7DEC">
        <w:rPr>
          <w:rFonts w:ascii="Times New Roman" w:eastAsia="Calibri" w:hAnsi="Times New Roman" w:cs="Times New Roman"/>
          <w:sz w:val="24"/>
          <w:szCs w:val="24"/>
        </w:rPr>
        <w:t xml:space="preserve">ssociations </w:t>
      </w:r>
      <w:r>
        <w:rPr>
          <w:rFonts w:ascii="Times New Roman" w:eastAsia="Calibri" w:hAnsi="Times New Roman" w:cs="Times New Roman"/>
          <w:sz w:val="24"/>
          <w:szCs w:val="24"/>
        </w:rPr>
        <w:t xml:space="preserve">with OS were tested using </w:t>
      </w:r>
      <w:r w:rsidRPr="006D7DEC">
        <w:rPr>
          <w:rFonts w:ascii="Times New Roman" w:eastAsia="Calibri" w:hAnsi="Times New Roman" w:cs="Times New Roman"/>
          <w:sz w:val="24"/>
          <w:szCs w:val="24"/>
        </w:rPr>
        <w:t>11,117 g</w:t>
      </w:r>
      <w:r>
        <w:rPr>
          <w:rFonts w:ascii="Times New Roman" w:eastAsia="Calibri" w:hAnsi="Times New Roman" w:cs="Times New Roman"/>
          <w:sz w:val="24"/>
          <w:szCs w:val="24"/>
        </w:rPr>
        <w:t xml:space="preserve">enetic </w:t>
      </w:r>
      <w:r w:rsidRPr="006D7DEC">
        <w:rPr>
          <w:rFonts w:ascii="Times New Roman" w:eastAsia="Calibri" w:hAnsi="Times New Roman" w:cs="Times New Roman"/>
          <w:sz w:val="24"/>
          <w:szCs w:val="24"/>
        </w:rPr>
        <w:t>variants (1,020 directly genotyped SNPs and 10,097 imputed SNPs and indels)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 295 patients</w:t>
      </w:r>
      <w:r w:rsidRPr="006D7DE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Abbreviations: indel, insertion/deletion.</w:t>
      </w:r>
    </w:p>
    <w:p w14:paraId="2A64A6A0" w14:textId="77777777" w:rsidR="007D3F18" w:rsidRPr="006D7DEC" w:rsidRDefault="007D3F18" w:rsidP="007D3F18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1566B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FEED89C" wp14:editId="68F8B834">
            <wp:extent cx="5890437" cy="4001359"/>
            <wp:effectExtent l="0" t="0" r="0" b="0"/>
            <wp:docPr id="1" name="Picture 1" descr="C:\Users\crona\Desktop\TARGET\Cancer Res Submission\Supp Fig 1. Schem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ona\Desktop\TARGET\Cancer Res Submission\Supp Fig 1. Schema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9" t="4904" r="5057" b="6067"/>
                    <a:stretch/>
                  </pic:blipFill>
                  <pic:spPr bwMode="auto">
                    <a:xfrm>
                      <a:off x="0" y="0"/>
                      <a:ext cx="5899840" cy="400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66B8" w:rsidDel="001566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591E5D" w14:textId="77777777" w:rsidR="007D3F18" w:rsidRPr="006D7DEC" w:rsidRDefault="007D3F18" w:rsidP="007D3F18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D3F18" w:rsidRPr="006D7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18"/>
    <w:rsid w:val="00115EF4"/>
    <w:rsid w:val="001B76A2"/>
    <w:rsid w:val="003B718C"/>
    <w:rsid w:val="007D3F18"/>
    <w:rsid w:val="0080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7DC6B"/>
  <w15:chartTrackingRefBased/>
  <w15:docId w15:val="{F0AD7B3C-2CB9-487A-9C57-347A1D9B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Crona, Daniel</dc:creator>
  <cp:keywords/>
  <dc:description/>
  <cp:lastModifiedBy>Hammond, Kelli</cp:lastModifiedBy>
  <cp:revision>2</cp:revision>
  <dcterms:created xsi:type="dcterms:W3CDTF">2018-10-25T20:31:00Z</dcterms:created>
  <dcterms:modified xsi:type="dcterms:W3CDTF">2018-10-25T20:31:00Z</dcterms:modified>
</cp:coreProperties>
</file>