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DF3" w:rsidRDefault="00707DF3">
      <w:r>
        <w:rPr>
          <w:noProof/>
        </w:rPr>
        <w:drawing>
          <wp:inline distT="0" distB="0" distL="0" distR="0">
            <wp:extent cx="5943600" cy="6012815"/>
            <wp:effectExtent l="0" t="0" r="0" b="6985"/>
            <wp:docPr id="1" name="Picture 1" descr="F:\Dropbox\Shares\Weikun Share Stephanie\manuscript 1\PAPER 1 fig\new fig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Shares\Weikun Share Stephanie\manuscript 1\PAPER 1 fig\new figs\Figure S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012815"/>
                    </a:xfrm>
                    <a:prstGeom prst="rect">
                      <a:avLst/>
                    </a:prstGeom>
                    <a:noFill/>
                    <a:ln>
                      <a:noFill/>
                    </a:ln>
                  </pic:spPr>
                </pic:pic>
              </a:graphicData>
            </a:graphic>
          </wp:inline>
        </w:drawing>
      </w:r>
    </w:p>
    <w:p w:rsidR="00707DF3" w:rsidRDefault="00707DF3">
      <w:r>
        <w:br w:type="page"/>
      </w:r>
    </w:p>
    <w:p w:rsidR="00707DF3" w:rsidRDefault="00707DF3">
      <w:pPr>
        <w:rPr>
          <w:rFonts w:ascii="Arial" w:hAnsi="Arial" w:cs="Arial"/>
          <w:color w:val="000000" w:themeColor="text1"/>
          <w:sz w:val="24"/>
          <w:szCs w:val="24"/>
        </w:rPr>
      </w:pPr>
      <w:r>
        <w:rPr>
          <w:rFonts w:ascii="Arial" w:hAnsi="Arial" w:cs="Arial"/>
          <w:color w:val="000000" w:themeColor="text1"/>
          <w:sz w:val="24"/>
          <w:szCs w:val="24"/>
        </w:rPr>
        <w:lastRenderedPageBreak/>
        <w:t>Figure. S1.</w:t>
      </w:r>
      <w:r w:rsidRPr="005343E3">
        <w:rPr>
          <w:rFonts w:ascii="Arial" w:hAnsi="Arial" w:cs="Arial"/>
          <w:color w:val="000000" w:themeColor="text1"/>
          <w:sz w:val="24"/>
          <w:szCs w:val="24"/>
        </w:rPr>
        <w:t xml:space="preserve"> </w:t>
      </w:r>
      <w:r w:rsidR="00BF2C54" w:rsidRPr="005343E3">
        <w:rPr>
          <w:rFonts w:ascii="Arial" w:hAnsi="Arial" w:cs="Arial"/>
          <w:color w:val="000000" w:themeColor="text1"/>
          <w:sz w:val="24"/>
          <w:szCs w:val="24"/>
        </w:rPr>
        <w:t xml:space="preserve">A) Bioluminescence imaging of orthotopic xenografts of HK301 cells (normalized to day 0 before treatment </w:t>
      </w:r>
      <w:r w:rsidR="00BF2C54">
        <w:rPr>
          <w:rFonts w:ascii="Arial" w:hAnsi="Arial" w:cs="Arial"/>
          <w:color w:val="000000" w:themeColor="text1"/>
          <w:sz w:val="24"/>
          <w:szCs w:val="24"/>
        </w:rPr>
        <w:t>with 75mg/kg erlotinib</w:t>
      </w:r>
      <w:r w:rsidR="00BF2C54" w:rsidRPr="005343E3">
        <w:rPr>
          <w:rFonts w:ascii="Arial" w:hAnsi="Arial" w:cs="Arial"/>
          <w:color w:val="000000" w:themeColor="text1"/>
          <w:sz w:val="24"/>
          <w:szCs w:val="24"/>
        </w:rPr>
        <w:t>). Error bars represent standard deviation (n=4)</w:t>
      </w:r>
      <w:r w:rsidR="00BF2C54">
        <w:rPr>
          <w:rFonts w:ascii="Arial" w:hAnsi="Arial" w:cs="Arial"/>
          <w:color w:val="000000" w:themeColor="text1"/>
          <w:sz w:val="24"/>
          <w:szCs w:val="24"/>
        </w:rPr>
        <w:t>.</w:t>
      </w:r>
      <w:r w:rsidR="00BF2C54" w:rsidRPr="005343E3">
        <w:rPr>
          <w:rFonts w:ascii="Arial" w:hAnsi="Arial" w:cs="Arial"/>
          <w:color w:val="000000" w:themeColor="text1"/>
          <w:sz w:val="24"/>
          <w:szCs w:val="24"/>
        </w:rPr>
        <w:t xml:space="preserve"> B,C) Kaplan-Meier survival plot</w:t>
      </w:r>
      <w:r w:rsidR="00BF2C54">
        <w:rPr>
          <w:rFonts w:ascii="Arial" w:hAnsi="Arial" w:cs="Arial"/>
          <w:color w:val="000000" w:themeColor="text1"/>
          <w:sz w:val="24"/>
          <w:szCs w:val="24"/>
        </w:rPr>
        <w:t>s of mice with patient-derived xenografts. B)</w:t>
      </w:r>
      <w:r w:rsidR="00BF2C54" w:rsidRPr="005343E3">
        <w:rPr>
          <w:rFonts w:ascii="Arial" w:hAnsi="Arial" w:cs="Arial"/>
          <w:color w:val="000000" w:themeColor="text1"/>
          <w:sz w:val="24"/>
          <w:szCs w:val="24"/>
        </w:rPr>
        <w:t xml:space="preserve"> HK301</w:t>
      </w:r>
      <w:r w:rsidR="00BF2C54">
        <w:rPr>
          <w:rFonts w:ascii="Arial" w:hAnsi="Arial" w:cs="Arial"/>
          <w:color w:val="000000" w:themeColor="text1"/>
          <w:sz w:val="24"/>
          <w:szCs w:val="24"/>
        </w:rPr>
        <w:t xml:space="preserve"> xenografts treated with 75mg/kg erlotinib (n=8</w:t>
      </w:r>
      <w:r w:rsidR="00BF2C54" w:rsidRPr="005343E3">
        <w:rPr>
          <w:rFonts w:ascii="Arial" w:hAnsi="Arial" w:cs="Arial"/>
          <w:color w:val="000000" w:themeColor="text1"/>
          <w:sz w:val="24"/>
          <w:szCs w:val="24"/>
        </w:rPr>
        <w:t xml:space="preserve">) </w:t>
      </w:r>
      <w:r w:rsidR="00BF2C54">
        <w:rPr>
          <w:rFonts w:ascii="Arial" w:hAnsi="Arial" w:cs="Arial"/>
          <w:color w:val="000000" w:themeColor="text1"/>
          <w:sz w:val="24"/>
          <w:szCs w:val="24"/>
        </w:rPr>
        <w:t>C) GBM39 xenografts treated with 50mg/kg erlotinib (n=7</w:t>
      </w:r>
      <w:r w:rsidR="00BF2C54" w:rsidRPr="005343E3">
        <w:rPr>
          <w:rFonts w:ascii="Arial" w:hAnsi="Arial" w:cs="Arial"/>
          <w:color w:val="000000" w:themeColor="text1"/>
          <w:sz w:val="24"/>
          <w:szCs w:val="24"/>
        </w:rPr>
        <w:t>). Log-Rank (Mantel-Cox) test was used to compare survival curves. “ns.” represents non-significance</w:t>
      </w:r>
      <w:r w:rsidR="00BF2C54">
        <w:rPr>
          <w:rFonts w:ascii="Arial" w:hAnsi="Arial" w:cs="Arial"/>
          <w:color w:val="000000" w:themeColor="text1"/>
          <w:sz w:val="24"/>
          <w:szCs w:val="24"/>
        </w:rPr>
        <w:t>. D)</w:t>
      </w:r>
      <w:r w:rsidR="00BF2C54" w:rsidRPr="005343E3">
        <w:rPr>
          <w:rFonts w:ascii="Arial" w:hAnsi="Arial" w:cs="Arial"/>
          <w:color w:val="000000" w:themeColor="text1"/>
          <w:sz w:val="24"/>
          <w:szCs w:val="24"/>
        </w:rPr>
        <w:t xml:space="preserve"> Numbers of cells after treatment with erlotinib or vehicle (DMSO).  Error bars represent standard deviation (n=3).</w:t>
      </w:r>
    </w:p>
    <w:p w:rsidR="00707DF3" w:rsidRDefault="00707DF3">
      <w:pPr>
        <w:rPr>
          <w:rFonts w:ascii="Arial" w:hAnsi="Arial" w:cs="Arial"/>
          <w:color w:val="000000" w:themeColor="text1"/>
          <w:sz w:val="24"/>
          <w:szCs w:val="24"/>
        </w:rPr>
      </w:pPr>
      <w:r>
        <w:rPr>
          <w:rFonts w:ascii="Arial" w:hAnsi="Arial" w:cs="Arial"/>
          <w:color w:val="000000" w:themeColor="text1"/>
          <w:sz w:val="24"/>
          <w:szCs w:val="24"/>
        </w:rPr>
        <w:br w:type="page"/>
      </w:r>
    </w:p>
    <w:p w:rsidR="00707DF3" w:rsidRDefault="00707DF3">
      <w:r w:rsidRPr="00707DF3">
        <w:rPr>
          <w:noProof/>
        </w:rPr>
        <w:lastRenderedPageBreak/>
        <w:drawing>
          <wp:inline distT="0" distB="0" distL="0" distR="0">
            <wp:extent cx="5943600" cy="6089927"/>
            <wp:effectExtent l="0" t="0" r="0" b="6350"/>
            <wp:docPr id="2" name="Picture 2" descr="F:\Dropbox\Shares\Weikun Share Stephanie\manuscript 1\PAPER 1 fig\new fig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opbox\Shares\Weikun Share Stephanie\manuscript 1\PAPER 1 fig\new figs\Figure S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89927"/>
                    </a:xfrm>
                    <a:prstGeom prst="rect">
                      <a:avLst/>
                    </a:prstGeom>
                    <a:noFill/>
                    <a:ln>
                      <a:noFill/>
                    </a:ln>
                  </pic:spPr>
                </pic:pic>
              </a:graphicData>
            </a:graphic>
          </wp:inline>
        </w:drawing>
      </w:r>
    </w:p>
    <w:p w:rsidR="00707DF3" w:rsidRDefault="00707DF3">
      <w:r>
        <w:br w:type="page"/>
      </w:r>
    </w:p>
    <w:p w:rsidR="00432DDA" w:rsidRDefault="00707DF3" w:rsidP="00432DDA">
      <w:pPr>
        <w:rPr>
          <w:rFonts w:ascii="Arial" w:hAnsi="Arial" w:cs="Arial"/>
          <w:color w:val="000000" w:themeColor="text1"/>
          <w:sz w:val="24"/>
          <w:szCs w:val="24"/>
        </w:rPr>
      </w:pPr>
      <w:r>
        <w:rPr>
          <w:rFonts w:ascii="Arial" w:hAnsi="Arial" w:cs="Arial"/>
          <w:color w:val="000000" w:themeColor="text1"/>
          <w:sz w:val="24"/>
          <w:szCs w:val="24"/>
        </w:rPr>
        <w:lastRenderedPageBreak/>
        <w:t xml:space="preserve">Figure. S2. </w:t>
      </w:r>
      <w:r w:rsidRPr="005343E3">
        <w:rPr>
          <w:rFonts w:ascii="Arial" w:hAnsi="Arial" w:cs="Arial"/>
          <w:color w:val="000000" w:themeColor="text1"/>
          <w:sz w:val="24"/>
          <w:szCs w:val="24"/>
        </w:rPr>
        <w:t xml:space="preserve">Representative images of immunofluorescence staining for CD44 and p-EGFR in murine xenografts. </w:t>
      </w:r>
      <w:r w:rsidR="00432DDA">
        <w:rPr>
          <w:rFonts w:ascii="Arial" w:hAnsi="Arial" w:cs="Arial"/>
          <w:color w:val="000000" w:themeColor="text1"/>
          <w:sz w:val="24"/>
          <w:szCs w:val="24"/>
        </w:rPr>
        <w:t xml:space="preserve">A) </w:t>
      </w:r>
      <w:r w:rsidR="00432DDA" w:rsidRPr="005343E3">
        <w:rPr>
          <w:rFonts w:ascii="Arial" w:hAnsi="Arial" w:cs="Arial"/>
          <w:color w:val="000000" w:themeColor="text1"/>
          <w:sz w:val="24"/>
          <w:szCs w:val="24"/>
        </w:rPr>
        <w:t xml:space="preserve">Vehicle-treated xenografts of GBM39 cells. </w:t>
      </w:r>
      <w:r w:rsidR="00432DDA">
        <w:rPr>
          <w:rFonts w:ascii="Arial" w:hAnsi="Arial" w:cs="Arial"/>
          <w:color w:val="000000" w:themeColor="text1"/>
          <w:sz w:val="24"/>
          <w:szCs w:val="24"/>
        </w:rPr>
        <w:t>B</w:t>
      </w:r>
      <w:r w:rsidR="00432DDA" w:rsidRPr="005343E3">
        <w:rPr>
          <w:rFonts w:ascii="Arial" w:hAnsi="Arial" w:cs="Arial"/>
          <w:color w:val="000000" w:themeColor="text1"/>
          <w:sz w:val="24"/>
          <w:szCs w:val="24"/>
        </w:rPr>
        <w:t>) Intracranial xenografts of HK301 cells. CD44 (red), p-EGFR (green)</w:t>
      </w:r>
      <w:r w:rsidR="00432DDA">
        <w:rPr>
          <w:rFonts w:ascii="Arial" w:hAnsi="Arial" w:cs="Arial"/>
          <w:color w:val="000000" w:themeColor="text1"/>
          <w:sz w:val="24"/>
          <w:szCs w:val="24"/>
        </w:rPr>
        <w:t>, and Hoechst 33342 (blue)</w:t>
      </w:r>
      <w:r w:rsidR="00432DDA" w:rsidRPr="005343E3">
        <w:rPr>
          <w:rFonts w:ascii="Arial" w:hAnsi="Arial" w:cs="Arial"/>
          <w:color w:val="000000" w:themeColor="text1"/>
          <w:sz w:val="24"/>
          <w:szCs w:val="24"/>
        </w:rPr>
        <w:t>. Scale bars = 100</w:t>
      </w:r>
      <w:r w:rsidR="00432DDA">
        <w:rPr>
          <w:rFonts w:ascii="Arial" w:hAnsi="Arial" w:cs="Arial"/>
          <w:color w:val="000000" w:themeColor="text1"/>
          <w:sz w:val="24"/>
          <w:szCs w:val="24"/>
        </w:rPr>
        <w:t xml:space="preserve"> </w:t>
      </w:r>
      <w:r w:rsidR="00432DDA" w:rsidRPr="005343E3">
        <w:rPr>
          <w:rFonts w:ascii="Arial" w:hAnsi="Arial" w:cs="Arial"/>
          <w:color w:val="000000" w:themeColor="text1"/>
          <w:sz w:val="24"/>
          <w:szCs w:val="24"/>
        </w:rPr>
        <w:t>µm.</w:t>
      </w:r>
    </w:p>
    <w:p w:rsidR="007B2485" w:rsidRPr="00707DF3" w:rsidRDefault="007B2485" w:rsidP="007B2485"/>
    <w:p w:rsidR="00707DF3" w:rsidRDefault="00707DF3" w:rsidP="00707DF3">
      <w:pPr>
        <w:rPr>
          <w:rFonts w:ascii="Arial" w:hAnsi="Arial" w:cs="Arial"/>
          <w:color w:val="000000" w:themeColor="text1"/>
          <w:sz w:val="24"/>
          <w:szCs w:val="24"/>
        </w:rPr>
      </w:pPr>
    </w:p>
    <w:p w:rsidR="00707DF3" w:rsidRDefault="00707DF3">
      <w:pPr>
        <w:rPr>
          <w:rFonts w:ascii="Arial" w:hAnsi="Arial" w:cs="Arial"/>
          <w:color w:val="000000" w:themeColor="text1"/>
          <w:sz w:val="24"/>
          <w:szCs w:val="24"/>
        </w:rPr>
      </w:pPr>
      <w:r>
        <w:rPr>
          <w:rFonts w:ascii="Arial" w:hAnsi="Arial" w:cs="Arial"/>
          <w:color w:val="000000" w:themeColor="text1"/>
          <w:sz w:val="24"/>
          <w:szCs w:val="24"/>
        </w:rPr>
        <w:br w:type="page"/>
      </w:r>
    </w:p>
    <w:p w:rsidR="00707DF3" w:rsidRDefault="00707DF3" w:rsidP="00707DF3">
      <w:pPr>
        <w:rPr>
          <w:rFonts w:ascii="Arial" w:hAnsi="Arial" w:cs="Arial"/>
          <w:color w:val="000000" w:themeColor="text1"/>
          <w:sz w:val="24"/>
          <w:szCs w:val="24"/>
        </w:rPr>
      </w:pPr>
      <w:r w:rsidRPr="00707DF3">
        <w:rPr>
          <w:rFonts w:ascii="Arial" w:hAnsi="Arial" w:cs="Arial"/>
          <w:noProof/>
          <w:color w:val="000000" w:themeColor="text1"/>
          <w:sz w:val="24"/>
          <w:szCs w:val="24"/>
        </w:rPr>
        <w:lastRenderedPageBreak/>
        <w:drawing>
          <wp:inline distT="0" distB="0" distL="0" distR="0">
            <wp:extent cx="5943600" cy="4111702"/>
            <wp:effectExtent l="0" t="0" r="0" b="3175"/>
            <wp:docPr id="3" name="Picture 3" descr="F:\Dropbox\Shares\Weikun Share Stephanie\manuscript 1\PAPER 1 fig\new fig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opbox\Shares\Weikun Share Stephanie\manuscript 1\PAPER 1 fig\new figs\Figure S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11702"/>
                    </a:xfrm>
                    <a:prstGeom prst="rect">
                      <a:avLst/>
                    </a:prstGeom>
                    <a:noFill/>
                    <a:ln>
                      <a:noFill/>
                    </a:ln>
                  </pic:spPr>
                </pic:pic>
              </a:graphicData>
            </a:graphic>
          </wp:inline>
        </w:drawing>
      </w:r>
    </w:p>
    <w:p w:rsidR="00707DF3" w:rsidRDefault="00707DF3">
      <w:pPr>
        <w:rPr>
          <w:rFonts w:ascii="Arial" w:hAnsi="Arial" w:cs="Arial"/>
          <w:color w:val="000000" w:themeColor="text1"/>
          <w:sz w:val="24"/>
          <w:szCs w:val="24"/>
        </w:rPr>
      </w:pPr>
      <w:r>
        <w:rPr>
          <w:rFonts w:ascii="Arial" w:hAnsi="Arial" w:cs="Arial"/>
          <w:color w:val="000000" w:themeColor="text1"/>
          <w:sz w:val="24"/>
          <w:szCs w:val="24"/>
        </w:rPr>
        <w:br w:type="page"/>
      </w:r>
    </w:p>
    <w:p w:rsidR="00707DF3" w:rsidRDefault="00707DF3" w:rsidP="00707DF3">
      <w:pPr>
        <w:rPr>
          <w:rFonts w:ascii="Arial" w:hAnsi="Arial" w:cs="Arial"/>
          <w:color w:val="000000" w:themeColor="text1"/>
          <w:sz w:val="24"/>
          <w:szCs w:val="24"/>
        </w:rPr>
      </w:pPr>
      <w:r>
        <w:rPr>
          <w:rFonts w:ascii="Arial" w:hAnsi="Arial" w:cs="Arial"/>
          <w:color w:val="000000" w:themeColor="text1"/>
          <w:sz w:val="24"/>
          <w:szCs w:val="24"/>
        </w:rPr>
        <w:lastRenderedPageBreak/>
        <w:t>Figure. S3. A)</w:t>
      </w:r>
      <w:r w:rsidRPr="008A3F1C">
        <w:rPr>
          <w:rFonts w:ascii="Arial" w:hAnsi="Arial" w:cs="Arial"/>
          <w:color w:val="000000" w:themeColor="text1"/>
          <w:sz w:val="24"/>
          <w:szCs w:val="24"/>
        </w:rPr>
        <w:t xml:space="preserve"> </w:t>
      </w:r>
      <w:r w:rsidR="004D61AC" w:rsidRPr="005343E3">
        <w:rPr>
          <w:rFonts w:ascii="Arial" w:hAnsi="Arial" w:cs="Arial"/>
          <w:color w:val="000000" w:themeColor="text1"/>
          <w:sz w:val="24"/>
          <w:szCs w:val="24"/>
        </w:rPr>
        <w:t xml:space="preserve">Characterization of patient-derived GBM cells in 3D hydrogel culture. Representative confocal microscopy images showing live (green) and dead (red) cells 24 hours after hydrogel encapsulation. Percentage of HA indicates volume to weight </w:t>
      </w:r>
      <w:r w:rsidR="004D61AC">
        <w:rPr>
          <w:rFonts w:ascii="Arial" w:hAnsi="Arial" w:cs="Arial"/>
          <w:color w:val="000000" w:themeColor="text1"/>
          <w:sz w:val="24"/>
          <w:szCs w:val="24"/>
        </w:rPr>
        <w:t xml:space="preserve">ratio </w:t>
      </w:r>
      <w:r w:rsidR="004D61AC" w:rsidRPr="005343E3">
        <w:rPr>
          <w:rFonts w:ascii="Arial" w:hAnsi="Arial" w:cs="Arial"/>
          <w:color w:val="000000" w:themeColor="text1"/>
          <w:sz w:val="24"/>
          <w:szCs w:val="24"/>
        </w:rPr>
        <w:t xml:space="preserve">(% w/v). </w:t>
      </w:r>
      <w:r w:rsidR="004D61AC">
        <w:rPr>
          <w:rFonts w:ascii="Arial" w:hAnsi="Arial" w:cs="Arial"/>
          <w:color w:val="000000" w:themeColor="text1"/>
          <w:sz w:val="24"/>
          <w:szCs w:val="24"/>
        </w:rPr>
        <w:t xml:space="preserve">Arrows indicate dead cells. </w:t>
      </w:r>
      <w:r w:rsidR="004D61AC" w:rsidRPr="005343E3">
        <w:rPr>
          <w:rFonts w:ascii="Arial" w:hAnsi="Arial" w:cs="Arial"/>
          <w:color w:val="000000" w:themeColor="text1"/>
          <w:sz w:val="24"/>
          <w:szCs w:val="24"/>
        </w:rPr>
        <w:t xml:space="preserve">Linear compressive modulus is indicated in kPa. Scale bars = 100 </w:t>
      </w:r>
      <w:r w:rsidR="004D61AC" w:rsidRPr="005343E3">
        <w:rPr>
          <w:rFonts w:ascii="Arial" w:hAnsi="Arial" w:cs="Arial"/>
          <w:color w:val="000000" w:themeColor="text1"/>
          <w:sz w:val="24"/>
          <w:szCs w:val="24"/>
          <w:shd w:val="clear" w:color="auto" w:fill="FFFFFF"/>
        </w:rPr>
        <w:t>μ</w:t>
      </w:r>
      <w:r w:rsidR="004D61AC" w:rsidRPr="005343E3">
        <w:rPr>
          <w:rFonts w:ascii="Arial" w:hAnsi="Arial" w:cs="Arial"/>
          <w:color w:val="000000" w:themeColor="text1"/>
          <w:sz w:val="24"/>
          <w:szCs w:val="24"/>
        </w:rPr>
        <w:t>m.</w:t>
      </w:r>
    </w:p>
    <w:p w:rsidR="00707DF3" w:rsidRDefault="00707DF3">
      <w:pPr>
        <w:rPr>
          <w:rFonts w:ascii="Arial" w:hAnsi="Arial" w:cs="Arial"/>
          <w:color w:val="000000" w:themeColor="text1"/>
          <w:sz w:val="24"/>
          <w:szCs w:val="24"/>
        </w:rPr>
      </w:pPr>
      <w:r>
        <w:rPr>
          <w:rFonts w:ascii="Arial" w:hAnsi="Arial" w:cs="Arial"/>
          <w:color w:val="000000" w:themeColor="text1"/>
          <w:sz w:val="24"/>
          <w:szCs w:val="24"/>
        </w:rPr>
        <w:br w:type="page"/>
      </w:r>
    </w:p>
    <w:p w:rsidR="007B2485" w:rsidRDefault="007B2485">
      <w:r w:rsidRPr="007B2485">
        <w:rPr>
          <w:noProof/>
        </w:rPr>
        <w:lastRenderedPageBreak/>
        <w:drawing>
          <wp:inline distT="0" distB="0" distL="0" distR="0">
            <wp:extent cx="5943600" cy="9021187"/>
            <wp:effectExtent l="0" t="0" r="0" b="8890"/>
            <wp:docPr id="4" name="Picture 4" descr="F:\Dropbox\Shares\Weikun Share Stephanie\manuscript 1\PAPER 1 fig\new figs\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ropbox\Shares\Weikun Share Stephanie\manuscript 1\PAPER 1 fig\new figs\Figure S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021187"/>
                    </a:xfrm>
                    <a:prstGeom prst="rect">
                      <a:avLst/>
                    </a:prstGeom>
                    <a:noFill/>
                    <a:ln>
                      <a:noFill/>
                    </a:ln>
                  </pic:spPr>
                </pic:pic>
              </a:graphicData>
            </a:graphic>
          </wp:inline>
        </w:drawing>
      </w:r>
    </w:p>
    <w:p w:rsidR="007B2485" w:rsidRDefault="007B2485" w:rsidP="007B2485">
      <w:pPr>
        <w:rPr>
          <w:rFonts w:ascii="Arial" w:hAnsi="Arial" w:cs="Arial"/>
          <w:color w:val="000000" w:themeColor="text1"/>
          <w:sz w:val="24"/>
          <w:szCs w:val="24"/>
        </w:rPr>
      </w:pPr>
      <w:r>
        <w:rPr>
          <w:rFonts w:ascii="Arial" w:hAnsi="Arial" w:cs="Arial"/>
          <w:color w:val="000000" w:themeColor="text1"/>
          <w:sz w:val="24"/>
          <w:szCs w:val="24"/>
        </w:rPr>
        <w:lastRenderedPageBreak/>
        <w:t>Figure. S4</w:t>
      </w:r>
      <w:r w:rsidRPr="005343E3">
        <w:rPr>
          <w:rFonts w:ascii="Arial" w:hAnsi="Arial" w:cs="Arial"/>
          <w:color w:val="000000" w:themeColor="text1"/>
          <w:sz w:val="24"/>
          <w:szCs w:val="24"/>
        </w:rPr>
        <w:t xml:space="preserve">. </w:t>
      </w:r>
      <w:r w:rsidR="00BD7AEB">
        <w:rPr>
          <w:rFonts w:ascii="Arial" w:hAnsi="Arial" w:cs="Arial"/>
          <w:color w:val="000000" w:themeColor="text1"/>
          <w:sz w:val="24"/>
          <w:szCs w:val="24"/>
        </w:rPr>
        <w:t xml:space="preserve">A) </w:t>
      </w:r>
      <w:r w:rsidR="006B76EA" w:rsidRPr="005343E3">
        <w:rPr>
          <w:rFonts w:ascii="Arial" w:hAnsi="Arial" w:cs="Arial"/>
          <w:color w:val="000000" w:themeColor="text1"/>
          <w:sz w:val="24"/>
          <w:szCs w:val="24"/>
        </w:rPr>
        <w:t>Representative images of immunofluorescence staining for CD44</w:t>
      </w:r>
      <w:r w:rsidR="006B76EA">
        <w:rPr>
          <w:rFonts w:ascii="Arial" w:hAnsi="Arial" w:cs="Arial"/>
          <w:color w:val="000000" w:themeColor="text1"/>
          <w:sz w:val="24"/>
          <w:szCs w:val="24"/>
        </w:rPr>
        <w:t xml:space="preserve"> (red), </w:t>
      </w:r>
      <w:r w:rsidR="006B76EA" w:rsidRPr="005343E3">
        <w:rPr>
          <w:rFonts w:ascii="Arial" w:hAnsi="Arial" w:cs="Arial"/>
          <w:color w:val="000000" w:themeColor="text1"/>
          <w:sz w:val="24"/>
          <w:szCs w:val="24"/>
        </w:rPr>
        <w:t xml:space="preserve">p-EGFR </w:t>
      </w:r>
      <w:r w:rsidR="006B76EA">
        <w:rPr>
          <w:rFonts w:ascii="Arial" w:hAnsi="Arial" w:cs="Arial"/>
          <w:color w:val="000000" w:themeColor="text1"/>
          <w:sz w:val="24"/>
          <w:szCs w:val="24"/>
        </w:rPr>
        <w:t xml:space="preserve">(green), and Hoechst 33342 (blue) </w:t>
      </w:r>
      <w:r w:rsidR="006B76EA" w:rsidRPr="005343E3">
        <w:rPr>
          <w:rFonts w:ascii="Arial" w:hAnsi="Arial" w:cs="Arial"/>
          <w:color w:val="000000" w:themeColor="text1"/>
          <w:sz w:val="24"/>
          <w:szCs w:val="24"/>
        </w:rPr>
        <w:t xml:space="preserve">in hydrogel cultures. </w:t>
      </w:r>
      <w:r w:rsidR="006B76EA">
        <w:rPr>
          <w:rFonts w:ascii="Arial" w:hAnsi="Arial" w:cs="Arial"/>
          <w:color w:val="000000" w:themeColor="text1"/>
          <w:sz w:val="24"/>
          <w:szCs w:val="24"/>
        </w:rPr>
        <w:t xml:space="preserve">Arrows indicate overlapping staining for CD44 and p-EGFR. </w:t>
      </w:r>
      <w:r w:rsidR="006B76EA" w:rsidRPr="005343E3">
        <w:rPr>
          <w:rFonts w:ascii="Arial" w:hAnsi="Arial" w:cs="Arial"/>
          <w:color w:val="000000" w:themeColor="text1"/>
          <w:sz w:val="24"/>
          <w:szCs w:val="24"/>
        </w:rPr>
        <w:t>A) HK301 cells in 0.5% (w/v) HA, 1 kPa hydrogels 6 days after treatment. B) HK301 cells in 0.1% (w/v) HA, 1 kPa hydrogels 6 days after treatment. C) HK423 cells after 6 days of erlotinib treatment. Scale bars =</w:t>
      </w:r>
      <w:r w:rsidR="006B76EA">
        <w:rPr>
          <w:rFonts w:ascii="Arial" w:hAnsi="Arial" w:cs="Arial"/>
          <w:color w:val="000000" w:themeColor="text1"/>
          <w:sz w:val="24"/>
          <w:szCs w:val="24"/>
        </w:rPr>
        <w:t xml:space="preserve"> </w:t>
      </w:r>
      <w:r w:rsidR="006B76EA" w:rsidRPr="005343E3">
        <w:rPr>
          <w:rFonts w:ascii="Arial" w:hAnsi="Arial" w:cs="Arial"/>
          <w:color w:val="000000" w:themeColor="text1"/>
          <w:sz w:val="24"/>
          <w:szCs w:val="24"/>
        </w:rPr>
        <w:t>100 µm.</w:t>
      </w:r>
    </w:p>
    <w:p w:rsidR="007B2485" w:rsidRDefault="007B2485">
      <w:pPr>
        <w:rPr>
          <w:rFonts w:ascii="Arial" w:hAnsi="Arial" w:cs="Arial"/>
          <w:color w:val="000000" w:themeColor="text1"/>
          <w:sz w:val="24"/>
          <w:szCs w:val="24"/>
        </w:rPr>
      </w:pPr>
      <w:r>
        <w:rPr>
          <w:rFonts w:ascii="Arial" w:hAnsi="Arial" w:cs="Arial"/>
          <w:color w:val="000000" w:themeColor="text1"/>
          <w:sz w:val="24"/>
          <w:szCs w:val="24"/>
        </w:rPr>
        <w:br w:type="page"/>
      </w:r>
    </w:p>
    <w:p w:rsidR="007B2485" w:rsidRDefault="006520D6" w:rsidP="007B2485">
      <w:pP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5943600" cy="4838700"/>
            <wp:effectExtent l="0" t="0" r="0" b="0"/>
            <wp:docPr id="13" name="Picture 13" descr="F:\Dropbox\Shares\Weikun Share Stephanie\manuscript 1\PAPER 1 fig\new figs\Figure s5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Shares\Weikun Share Stephanie\manuscript 1\PAPER 1 fig\new figs\Figure s5N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rsidR="007B2485" w:rsidRDefault="007B2485"/>
    <w:p w:rsidR="007B2485" w:rsidRDefault="007B2485">
      <w:r>
        <w:br w:type="page"/>
      </w:r>
    </w:p>
    <w:p w:rsidR="00017DFB" w:rsidRDefault="007B2485">
      <w:pPr>
        <w:rPr>
          <w:rFonts w:ascii="Arial" w:hAnsi="Arial" w:cs="Arial"/>
          <w:color w:val="000000" w:themeColor="text1"/>
          <w:sz w:val="24"/>
          <w:szCs w:val="24"/>
        </w:rPr>
      </w:pPr>
      <w:r>
        <w:rPr>
          <w:rFonts w:ascii="Arial" w:hAnsi="Arial" w:cs="Arial"/>
          <w:color w:val="000000" w:themeColor="text1"/>
          <w:sz w:val="24"/>
          <w:szCs w:val="24"/>
        </w:rPr>
        <w:lastRenderedPageBreak/>
        <w:t xml:space="preserve">Figure. S5. A) </w:t>
      </w:r>
      <w:r w:rsidR="006B76EA">
        <w:rPr>
          <w:rFonts w:ascii="Arial" w:hAnsi="Arial" w:cs="Arial"/>
          <w:color w:val="000000" w:themeColor="text1"/>
          <w:sz w:val="24"/>
          <w:szCs w:val="24"/>
        </w:rPr>
        <w:t>Lapatinib resistance acquired in hydrogel cultures (0.5% w/v HA, 1 kPa). Bioluminescence</w:t>
      </w:r>
      <w:r w:rsidR="006B76EA" w:rsidRPr="005343E3">
        <w:rPr>
          <w:rFonts w:ascii="Arial" w:hAnsi="Arial" w:cs="Arial"/>
          <w:color w:val="000000" w:themeColor="text1"/>
          <w:sz w:val="24"/>
          <w:szCs w:val="24"/>
        </w:rPr>
        <w:t xml:space="preserve"> signal measured 2 hrs after addition of </w:t>
      </w:r>
      <w:r w:rsidR="006B76EA">
        <w:rPr>
          <w:rFonts w:ascii="Arial" w:hAnsi="Arial" w:cs="Arial"/>
          <w:color w:val="000000" w:themeColor="text1"/>
          <w:sz w:val="24"/>
          <w:szCs w:val="24"/>
        </w:rPr>
        <w:t>D-</w:t>
      </w:r>
      <w:r w:rsidR="006B76EA" w:rsidRPr="005343E3">
        <w:rPr>
          <w:rFonts w:ascii="Arial" w:hAnsi="Arial" w:cs="Arial"/>
          <w:color w:val="000000" w:themeColor="text1"/>
          <w:sz w:val="24"/>
          <w:szCs w:val="24"/>
        </w:rPr>
        <w:t xml:space="preserve">luciferin (1 mM). </w:t>
      </w:r>
      <w:r w:rsidR="00015749">
        <w:rPr>
          <w:rFonts w:ascii="Arial" w:hAnsi="Arial" w:cs="Arial"/>
          <w:color w:val="000000" w:themeColor="text1"/>
          <w:sz w:val="24"/>
          <w:szCs w:val="24"/>
        </w:rPr>
        <w:t>Lapatinib</w:t>
      </w:r>
      <w:bookmarkStart w:id="0" w:name="_GoBack"/>
      <w:bookmarkEnd w:id="0"/>
      <w:r w:rsidR="006B76EA" w:rsidRPr="005343E3">
        <w:rPr>
          <w:rFonts w:ascii="Arial" w:hAnsi="Arial" w:cs="Arial"/>
          <w:color w:val="000000" w:themeColor="text1"/>
          <w:sz w:val="24"/>
          <w:szCs w:val="24"/>
        </w:rPr>
        <w:t xml:space="preserve">-treated samples were normalized to non-treated samples and signal before treatment (day 0) for each condition. Two-way ANOVA (culture condition, time) with Šidák’s test for multiple comparisons of hydrogel condition against </w:t>
      </w:r>
      <w:r w:rsidR="006B76EA">
        <w:rPr>
          <w:rFonts w:ascii="Arial" w:hAnsi="Arial" w:cs="Arial"/>
          <w:color w:val="000000" w:themeColor="text1"/>
          <w:sz w:val="24"/>
          <w:szCs w:val="24"/>
        </w:rPr>
        <w:t>glioma</w:t>
      </w:r>
      <w:r w:rsidR="006B76EA" w:rsidRPr="005343E3">
        <w:rPr>
          <w:rFonts w:ascii="Arial" w:hAnsi="Arial" w:cs="Arial"/>
          <w:color w:val="000000" w:themeColor="text1"/>
          <w:sz w:val="24"/>
          <w:szCs w:val="24"/>
        </w:rPr>
        <w:t>sphere culture were performed. Error bars show standard deviation (n=3).</w:t>
      </w:r>
      <w:r w:rsidR="006B76EA">
        <w:rPr>
          <w:rFonts w:ascii="Arial" w:hAnsi="Arial" w:cs="Arial"/>
          <w:color w:val="000000" w:themeColor="text1"/>
          <w:sz w:val="24"/>
          <w:szCs w:val="24"/>
        </w:rPr>
        <w:t xml:space="preserve"> ***p&lt;0.001, </w:t>
      </w:r>
      <w:r w:rsidR="006B76EA" w:rsidRPr="005343E3">
        <w:rPr>
          <w:rFonts w:ascii="Arial" w:hAnsi="Arial" w:cs="Arial"/>
          <w:color w:val="000000" w:themeColor="text1"/>
          <w:sz w:val="24"/>
          <w:szCs w:val="24"/>
        </w:rPr>
        <w:t>****</w:t>
      </w:r>
      <w:r w:rsidR="006B76EA" w:rsidRPr="005343E3">
        <w:rPr>
          <w:rFonts w:ascii="Arial" w:hAnsi="Arial" w:cs="Arial"/>
          <w:i/>
          <w:color w:val="000000" w:themeColor="text1"/>
          <w:sz w:val="24"/>
          <w:szCs w:val="24"/>
        </w:rPr>
        <w:t xml:space="preserve">p </w:t>
      </w:r>
      <w:r w:rsidR="006B76EA" w:rsidRPr="005343E3">
        <w:rPr>
          <w:rFonts w:ascii="Arial" w:hAnsi="Arial" w:cs="Arial"/>
          <w:color w:val="000000" w:themeColor="text1"/>
          <w:sz w:val="24"/>
          <w:szCs w:val="24"/>
        </w:rPr>
        <w:t>&lt; 0.0001.</w:t>
      </w:r>
      <w:r w:rsidRPr="007B2485">
        <w:rPr>
          <w:rFonts w:ascii="Arial" w:hAnsi="Arial" w:cs="Arial"/>
          <w:color w:val="000000" w:themeColor="text1"/>
          <w:sz w:val="24"/>
          <w:szCs w:val="24"/>
        </w:rPr>
        <w:t xml:space="preserve"> </w:t>
      </w:r>
      <w:r>
        <w:rPr>
          <w:rFonts w:ascii="Arial" w:hAnsi="Arial" w:cs="Arial"/>
          <w:color w:val="000000" w:themeColor="text1"/>
          <w:sz w:val="24"/>
          <w:szCs w:val="24"/>
        </w:rPr>
        <w:t>B</w:t>
      </w:r>
      <w:r w:rsidRPr="005343E3">
        <w:rPr>
          <w:rFonts w:ascii="Arial" w:hAnsi="Arial" w:cs="Arial"/>
          <w:color w:val="000000" w:themeColor="text1"/>
          <w:sz w:val="24"/>
          <w:szCs w:val="24"/>
        </w:rPr>
        <w:t xml:space="preserve">) </w:t>
      </w:r>
      <w:r w:rsidR="006B76EA" w:rsidRPr="005343E3">
        <w:rPr>
          <w:rFonts w:ascii="Arial" w:hAnsi="Arial" w:cs="Arial"/>
          <w:color w:val="000000" w:themeColor="text1"/>
          <w:sz w:val="24"/>
          <w:szCs w:val="24"/>
        </w:rPr>
        <w:t>GBM subtype and EGFR status of cell lines</w:t>
      </w:r>
      <w:r w:rsidR="006B76EA">
        <w:rPr>
          <w:rFonts w:ascii="Arial" w:hAnsi="Arial" w:cs="Arial"/>
          <w:color w:val="000000" w:themeColor="text1"/>
          <w:sz w:val="24"/>
          <w:szCs w:val="24"/>
        </w:rPr>
        <w:t xml:space="preserve"> </w:t>
      </w:r>
      <w:r w:rsidR="00BF2C54">
        <w:rPr>
          <w:rFonts w:ascii="Arial" w:hAnsi="Arial" w:cs="Arial"/>
          <w:color w:val="000000" w:themeColor="text1"/>
          <w:sz w:val="24"/>
          <w:szCs w:val="24"/>
        </w:rPr>
        <w:fldChar w:fldCharType="begin" w:fldLock="1"/>
      </w:r>
      <w:r w:rsidR="006B76EA">
        <w:rPr>
          <w:rFonts w:ascii="Arial" w:hAnsi="Arial" w:cs="Arial"/>
          <w:color w:val="000000" w:themeColor="text1"/>
          <w:sz w:val="24"/>
          <w:szCs w:val="24"/>
        </w:rPr>
        <w:instrText>ADDIN CSL_CITATION { "citationItems" : [ { "id" : "ITEM-1", "itemData" : { "ISSN" : "1522-8517", "author" : [ { "dropping-particle" : "", "family" : "Laks", "given" : "Dan R", "non-dropping-particle" : "", "parse-names" : false, "suffix" : "" }, { "dropping-particle" : "", "family" : "Crisman", "given" : "Thomas J", "non-dropping-particle" : "", "parse-names" : false, "suffix" : "" }, { "dropping-particle" : "", "family" : "Shih", "given" : "Michelle", "non-dropping-particle" : "", "parse-names" : false, "suffix" : "" }, { "dropping-particle" : "", "family" : "Mottahedeh", "given" : "Jack", "non-dropping-particle" : "", "parse-names" : false, "suffix" : "" }, { "dropping-particle" : "", "family" : "Gao", "given" : "Fuying", "non-dropping-particle" : "", "parse-names" : false, "suffix" : "" }, { "dropping-particle" : "", "family" : "Sperry", "given" : "Jantzen", "non-dropping-particle" : "", "parse-names" : false, "suffix" : "" }, { "dropping-particle" : "", "family" : "Garrett", "given" : "Matthew C", "non-dropping-particle" : "", "parse-names" : false, "suffix" : "" }, { "dropping-particle" : "", "family" : "Yong", "given" : "William H", "non-dropping-particle" : "", "parse-names" : false, "suffix" : "" }, { "dropping-particle" : "", "family" : "Cloughesy", "given" : "Timothy F", "non-dropping-particle" : "", "parse-names" : false, "suffix" : "" }, { "dropping-particle" : "", "family" : "Liau", "given" : "Linda M", "non-dropping-particle" : "", "parse-names" : false, "suffix" : "" } ], "container-title" : "Neuro-oncology", "id" : "ITEM-1", "issue" : "10", "issued" : { "date-parts" : [ [ "2016" ] ] }, "page" : "1367-1378", "publisher" : "Oxford University Press", "title" : "Large-scale assessment of the gliomasphere model system", "type" : "article-journal", "volume" : "18" }, "uris" : [ "http://www.mendeley.com/documents/?uuid=f1357205-ba91-486a-89e4-3aef10e3ac8e" ] }, { "id" : "ITEM-2", "itemData" : { "DOI" : "10.1158/1078-0432.CCR-05-2510", "ISBN" : "5072665232", "ISSN" : "1078-0432", "PMID" : "16609043", "abstract" : "PURPOSE: The influence of epidermal growth factor receptor (EGFR) amplification on glioblastoma patient prognosis following definitive radiotherapy has been extensively investigated in clinical studies, and yet the relationship between EGFR status and radiation response remains unclear. The intent of the current study was to address this relationship using several EGFR-amplified glioblastoma xenografts in an orthotopic athymic mouse model. EXPERIMENTAL DESIGN: We examined the effect of radiation on the survival of nude mice with intracranial xenografts derived from 13 distinct patient tumors, 7 of which have amplified EGFR. Mice with established intracranial tumors were randomized to sham treatment or 12-Gy radiation in six fractions delivered over 12 days. RESULTS: For six of the xenografts, radiation of mice with intracranial tumor significantly extended survival, and four of these xenografts had EGFR amplification. For seven other xenografts, radiation treatment did not significantly extend survival, and three of these, including GBM12, had EGFR amplification. Similar to EGFR, the tumor genetic status of p53 or PTEN did not show preferential association with radiation-sensitive or radiation-resistant xenografts whereas hyperphosphorylation of Akt on Ser(473) was associated with increased radioresistance. To specifically investigate whether inhibition of EGFR kinase activity influences radiation response, we examined combined radiation and EGFR inhibitor treatment in mice with intracranial GBM12. The combination of oral erlotinib administered concurrently with radiation resulted only in additive survival benefit relative to either agent alone. CONCLUSIONS: Our results indicate that EGFR amplification, as a biomarker, is not singularly predictive of glioblastoma response to radiation therapy, nor does the inhibition of EGFR enhance the intrinsic radiation responsiveness of glioblastoma tumors. However, efficacious EGFR inhibitor and radiation monotherapy regimens can be used in combination to achieve additive antitumor effect against a subset of glioblastoma.", "author" : [ { "dropping-particle" : "", "family" : "Sarkaria", "given" : "Jann N", "non-dropping-particle" : "", "parse-names" : false, "suffix" : "" }, { "dropping-particle" : "", "family" : "Carlson", "given" : "Brett L", "non-dropping-particle" : "", "parse-names" : false, "suffix" : "" }, { "dropping-particle" : "", "family" : "Schroeder", "given" : "Mark A", "non-dropping-particle" : "", "parse-names" : false, "suffix" : "" }, { "dropping-particle" : "", "family" : "Grogan", "given" : "Patrick", "non-dropping-particle" : "", "parse-names" : false, "suffix" : "" }, { "dropping-particle" : "", "family" : "Brown", "given" : "Paul D", "non-dropping-particle" : "", "parse-names" : false, "suffix" : "" }, { "dropping-particle" : "", "family" : "Giannini", "given" : "Caterina", "non-dropping-particle" : "", "parse-names" : false, "suffix" : "" }, { "dropping-particle" : "", "family" : "Ballman", "given" : "Karlav", "non-dropping-particle" : "", "parse-names" : false, "suffix" : "" }, { "dropping-particle" : "", "family" : "Kitange", "given" : "Gaspar J", "non-dropping-particle" : "", "parse-names" : false, "suffix" : "" }, { "dropping-particle" : "", "family" : "Guha", "given" : "Abjahit", "non-dropping-particle" : "", "parse-names" : false, "suffix" : "" }, { "dropping-particle" : "", "family" : "Pandita", "given" : "Ajay", "non-dropping-particle" : "", "parse-names" : false, "suffix" : "" }, { "dropping-particle" : "", "family" : "James", "given" : "C David", "non-dropping-particle" : "", "parse-names" : false, "suffix" : "" } ], "container-title" : "Clinical cancer research : an official journal of the American Association for Cancer Research", "id" : "ITEM-2", "issue" : "7 Pt 1", "issued" : { "date-parts" : [ [ "2006" ] ] }, "page" : "2264-71", "publisher" : "AACR", "title" : "Use of an Orthotopic Xenograft Model for Assessing the Effect of Epidermal Growth Factor Receptor Amplification on Glioblastoma Radiation Response Cancer Therapy : Preclinical Epidermal Growth Factor Receptor Amplification on Glioblastoma Radiation Respon", "type" : "article-journal", "volume" : "12" }, "uris" : [ "http://www.mendeley.com/documents/?uuid=fc54cd16-85b6-4b12-839a-0cf3f353e390" ] } ], "mendeley" : { "formattedCitation" : "(1,2)", "plainTextFormattedCitation" : "(1,2)", "previouslyFormattedCitation" : "(1,2)" }, "properties" : {  }, "schema" : "https://github.com/citation-style-language/schema/raw/master/csl-citation.json" }</w:instrText>
      </w:r>
      <w:r w:rsidR="00BF2C54">
        <w:rPr>
          <w:rFonts w:ascii="Arial" w:hAnsi="Arial" w:cs="Arial"/>
          <w:color w:val="000000" w:themeColor="text1"/>
          <w:sz w:val="24"/>
          <w:szCs w:val="24"/>
        </w:rPr>
        <w:fldChar w:fldCharType="separate"/>
      </w:r>
      <w:r w:rsidR="006B76EA" w:rsidRPr="006B76EA">
        <w:rPr>
          <w:rFonts w:ascii="Arial" w:hAnsi="Arial" w:cs="Arial"/>
          <w:noProof/>
          <w:color w:val="000000" w:themeColor="text1"/>
          <w:sz w:val="24"/>
          <w:szCs w:val="24"/>
        </w:rPr>
        <w:t>(1,2)</w:t>
      </w:r>
      <w:r w:rsidR="00BF2C54">
        <w:rPr>
          <w:rFonts w:ascii="Arial" w:hAnsi="Arial" w:cs="Arial"/>
          <w:color w:val="000000" w:themeColor="text1"/>
          <w:sz w:val="24"/>
          <w:szCs w:val="24"/>
        </w:rPr>
        <w:fldChar w:fldCharType="end"/>
      </w:r>
      <w:r w:rsidR="00BF2C54">
        <w:rPr>
          <w:rFonts w:ascii="Arial" w:hAnsi="Arial" w:cs="Arial"/>
          <w:color w:val="000000" w:themeColor="text1"/>
          <w:sz w:val="24"/>
          <w:szCs w:val="24"/>
        </w:rPr>
        <w:t>.</w:t>
      </w:r>
    </w:p>
    <w:p w:rsidR="006B76EA" w:rsidRPr="006B76EA" w:rsidRDefault="00BF2C54" w:rsidP="006B76EA">
      <w:pPr>
        <w:widowControl w:val="0"/>
        <w:autoSpaceDE w:val="0"/>
        <w:autoSpaceDN w:val="0"/>
        <w:adjustRightInd w:val="0"/>
        <w:spacing w:line="240" w:lineRule="auto"/>
        <w:ind w:left="640" w:hanging="640"/>
        <w:rPr>
          <w:rFonts w:ascii="Calibri" w:hAnsi="Calibri" w:cs="Times New Roman"/>
          <w:noProof/>
          <w:szCs w:val="24"/>
        </w:rPr>
      </w:pPr>
      <w:r>
        <w:rPr>
          <w:b/>
        </w:rPr>
        <w:fldChar w:fldCharType="begin" w:fldLock="1"/>
      </w:r>
      <w:r>
        <w:rPr>
          <w:b/>
        </w:rPr>
        <w:instrText xml:space="preserve">ADDIN Mendeley Bibliography CSL_BIBLIOGRAPHY </w:instrText>
      </w:r>
      <w:r>
        <w:rPr>
          <w:b/>
        </w:rPr>
        <w:fldChar w:fldCharType="separate"/>
      </w:r>
      <w:r w:rsidR="006B76EA" w:rsidRPr="006B76EA">
        <w:rPr>
          <w:rFonts w:ascii="Calibri" w:hAnsi="Calibri" w:cs="Times New Roman"/>
          <w:noProof/>
          <w:szCs w:val="24"/>
        </w:rPr>
        <w:t xml:space="preserve">1. </w:t>
      </w:r>
      <w:r w:rsidR="006B76EA" w:rsidRPr="006B76EA">
        <w:rPr>
          <w:rFonts w:ascii="Calibri" w:hAnsi="Calibri" w:cs="Times New Roman"/>
          <w:noProof/>
          <w:szCs w:val="24"/>
        </w:rPr>
        <w:tab/>
        <w:t>Laks DR, Crisman TJ, Shih M, Mottahedeh J, Gao F, Sperry J, et al. Large-scale assessment of the gliomasphere model system. Neuro Oncol. 2016;</w:t>
      </w:r>
      <w:r w:rsidR="006B76EA" w:rsidRPr="006B76EA">
        <w:rPr>
          <w:rFonts w:ascii="Calibri" w:hAnsi="Calibri" w:cs="Times New Roman"/>
          <w:b/>
          <w:bCs/>
          <w:noProof/>
          <w:szCs w:val="24"/>
        </w:rPr>
        <w:t>18</w:t>
      </w:r>
      <w:r w:rsidR="006B76EA" w:rsidRPr="006B76EA">
        <w:rPr>
          <w:rFonts w:ascii="Calibri" w:hAnsi="Calibri" w:cs="Times New Roman"/>
          <w:noProof/>
          <w:szCs w:val="24"/>
        </w:rPr>
        <w:t xml:space="preserve">:1367–78. </w:t>
      </w:r>
    </w:p>
    <w:p w:rsidR="006B76EA" w:rsidRPr="006B76EA" w:rsidRDefault="006B76EA" w:rsidP="006B76EA">
      <w:pPr>
        <w:widowControl w:val="0"/>
        <w:autoSpaceDE w:val="0"/>
        <w:autoSpaceDN w:val="0"/>
        <w:adjustRightInd w:val="0"/>
        <w:spacing w:line="240" w:lineRule="auto"/>
        <w:ind w:left="640" w:hanging="640"/>
        <w:rPr>
          <w:rFonts w:ascii="Calibri" w:hAnsi="Calibri"/>
          <w:noProof/>
        </w:rPr>
      </w:pPr>
      <w:r w:rsidRPr="006B76EA">
        <w:rPr>
          <w:rFonts w:ascii="Calibri" w:hAnsi="Calibri" w:cs="Times New Roman"/>
          <w:noProof/>
          <w:szCs w:val="24"/>
        </w:rPr>
        <w:t xml:space="preserve">2. </w:t>
      </w:r>
      <w:r w:rsidRPr="006B76EA">
        <w:rPr>
          <w:rFonts w:ascii="Calibri" w:hAnsi="Calibri" w:cs="Times New Roman"/>
          <w:noProof/>
          <w:szCs w:val="24"/>
        </w:rPr>
        <w:tab/>
        <w:t>Sarkaria JN, Carlson BL, Schroeder MA, Grogan P, Brown PD, Giannini C, et al. Use of an Orthotopic Xenograft Model for Assessing the Effect of Epidermal Growth Factor Receptor Amplification on Glioblastoma Radiation Response Cancer Therapy : Preclinical Epidermal Growth Factor Receptor Amplification on Glioblastoma Radiation Respon. Clin Cancer Res. 2006;</w:t>
      </w:r>
      <w:r w:rsidRPr="006B76EA">
        <w:rPr>
          <w:rFonts w:ascii="Calibri" w:hAnsi="Calibri" w:cs="Times New Roman"/>
          <w:b/>
          <w:bCs/>
          <w:noProof/>
          <w:szCs w:val="24"/>
        </w:rPr>
        <w:t>12</w:t>
      </w:r>
      <w:r w:rsidRPr="006B76EA">
        <w:rPr>
          <w:rFonts w:ascii="Calibri" w:hAnsi="Calibri" w:cs="Times New Roman"/>
          <w:noProof/>
          <w:szCs w:val="24"/>
        </w:rPr>
        <w:t xml:space="preserve">:2264–71. </w:t>
      </w:r>
    </w:p>
    <w:p w:rsidR="004D6C99" w:rsidRDefault="00BF2C54">
      <w:pPr>
        <w:rPr>
          <w:b/>
        </w:rPr>
      </w:pPr>
      <w:r>
        <w:rPr>
          <w:b/>
        </w:rPr>
        <w:fldChar w:fldCharType="end"/>
      </w:r>
    </w:p>
    <w:p w:rsidR="004D6C99" w:rsidRDefault="004D6C99">
      <w:pPr>
        <w:rPr>
          <w:b/>
        </w:rPr>
      </w:pPr>
      <w:r>
        <w:rPr>
          <w:b/>
        </w:rPr>
        <w:br w:type="page"/>
      </w:r>
    </w:p>
    <w:p w:rsidR="004D6C99" w:rsidRDefault="004D6C99">
      <w:pPr>
        <w:rPr>
          <w:b/>
        </w:rPr>
      </w:pPr>
      <w:r w:rsidRPr="004D6C99">
        <w:rPr>
          <w:b/>
          <w:noProof/>
        </w:rPr>
        <w:lastRenderedPageBreak/>
        <w:drawing>
          <wp:inline distT="0" distB="0" distL="0" distR="0">
            <wp:extent cx="5943600" cy="5168984"/>
            <wp:effectExtent l="0" t="0" r="0" b="0"/>
            <wp:docPr id="6" name="Picture 6" descr="F:\Dropbox\Shares\Weikun Share Stephanie\manuscript 1\PAPER 1 fig\new figs\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ropbox\Shares\Weikun Share Stephanie\manuscript 1\PAPER 1 fig\new figs\Figure S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68984"/>
                    </a:xfrm>
                    <a:prstGeom prst="rect">
                      <a:avLst/>
                    </a:prstGeom>
                    <a:noFill/>
                    <a:ln>
                      <a:noFill/>
                    </a:ln>
                  </pic:spPr>
                </pic:pic>
              </a:graphicData>
            </a:graphic>
          </wp:inline>
        </w:drawing>
      </w:r>
    </w:p>
    <w:p w:rsidR="004D6C99" w:rsidRDefault="004D6C99">
      <w:pPr>
        <w:rPr>
          <w:b/>
        </w:rPr>
      </w:pPr>
      <w:r>
        <w:rPr>
          <w:b/>
        </w:rPr>
        <w:br w:type="page"/>
      </w:r>
    </w:p>
    <w:p w:rsidR="004D6C99" w:rsidRDefault="004D6C99" w:rsidP="004D6C99">
      <w:pPr>
        <w:rPr>
          <w:rFonts w:ascii="Arial" w:hAnsi="Arial" w:cs="Arial"/>
          <w:color w:val="000000" w:themeColor="text1"/>
          <w:sz w:val="24"/>
          <w:szCs w:val="24"/>
        </w:rPr>
      </w:pPr>
      <w:r>
        <w:rPr>
          <w:rFonts w:ascii="Arial" w:hAnsi="Arial" w:cs="Arial"/>
          <w:color w:val="000000" w:themeColor="text1"/>
          <w:sz w:val="24"/>
          <w:szCs w:val="24"/>
        </w:rPr>
        <w:lastRenderedPageBreak/>
        <w:t>Figure. S6</w:t>
      </w:r>
      <w:r w:rsidRPr="005343E3">
        <w:rPr>
          <w:rFonts w:ascii="Arial" w:hAnsi="Arial" w:cs="Arial"/>
          <w:color w:val="000000" w:themeColor="text1"/>
          <w:sz w:val="24"/>
          <w:szCs w:val="24"/>
        </w:rPr>
        <w:t>.</w:t>
      </w:r>
      <w:r>
        <w:rPr>
          <w:rFonts w:ascii="Arial" w:hAnsi="Arial" w:cs="Arial"/>
          <w:color w:val="000000" w:themeColor="text1"/>
          <w:sz w:val="24"/>
          <w:szCs w:val="24"/>
        </w:rPr>
        <w:t xml:space="preserve"> A) Representative staining of HA (brown) and hematoxylin (purple) in HK301 gliomaspheres after 12 days of culture. Scale bars = 200</w:t>
      </w:r>
      <w:r w:rsidRPr="003377F7">
        <w:rPr>
          <w:rFonts w:ascii="Arial" w:hAnsi="Arial" w:cs="Arial"/>
          <w:color w:val="000000" w:themeColor="text1"/>
          <w:sz w:val="24"/>
          <w:szCs w:val="24"/>
        </w:rPr>
        <w:t xml:space="preserve"> </w:t>
      </w:r>
      <w:r w:rsidRPr="005343E3">
        <w:rPr>
          <w:rFonts w:ascii="Arial" w:hAnsi="Arial" w:cs="Arial"/>
          <w:color w:val="000000" w:themeColor="text1"/>
          <w:sz w:val="24"/>
          <w:szCs w:val="24"/>
        </w:rPr>
        <w:t>µm</w:t>
      </w:r>
      <w:r>
        <w:rPr>
          <w:rFonts w:ascii="Arial" w:hAnsi="Arial" w:cs="Arial"/>
          <w:color w:val="000000" w:themeColor="text1"/>
          <w:sz w:val="24"/>
          <w:szCs w:val="24"/>
        </w:rPr>
        <w:t>. B</w:t>
      </w:r>
      <w:r w:rsidRPr="005343E3">
        <w:rPr>
          <w:rFonts w:ascii="Arial" w:hAnsi="Arial" w:cs="Arial"/>
          <w:color w:val="000000" w:themeColor="text1"/>
          <w:sz w:val="24"/>
          <w:szCs w:val="24"/>
        </w:rPr>
        <w:t xml:space="preserve">) Representative images of immunofluorescence staining for CD44 (red) </w:t>
      </w:r>
      <w:r>
        <w:rPr>
          <w:rFonts w:ascii="Arial" w:hAnsi="Arial" w:cs="Arial"/>
          <w:color w:val="000000" w:themeColor="text1"/>
          <w:sz w:val="24"/>
          <w:szCs w:val="24"/>
        </w:rPr>
        <w:t xml:space="preserve">and Hoechst 33342 (blue) </w:t>
      </w:r>
      <w:r w:rsidRPr="005343E3">
        <w:rPr>
          <w:rFonts w:ascii="Arial" w:hAnsi="Arial" w:cs="Arial"/>
          <w:color w:val="000000" w:themeColor="text1"/>
          <w:sz w:val="24"/>
          <w:szCs w:val="24"/>
        </w:rPr>
        <w:t>in hydrogel cultures of wild-type HK301 and HK301 with shCD44 knockdown.</w:t>
      </w:r>
      <w:r w:rsidRPr="004D6C99">
        <w:rPr>
          <w:rFonts w:ascii="Arial" w:hAnsi="Arial" w:cs="Arial"/>
          <w:color w:val="000000" w:themeColor="text1"/>
          <w:sz w:val="24"/>
          <w:szCs w:val="24"/>
        </w:rPr>
        <w:t xml:space="preserve"> </w:t>
      </w:r>
      <w:r w:rsidRPr="005343E3">
        <w:rPr>
          <w:rFonts w:ascii="Arial" w:hAnsi="Arial" w:cs="Arial"/>
          <w:color w:val="000000" w:themeColor="text1"/>
          <w:sz w:val="24"/>
          <w:szCs w:val="24"/>
        </w:rPr>
        <w:t>Scale bars = 100 µm.</w:t>
      </w:r>
      <w:r>
        <w:rPr>
          <w:rFonts w:ascii="Arial" w:hAnsi="Arial" w:cs="Arial"/>
          <w:color w:val="000000" w:themeColor="text1"/>
          <w:sz w:val="24"/>
          <w:szCs w:val="24"/>
        </w:rPr>
        <w:t xml:space="preserve"> B) </w:t>
      </w:r>
    </w:p>
    <w:p w:rsidR="004D37C3" w:rsidRDefault="004D37C3">
      <w:pPr>
        <w:rPr>
          <w:b/>
        </w:rPr>
      </w:pPr>
    </w:p>
    <w:p w:rsidR="004D37C3" w:rsidRDefault="004D37C3">
      <w:pPr>
        <w:rPr>
          <w:b/>
        </w:rPr>
      </w:pPr>
      <w:r>
        <w:rPr>
          <w:b/>
        </w:rPr>
        <w:br w:type="page"/>
      </w:r>
    </w:p>
    <w:p w:rsidR="004D37C3" w:rsidRDefault="004D37C3">
      <w:pPr>
        <w:rPr>
          <w:b/>
        </w:rPr>
      </w:pPr>
      <w:r w:rsidRPr="004D37C3">
        <w:rPr>
          <w:b/>
          <w:noProof/>
        </w:rPr>
        <w:lastRenderedPageBreak/>
        <w:drawing>
          <wp:inline distT="0" distB="0" distL="0" distR="0">
            <wp:extent cx="5943600" cy="7621891"/>
            <wp:effectExtent l="0" t="0" r="0" b="0"/>
            <wp:docPr id="7" name="Picture 7" descr="F:\Dropbox\Shares\Weikun Share Stephanie\manuscript 1\PAPER 1 fig\new figs\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ropbox\Shares\Weikun Share Stephanie\manuscript 1\PAPER 1 fig\new figs\Figure S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1891"/>
                    </a:xfrm>
                    <a:prstGeom prst="rect">
                      <a:avLst/>
                    </a:prstGeom>
                    <a:noFill/>
                    <a:ln>
                      <a:noFill/>
                    </a:ln>
                  </pic:spPr>
                </pic:pic>
              </a:graphicData>
            </a:graphic>
          </wp:inline>
        </w:drawing>
      </w:r>
    </w:p>
    <w:p w:rsidR="004D37C3" w:rsidRDefault="004D37C3">
      <w:pPr>
        <w:rPr>
          <w:b/>
        </w:rPr>
      </w:pPr>
      <w:r>
        <w:rPr>
          <w:b/>
        </w:rPr>
        <w:br w:type="page"/>
      </w:r>
    </w:p>
    <w:p w:rsidR="004D37C3" w:rsidRDefault="004D37C3" w:rsidP="004D37C3">
      <w:pPr>
        <w:rPr>
          <w:rFonts w:ascii="Arial" w:hAnsi="Arial" w:cs="Arial"/>
          <w:color w:val="000000" w:themeColor="text1"/>
          <w:sz w:val="24"/>
          <w:szCs w:val="24"/>
        </w:rPr>
      </w:pPr>
      <w:r>
        <w:rPr>
          <w:rFonts w:ascii="Arial" w:hAnsi="Arial" w:cs="Arial"/>
          <w:color w:val="000000" w:themeColor="text1"/>
          <w:sz w:val="24"/>
          <w:szCs w:val="24"/>
        </w:rPr>
        <w:lastRenderedPageBreak/>
        <w:t xml:space="preserve">Figure. S7. </w:t>
      </w:r>
      <w:r w:rsidRPr="005343E3">
        <w:rPr>
          <w:rFonts w:ascii="Arial" w:hAnsi="Arial" w:cs="Arial"/>
          <w:color w:val="000000" w:themeColor="text1"/>
          <w:sz w:val="24"/>
          <w:szCs w:val="24"/>
        </w:rPr>
        <w:t>Representative images of immunofluorescence staining for CD44 (red)</w:t>
      </w:r>
      <w:r>
        <w:rPr>
          <w:rFonts w:ascii="Arial" w:hAnsi="Arial" w:cs="Arial"/>
          <w:color w:val="000000" w:themeColor="text1"/>
          <w:sz w:val="24"/>
          <w:szCs w:val="24"/>
        </w:rPr>
        <w:t xml:space="preserve"> and Hoechst 33342 (blue) after</w:t>
      </w:r>
      <w:r w:rsidRPr="005343E3">
        <w:rPr>
          <w:rFonts w:ascii="Arial" w:hAnsi="Arial" w:cs="Arial"/>
          <w:color w:val="000000" w:themeColor="text1"/>
          <w:sz w:val="24"/>
          <w:szCs w:val="24"/>
        </w:rPr>
        <w:t xml:space="preserve"> 12 day</w:t>
      </w:r>
      <w:r>
        <w:rPr>
          <w:rFonts w:ascii="Arial" w:hAnsi="Arial" w:cs="Arial"/>
          <w:color w:val="000000" w:themeColor="text1"/>
          <w:sz w:val="24"/>
          <w:szCs w:val="24"/>
        </w:rPr>
        <w:t>s</w:t>
      </w:r>
      <w:r w:rsidRPr="005343E3">
        <w:rPr>
          <w:rFonts w:ascii="Arial" w:hAnsi="Arial" w:cs="Arial"/>
          <w:color w:val="000000" w:themeColor="text1"/>
          <w:sz w:val="24"/>
          <w:szCs w:val="24"/>
        </w:rPr>
        <w:t xml:space="preserve"> of </w:t>
      </w:r>
      <w:r>
        <w:rPr>
          <w:rFonts w:ascii="Arial" w:hAnsi="Arial" w:cs="Arial"/>
          <w:color w:val="000000" w:themeColor="text1"/>
          <w:sz w:val="24"/>
          <w:szCs w:val="24"/>
        </w:rPr>
        <w:t>erlotinib</w:t>
      </w:r>
      <w:r w:rsidRPr="005343E3">
        <w:rPr>
          <w:rFonts w:ascii="Arial" w:hAnsi="Arial" w:cs="Arial"/>
          <w:color w:val="000000" w:themeColor="text1"/>
          <w:sz w:val="24"/>
          <w:szCs w:val="24"/>
        </w:rPr>
        <w:t xml:space="preserve"> treatment of either wildtype (WT) or CD44 knockdown (shCD44) HK301 cultured in 0.5% (w/v)</w:t>
      </w:r>
      <w:r>
        <w:rPr>
          <w:rFonts w:ascii="Arial" w:hAnsi="Arial" w:cs="Arial"/>
          <w:color w:val="000000" w:themeColor="text1"/>
          <w:sz w:val="24"/>
          <w:szCs w:val="24"/>
        </w:rPr>
        <w:t>, 1 kPa</w:t>
      </w:r>
      <w:r w:rsidRPr="005343E3">
        <w:rPr>
          <w:rFonts w:ascii="Arial" w:hAnsi="Arial" w:cs="Arial"/>
          <w:color w:val="000000" w:themeColor="text1"/>
          <w:sz w:val="24"/>
          <w:szCs w:val="24"/>
        </w:rPr>
        <w:t xml:space="preserve"> HA hydrogel</w:t>
      </w:r>
      <w:r>
        <w:rPr>
          <w:rFonts w:ascii="Arial" w:hAnsi="Arial" w:cs="Arial"/>
          <w:color w:val="000000" w:themeColor="text1"/>
          <w:sz w:val="24"/>
          <w:szCs w:val="24"/>
        </w:rPr>
        <w:t>s</w:t>
      </w:r>
      <w:r w:rsidRPr="005343E3">
        <w:rPr>
          <w:rFonts w:ascii="Arial" w:hAnsi="Arial" w:cs="Arial"/>
          <w:color w:val="000000" w:themeColor="text1"/>
          <w:sz w:val="24"/>
          <w:szCs w:val="24"/>
        </w:rPr>
        <w:t>. Scale bars = 100 µm.</w:t>
      </w:r>
    </w:p>
    <w:p w:rsidR="004D37C3" w:rsidRDefault="004D37C3">
      <w:pPr>
        <w:rPr>
          <w:rFonts w:ascii="Arial" w:hAnsi="Arial" w:cs="Arial"/>
          <w:color w:val="000000" w:themeColor="text1"/>
          <w:sz w:val="24"/>
          <w:szCs w:val="24"/>
        </w:rPr>
      </w:pPr>
      <w:r>
        <w:rPr>
          <w:rFonts w:ascii="Arial" w:hAnsi="Arial" w:cs="Arial"/>
          <w:color w:val="000000" w:themeColor="text1"/>
          <w:sz w:val="24"/>
          <w:szCs w:val="24"/>
        </w:rPr>
        <w:br w:type="page"/>
      </w:r>
    </w:p>
    <w:p w:rsidR="004D37C3" w:rsidRDefault="004D37C3" w:rsidP="004D37C3">
      <w:pPr>
        <w:rPr>
          <w:rFonts w:ascii="Arial" w:hAnsi="Arial" w:cs="Arial"/>
          <w:color w:val="000000" w:themeColor="text1"/>
          <w:sz w:val="24"/>
          <w:szCs w:val="24"/>
        </w:rPr>
      </w:pPr>
      <w:r w:rsidRPr="004D37C3">
        <w:rPr>
          <w:rFonts w:ascii="Arial" w:hAnsi="Arial" w:cs="Arial"/>
          <w:noProof/>
          <w:color w:val="000000" w:themeColor="text1"/>
          <w:sz w:val="24"/>
          <w:szCs w:val="24"/>
        </w:rPr>
        <w:lastRenderedPageBreak/>
        <w:drawing>
          <wp:inline distT="0" distB="0" distL="0" distR="0">
            <wp:extent cx="5943600" cy="3739305"/>
            <wp:effectExtent l="0" t="0" r="0" b="0"/>
            <wp:docPr id="8" name="Picture 8" descr="F:\Dropbox\Shares\Weikun Share Stephanie\manuscript 1\PAPER 1 fig\new figs\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ropbox\Shares\Weikun Share Stephanie\manuscript 1\PAPER 1 fig\new figs\Figure S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39305"/>
                    </a:xfrm>
                    <a:prstGeom prst="rect">
                      <a:avLst/>
                    </a:prstGeom>
                    <a:noFill/>
                    <a:ln>
                      <a:noFill/>
                    </a:ln>
                  </pic:spPr>
                </pic:pic>
              </a:graphicData>
            </a:graphic>
          </wp:inline>
        </w:drawing>
      </w:r>
    </w:p>
    <w:p w:rsidR="004D37C3" w:rsidRDefault="004D37C3">
      <w:pPr>
        <w:rPr>
          <w:b/>
        </w:rPr>
      </w:pPr>
    </w:p>
    <w:p w:rsidR="004D37C3" w:rsidRDefault="004D37C3">
      <w:pPr>
        <w:rPr>
          <w:b/>
        </w:rPr>
      </w:pPr>
      <w:r>
        <w:rPr>
          <w:b/>
        </w:rPr>
        <w:br w:type="page"/>
      </w:r>
    </w:p>
    <w:p w:rsidR="00BD5C1B" w:rsidRDefault="004D37C3">
      <w:pPr>
        <w:rPr>
          <w:rFonts w:ascii="Arial" w:hAnsi="Arial" w:cs="Arial"/>
          <w:color w:val="000000" w:themeColor="text1"/>
          <w:sz w:val="24"/>
          <w:szCs w:val="24"/>
        </w:rPr>
      </w:pPr>
      <w:r>
        <w:rPr>
          <w:rFonts w:ascii="Arial" w:hAnsi="Arial" w:cs="Arial"/>
          <w:color w:val="000000" w:themeColor="text1"/>
          <w:sz w:val="24"/>
          <w:szCs w:val="24"/>
        </w:rPr>
        <w:lastRenderedPageBreak/>
        <w:t>Figure. S8. A</w:t>
      </w:r>
      <w:r w:rsidRPr="005343E3">
        <w:rPr>
          <w:rFonts w:ascii="Arial" w:hAnsi="Arial" w:cs="Arial"/>
          <w:color w:val="000000" w:themeColor="text1"/>
          <w:sz w:val="24"/>
          <w:szCs w:val="24"/>
        </w:rPr>
        <w:t xml:space="preserve">) Representative images of immunofluorescence staining for CD168 (red) on HK301 cells cultured in either 0.5% (w/v) </w:t>
      </w:r>
      <w:r>
        <w:rPr>
          <w:rFonts w:ascii="Arial" w:hAnsi="Arial" w:cs="Arial"/>
          <w:color w:val="000000" w:themeColor="text1"/>
          <w:sz w:val="24"/>
          <w:szCs w:val="24"/>
        </w:rPr>
        <w:t>or</w:t>
      </w:r>
      <w:r w:rsidRPr="005343E3">
        <w:rPr>
          <w:rFonts w:ascii="Arial" w:hAnsi="Arial" w:cs="Arial"/>
          <w:color w:val="000000" w:themeColor="text1"/>
          <w:sz w:val="24"/>
          <w:szCs w:val="24"/>
        </w:rPr>
        <w:t xml:space="preserve"> 0.1% (w/v) HA hydrogels. Samples were collected from vehicle group at day 6 after initiation of drug treatment. Scale bars = 100 µm.</w:t>
      </w:r>
      <w:r>
        <w:rPr>
          <w:rFonts w:ascii="Arial" w:hAnsi="Arial" w:cs="Arial"/>
          <w:color w:val="000000" w:themeColor="text1"/>
          <w:sz w:val="24"/>
          <w:szCs w:val="24"/>
        </w:rPr>
        <w:t xml:space="preserve"> Arrows indicate localization</w:t>
      </w:r>
      <w:r w:rsidR="004B4F1E">
        <w:rPr>
          <w:rFonts w:ascii="Arial" w:hAnsi="Arial" w:cs="Arial"/>
          <w:color w:val="000000" w:themeColor="text1"/>
          <w:sz w:val="24"/>
          <w:szCs w:val="24"/>
        </w:rPr>
        <w:t xml:space="preserve"> of staining (surrounding the sphere or in nuclei).</w:t>
      </w:r>
    </w:p>
    <w:p w:rsidR="00BD5C1B" w:rsidRDefault="00BD5C1B">
      <w:pPr>
        <w:rPr>
          <w:rFonts w:ascii="Arial" w:hAnsi="Arial" w:cs="Arial"/>
          <w:color w:val="000000" w:themeColor="text1"/>
          <w:sz w:val="24"/>
          <w:szCs w:val="24"/>
        </w:rPr>
      </w:pPr>
      <w:r>
        <w:rPr>
          <w:rFonts w:ascii="Arial" w:hAnsi="Arial" w:cs="Arial"/>
          <w:color w:val="000000" w:themeColor="text1"/>
          <w:sz w:val="24"/>
          <w:szCs w:val="24"/>
        </w:rPr>
        <w:br w:type="page"/>
      </w:r>
    </w:p>
    <w:p w:rsidR="00BD5C1B" w:rsidRDefault="00BD5C1B">
      <w:pPr>
        <w:rPr>
          <w:rFonts w:ascii="Arial" w:hAnsi="Arial" w:cs="Arial"/>
          <w:color w:val="000000" w:themeColor="text1"/>
          <w:sz w:val="24"/>
          <w:szCs w:val="24"/>
        </w:rPr>
      </w:pPr>
      <w:r w:rsidRPr="00BD5C1B">
        <w:rPr>
          <w:rFonts w:ascii="Arial" w:hAnsi="Arial" w:cs="Arial"/>
          <w:noProof/>
          <w:color w:val="000000" w:themeColor="text1"/>
          <w:sz w:val="24"/>
          <w:szCs w:val="24"/>
        </w:rPr>
        <w:lastRenderedPageBreak/>
        <w:drawing>
          <wp:inline distT="0" distB="0" distL="0" distR="0">
            <wp:extent cx="5943600" cy="5596058"/>
            <wp:effectExtent l="0" t="0" r="0" b="5080"/>
            <wp:docPr id="9" name="Picture 9" descr="F:\Dropbox\Shares\Weikun Share Stephanie\manuscript 1\PAPER 1 fig\new figs\Figure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opbox\Shares\Weikun Share Stephanie\manuscript 1\PAPER 1 fig\new figs\Figure S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596058"/>
                    </a:xfrm>
                    <a:prstGeom prst="rect">
                      <a:avLst/>
                    </a:prstGeom>
                    <a:noFill/>
                    <a:ln>
                      <a:noFill/>
                    </a:ln>
                  </pic:spPr>
                </pic:pic>
              </a:graphicData>
            </a:graphic>
          </wp:inline>
        </w:drawing>
      </w:r>
    </w:p>
    <w:p w:rsidR="00BD5C1B" w:rsidRDefault="00BD5C1B">
      <w:pPr>
        <w:rPr>
          <w:rFonts w:ascii="Arial" w:hAnsi="Arial" w:cs="Arial"/>
          <w:color w:val="000000" w:themeColor="text1"/>
          <w:sz w:val="24"/>
          <w:szCs w:val="24"/>
        </w:rPr>
      </w:pPr>
      <w:r>
        <w:rPr>
          <w:rFonts w:ascii="Arial" w:hAnsi="Arial" w:cs="Arial"/>
          <w:color w:val="000000" w:themeColor="text1"/>
          <w:sz w:val="24"/>
          <w:szCs w:val="24"/>
        </w:rPr>
        <w:br w:type="page"/>
      </w:r>
    </w:p>
    <w:p w:rsidR="00BD5C1B" w:rsidRPr="005343E3" w:rsidRDefault="00BD5C1B" w:rsidP="00BD5C1B">
      <w:pPr>
        <w:rPr>
          <w:rFonts w:ascii="Arial" w:hAnsi="Arial" w:cs="Arial"/>
          <w:color w:val="000000" w:themeColor="text1"/>
          <w:sz w:val="24"/>
          <w:szCs w:val="24"/>
        </w:rPr>
      </w:pPr>
      <w:r>
        <w:rPr>
          <w:rFonts w:ascii="Arial" w:hAnsi="Arial" w:cs="Arial"/>
          <w:color w:val="000000" w:themeColor="text1"/>
          <w:sz w:val="24"/>
          <w:szCs w:val="24"/>
        </w:rPr>
        <w:lastRenderedPageBreak/>
        <w:t xml:space="preserve">Figure S9. </w:t>
      </w:r>
      <w:r w:rsidRPr="005343E3">
        <w:rPr>
          <w:rFonts w:ascii="Arial" w:hAnsi="Arial" w:cs="Arial"/>
          <w:color w:val="000000" w:themeColor="text1"/>
          <w:sz w:val="24"/>
          <w:szCs w:val="24"/>
        </w:rPr>
        <w:t>Effects of HA and RGD in hydrogel scaffolds on encapsulate</w:t>
      </w:r>
      <w:r>
        <w:rPr>
          <w:rFonts w:ascii="Arial" w:hAnsi="Arial" w:cs="Arial"/>
          <w:color w:val="000000" w:themeColor="text1"/>
          <w:sz w:val="24"/>
          <w:szCs w:val="24"/>
        </w:rPr>
        <w:t>d HK423 cells. A) Representative</w:t>
      </w:r>
      <w:r w:rsidRPr="005343E3">
        <w:rPr>
          <w:rFonts w:ascii="Arial" w:hAnsi="Arial" w:cs="Arial"/>
          <w:color w:val="000000" w:themeColor="text1"/>
          <w:sz w:val="24"/>
          <w:szCs w:val="24"/>
        </w:rPr>
        <w:t xml:space="preserve"> phase contrast images </w:t>
      </w:r>
      <w:r>
        <w:rPr>
          <w:rFonts w:ascii="Arial" w:hAnsi="Arial" w:cs="Arial"/>
          <w:color w:val="000000" w:themeColor="text1"/>
          <w:sz w:val="24"/>
          <w:szCs w:val="24"/>
        </w:rPr>
        <w:t xml:space="preserve">after </w:t>
      </w:r>
      <w:r w:rsidRPr="005343E3">
        <w:rPr>
          <w:rFonts w:ascii="Arial" w:hAnsi="Arial" w:cs="Arial"/>
          <w:color w:val="000000" w:themeColor="text1"/>
          <w:sz w:val="24"/>
          <w:szCs w:val="24"/>
        </w:rPr>
        <w:t xml:space="preserve">8 days in different hydrogel conditions. </w:t>
      </w:r>
      <w:r>
        <w:rPr>
          <w:rFonts w:ascii="Arial" w:hAnsi="Arial" w:cs="Arial"/>
          <w:color w:val="000000" w:themeColor="text1"/>
          <w:sz w:val="24"/>
          <w:szCs w:val="24"/>
        </w:rPr>
        <w:t xml:space="preserve">Scale bars = 100 </w:t>
      </w:r>
      <w:r w:rsidRPr="005343E3">
        <w:rPr>
          <w:rFonts w:ascii="Arial" w:hAnsi="Arial" w:cs="Arial"/>
          <w:color w:val="000000" w:themeColor="text1"/>
          <w:sz w:val="24"/>
          <w:szCs w:val="24"/>
        </w:rPr>
        <w:t>µ</w:t>
      </w:r>
      <w:r>
        <w:rPr>
          <w:rFonts w:ascii="Arial" w:hAnsi="Arial" w:cs="Arial"/>
          <w:color w:val="000000" w:themeColor="text1"/>
          <w:sz w:val="24"/>
          <w:szCs w:val="24"/>
        </w:rPr>
        <w:t xml:space="preserve">m. </w:t>
      </w:r>
      <w:r w:rsidRPr="005343E3">
        <w:rPr>
          <w:rFonts w:ascii="Arial" w:hAnsi="Arial" w:cs="Arial"/>
          <w:color w:val="000000" w:themeColor="text1"/>
          <w:sz w:val="24"/>
          <w:szCs w:val="24"/>
        </w:rPr>
        <w:t xml:space="preserve">B) </w:t>
      </w:r>
      <w:r>
        <w:rPr>
          <w:rFonts w:ascii="Arial" w:hAnsi="Arial" w:cs="Arial"/>
          <w:color w:val="000000" w:themeColor="text1"/>
          <w:sz w:val="24"/>
          <w:szCs w:val="24"/>
        </w:rPr>
        <w:t>Left panel, W</w:t>
      </w:r>
      <w:r w:rsidRPr="005343E3">
        <w:rPr>
          <w:rFonts w:ascii="Arial" w:hAnsi="Arial" w:cs="Arial"/>
          <w:color w:val="000000" w:themeColor="text1"/>
          <w:sz w:val="24"/>
          <w:szCs w:val="24"/>
        </w:rPr>
        <w:t xml:space="preserve">estern blot </w:t>
      </w:r>
      <w:r>
        <w:rPr>
          <w:rFonts w:ascii="Arial" w:hAnsi="Arial" w:cs="Arial"/>
          <w:color w:val="000000" w:themeColor="text1"/>
          <w:sz w:val="24"/>
          <w:szCs w:val="24"/>
        </w:rPr>
        <w:t>images of HK423</w:t>
      </w:r>
      <w:r w:rsidRPr="005343E3">
        <w:rPr>
          <w:rFonts w:ascii="Arial" w:hAnsi="Arial" w:cs="Arial"/>
          <w:color w:val="000000" w:themeColor="text1"/>
          <w:sz w:val="24"/>
          <w:szCs w:val="24"/>
        </w:rPr>
        <w:t xml:space="preserve"> after 6 days of treatment. “E” - 1µM erlotinib, “ER” - 1µM erlotinib and 50 µM cycloRGD, “R” -  50 µM cyclo-RGD, “V” - vehicle (DMSO in PBS). </w:t>
      </w:r>
      <w:r>
        <w:rPr>
          <w:rFonts w:ascii="Arial" w:hAnsi="Arial" w:cs="Arial"/>
          <w:color w:val="000000" w:themeColor="text1"/>
          <w:sz w:val="24"/>
          <w:szCs w:val="24"/>
        </w:rPr>
        <w:t>Right panel, densitometry analysis of normalized integrated intensity signals of phospho-FAK  and phospho-zyxin (n=3). Error bars represent standard deviation from individual experimental repeats. One-way ANOVA and Tukeys’s multiple comparison test was used. *</w:t>
      </w:r>
      <w:r w:rsidRPr="00872042">
        <w:rPr>
          <w:rFonts w:ascii="Arial" w:hAnsi="Arial" w:cs="Arial"/>
          <w:i/>
          <w:color w:val="000000" w:themeColor="text1"/>
          <w:sz w:val="24"/>
          <w:szCs w:val="24"/>
        </w:rPr>
        <w:t>p</w:t>
      </w:r>
      <w:r>
        <w:rPr>
          <w:rFonts w:ascii="Arial" w:hAnsi="Arial" w:cs="Arial"/>
          <w:color w:val="000000" w:themeColor="text1"/>
          <w:sz w:val="24"/>
          <w:szCs w:val="24"/>
        </w:rPr>
        <w:t>&lt;0.05, **</w:t>
      </w:r>
      <w:r w:rsidRPr="00872042">
        <w:rPr>
          <w:rFonts w:ascii="Arial" w:hAnsi="Arial" w:cs="Arial"/>
          <w:i/>
          <w:color w:val="000000" w:themeColor="text1"/>
          <w:sz w:val="24"/>
          <w:szCs w:val="24"/>
        </w:rPr>
        <w:t>p</w:t>
      </w:r>
      <w:r>
        <w:rPr>
          <w:rFonts w:ascii="Arial" w:hAnsi="Arial" w:cs="Arial"/>
          <w:color w:val="000000" w:themeColor="text1"/>
          <w:sz w:val="24"/>
          <w:szCs w:val="24"/>
        </w:rPr>
        <w:t>&lt;0.01, ***</w:t>
      </w:r>
      <w:r w:rsidRPr="00872042">
        <w:rPr>
          <w:rFonts w:ascii="Arial" w:hAnsi="Arial" w:cs="Arial"/>
          <w:i/>
          <w:color w:val="000000" w:themeColor="text1"/>
          <w:sz w:val="24"/>
          <w:szCs w:val="24"/>
        </w:rPr>
        <w:t>p</w:t>
      </w:r>
      <w:r>
        <w:rPr>
          <w:rFonts w:ascii="Arial" w:hAnsi="Arial" w:cs="Arial"/>
          <w:color w:val="000000" w:themeColor="text1"/>
          <w:sz w:val="24"/>
          <w:szCs w:val="24"/>
        </w:rPr>
        <w:t>&lt;0.001, ****</w:t>
      </w:r>
      <w:r w:rsidRPr="00872042">
        <w:rPr>
          <w:rFonts w:ascii="Arial" w:hAnsi="Arial" w:cs="Arial"/>
          <w:i/>
          <w:color w:val="000000" w:themeColor="text1"/>
          <w:sz w:val="24"/>
          <w:szCs w:val="24"/>
        </w:rPr>
        <w:t>p</w:t>
      </w:r>
      <w:r>
        <w:rPr>
          <w:rFonts w:ascii="Arial" w:hAnsi="Arial" w:cs="Arial"/>
          <w:color w:val="000000" w:themeColor="text1"/>
          <w:sz w:val="24"/>
          <w:szCs w:val="24"/>
        </w:rPr>
        <w:t>&lt;0.0001.</w:t>
      </w:r>
    </w:p>
    <w:p w:rsidR="004B4F1E" w:rsidRDefault="004B4F1E">
      <w:pPr>
        <w:rPr>
          <w:rFonts w:ascii="Arial" w:hAnsi="Arial" w:cs="Arial"/>
          <w:color w:val="000000" w:themeColor="text1"/>
          <w:sz w:val="24"/>
          <w:szCs w:val="24"/>
        </w:rPr>
      </w:pPr>
    </w:p>
    <w:p w:rsidR="004B4F1E" w:rsidRDefault="004B4F1E">
      <w:pPr>
        <w:rPr>
          <w:rFonts w:ascii="Arial" w:hAnsi="Arial" w:cs="Arial"/>
          <w:color w:val="000000" w:themeColor="text1"/>
          <w:sz w:val="24"/>
          <w:szCs w:val="24"/>
        </w:rPr>
      </w:pPr>
      <w:r>
        <w:rPr>
          <w:rFonts w:ascii="Arial" w:hAnsi="Arial" w:cs="Arial"/>
          <w:color w:val="000000" w:themeColor="text1"/>
          <w:sz w:val="24"/>
          <w:szCs w:val="24"/>
        </w:rPr>
        <w:br w:type="page"/>
      </w:r>
    </w:p>
    <w:p w:rsidR="00BD5C1B" w:rsidRDefault="004B4F1E">
      <w:pPr>
        <w:rPr>
          <w:rFonts w:ascii="Arial" w:hAnsi="Arial" w:cs="Arial"/>
          <w:color w:val="000000" w:themeColor="text1"/>
          <w:sz w:val="24"/>
          <w:szCs w:val="24"/>
        </w:rPr>
      </w:pPr>
      <w:r w:rsidRPr="004B4F1E">
        <w:rPr>
          <w:rFonts w:ascii="Arial" w:hAnsi="Arial" w:cs="Arial"/>
          <w:noProof/>
          <w:color w:val="000000" w:themeColor="text1"/>
          <w:sz w:val="24"/>
          <w:szCs w:val="24"/>
        </w:rPr>
        <w:lastRenderedPageBreak/>
        <w:drawing>
          <wp:inline distT="0" distB="0" distL="0" distR="0">
            <wp:extent cx="5900420" cy="5106670"/>
            <wp:effectExtent l="0" t="0" r="5080" b="0"/>
            <wp:docPr id="10" name="Picture 10" descr="F:\Dropbox\Shares\Weikun Share Stephanie\manuscript 1\PAPER 1 fig\new figs\Figure 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ropbox\Shares\Weikun Share Stephanie\manuscript 1\PAPER 1 fig\new figs\Figure S1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0420" cy="5106670"/>
                    </a:xfrm>
                    <a:prstGeom prst="rect">
                      <a:avLst/>
                    </a:prstGeom>
                    <a:noFill/>
                    <a:ln>
                      <a:noFill/>
                    </a:ln>
                  </pic:spPr>
                </pic:pic>
              </a:graphicData>
            </a:graphic>
          </wp:inline>
        </w:drawing>
      </w:r>
    </w:p>
    <w:p w:rsidR="00BD5C1B" w:rsidRDefault="00BD5C1B">
      <w:pPr>
        <w:rPr>
          <w:rFonts w:ascii="Arial" w:hAnsi="Arial" w:cs="Arial"/>
          <w:color w:val="000000" w:themeColor="text1"/>
          <w:sz w:val="24"/>
          <w:szCs w:val="24"/>
        </w:rPr>
      </w:pPr>
      <w:r>
        <w:rPr>
          <w:rFonts w:ascii="Arial" w:hAnsi="Arial" w:cs="Arial"/>
          <w:color w:val="000000" w:themeColor="text1"/>
          <w:sz w:val="24"/>
          <w:szCs w:val="24"/>
        </w:rPr>
        <w:br w:type="page"/>
      </w:r>
    </w:p>
    <w:p w:rsidR="00452E73" w:rsidRDefault="004B4F1E">
      <w:pPr>
        <w:rPr>
          <w:rFonts w:ascii="Arial" w:hAnsi="Arial" w:cs="Arial"/>
          <w:color w:val="000000" w:themeColor="text1"/>
          <w:sz w:val="24"/>
          <w:szCs w:val="24"/>
        </w:rPr>
      </w:pPr>
      <w:r>
        <w:rPr>
          <w:rFonts w:ascii="Arial" w:hAnsi="Arial" w:cs="Arial"/>
          <w:color w:val="000000" w:themeColor="text1"/>
          <w:sz w:val="24"/>
          <w:szCs w:val="24"/>
        </w:rPr>
        <w:lastRenderedPageBreak/>
        <w:t>Figure S10. A) Negative control images for HA staining of adjacent sections in the same tissues shown in Fig. 1C. B) Negative control images for HA staining of adjacent sections in the same tissues shown in Fig. 1D.</w:t>
      </w:r>
    </w:p>
    <w:p w:rsidR="00452E73" w:rsidRDefault="00452E73">
      <w:pPr>
        <w:rPr>
          <w:rFonts w:ascii="Arial" w:hAnsi="Arial" w:cs="Arial"/>
          <w:color w:val="000000" w:themeColor="text1"/>
          <w:sz w:val="24"/>
          <w:szCs w:val="24"/>
        </w:rPr>
      </w:pPr>
      <w:r>
        <w:rPr>
          <w:rFonts w:ascii="Arial" w:hAnsi="Arial" w:cs="Arial"/>
          <w:color w:val="000000" w:themeColor="text1"/>
          <w:sz w:val="24"/>
          <w:szCs w:val="24"/>
        </w:rPr>
        <w:br w:type="page"/>
      </w:r>
    </w:p>
    <w:p w:rsidR="00452E73" w:rsidRDefault="00452E73">
      <w:pPr>
        <w:rPr>
          <w:b/>
        </w:rPr>
      </w:pPr>
      <w:r w:rsidRPr="00452E73">
        <w:rPr>
          <w:b/>
          <w:noProof/>
        </w:rPr>
        <w:lastRenderedPageBreak/>
        <w:drawing>
          <wp:inline distT="0" distB="0" distL="0" distR="0">
            <wp:extent cx="5943600" cy="7072054"/>
            <wp:effectExtent l="0" t="0" r="0" b="0"/>
            <wp:docPr id="11" name="Picture 11" descr="F:\Dropbox\Shares\Weikun Share Stephanie\manuscript 1\PAPER 1 fig\new figs\Figure 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ropbox\Shares\Weikun Share Stephanie\manuscript 1\PAPER 1 fig\new figs\Figure S1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072054"/>
                    </a:xfrm>
                    <a:prstGeom prst="rect">
                      <a:avLst/>
                    </a:prstGeom>
                    <a:noFill/>
                    <a:ln>
                      <a:noFill/>
                    </a:ln>
                  </pic:spPr>
                </pic:pic>
              </a:graphicData>
            </a:graphic>
          </wp:inline>
        </w:drawing>
      </w:r>
    </w:p>
    <w:p w:rsidR="00452E73" w:rsidRDefault="00452E73">
      <w:pPr>
        <w:rPr>
          <w:b/>
        </w:rPr>
      </w:pPr>
      <w:r>
        <w:rPr>
          <w:b/>
        </w:rPr>
        <w:br w:type="page"/>
      </w:r>
    </w:p>
    <w:p w:rsidR="00123BDB" w:rsidRDefault="00452E73" w:rsidP="00452E73">
      <w:pPr>
        <w:tabs>
          <w:tab w:val="left" w:pos="630"/>
        </w:tabs>
        <w:rPr>
          <w:rFonts w:ascii="Arial" w:hAnsi="Arial" w:cs="Arial"/>
          <w:color w:val="000000" w:themeColor="text1"/>
          <w:sz w:val="24"/>
          <w:szCs w:val="24"/>
        </w:rPr>
      </w:pPr>
      <w:r>
        <w:rPr>
          <w:rFonts w:ascii="Arial" w:hAnsi="Arial" w:cs="Arial"/>
          <w:color w:val="000000" w:themeColor="text1"/>
          <w:sz w:val="24"/>
          <w:szCs w:val="24"/>
        </w:rPr>
        <w:lastRenderedPageBreak/>
        <w:t xml:space="preserve">Figure S11. </w:t>
      </w:r>
      <w:r w:rsidRPr="005343E3">
        <w:rPr>
          <w:rFonts w:ascii="Arial" w:hAnsi="Arial" w:cs="Arial"/>
          <w:color w:val="000000" w:themeColor="text1"/>
          <w:sz w:val="24"/>
          <w:szCs w:val="24"/>
        </w:rPr>
        <w:t xml:space="preserve">Hydrogel conditions affect apoptotic efficacy of erlotinib on HK301 cells. A) Representative images of immunofluorescence staining for c-PARP </w:t>
      </w:r>
      <w:r>
        <w:rPr>
          <w:rFonts w:ascii="Arial" w:hAnsi="Arial" w:cs="Arial"/>
          <w:color w:val="000000" w:themeColor="text1"/>
          <w:sz w:val="24"/>
          <w:szCs w:val="24"/>
        </w:rPr>
        <w:t xml:space="preserve">(red) </w:t>
      </w:r>
      <w:r w:rsidRPr="005343E3">
        <w:rPr>
          <w:rFonts w:ascii="Arial" w:hAnsi="Arial" w:cs="Arial"/>
          <w:color w:val="000000" w:themeColor="text1"/>
          <w:sz w:val="24"/>
          <w:szCs w:val="24"/>
        </w:rPr>
        <w:t xml:space="preserve">after 6 days of erlotinib treatment. Scale bars = </w:t>
      </w:r>
      <w:r>
        <w:rPr>
          <w:rFonts w:ascii="Arial" w:hAnsi="Arial" w:cs="Arial"/>
          <w:color w:val="000000" w:themeColor="text1"/>
          <w:sz w:val="24"/>
          <w:szCs w:val="24"/>
        </w:rPr>
        <w:t>2</w:t>
      </w:r>
      <w:r w:rsidRPr="005343E3">
        <w:rPr>
          <w:rFonts w:ascii="Arial" w:hAnsi="Arial" w:cs="Arial"/>
          <w:color w:val="000000" w:themeColor="text1"/>
          <w:sz w:val="24"/>
          <w:szCs w:val="24"/>
        </w:rPr>
        <w:t>00 µm. B) Representative images of immunofluorescence staining for c-PARP</w:t>
      </w:r>
      <w:r>
        <w:rPr>
          <w:rFonts w:ascii="Arial" w:hAnsi="Arial" w:cs="Arial"/>
          <w:color w:val="000000" w:themeColor="text1"/>
          <w:sz w:val="24"/>
          <w:szCs w:val="24"/>
        </w:rPr>
        <w:t xml:space="preserve"> (red)</w:t>
      </w:r>
      <w:r w:rsidRPr="005343E3">
        <w:rPr>
          <w:rFonts w:ascii="Arial" w:hAnsi="Arial" w:cs="Arial"/>
          <w:color w:val="000000" w:themeColor="text1"/>
          <w:sz w:val="24"/>
          <w:szCs w:val="24"/>
        </w:rPr>
        <w:t xml:space="preserve"> after 3 days of treatment with erlotinib and/or cyclo-RGD (or vehicle). HA percentage indicates volume to weight percentage (% w/v).</w:t>
      </w:r>
      <w:r>
        <w:rPr>
          <w:rFonts w:ascii="Arial" w:hAnsi="Arial" w:cs="Arial"/>
          <w:color w:val="000000" w:themeColor="text1"/>
          <w:sz w:val="24"/>
          <w:szCs w:val="24"/>
        </w:rPr>
        <w:t xml:space="preserve"> Nuclear counterstain (Hoechst 33342) in blue. </w:t>
      </w:r>
    </w:p>
    <w:p w:rsidR="00123BDB" w:rsidRDefault="00123BDB">
      <w:pPr>
        <w:rPr>
          <w:rFonts w:ascii="Arial" w:hAnsi="Arial" w:cs="Arial"/>
          <w:color w:val="000000" w:themeColor="text1"/>
          <w:sz w:val="24"/>
          <w:szCs w:val="24"/>
        </w:rPr>
      </w:pPr>
      <w:r>
        <w:rPr>
          <w:rFonts w:ascii="Arial" w:hAnsi="Arial" w:cs="Arial"/>
          <w:color w:val="000000" w:themeColor="text1"/>
          <w:sz w:val="24"/>
          <w:szCs w:val="24"/>
        </w:rPr>
        <w:br w:type="page"/>
      </w:r>
    </w:p>
    <w:p w:rsidR="00123BDB" w:rsidRDefault="00123BDB" w:rsidP="00452E73">
      <w:pPr>
        <w:tabs>
          <w:tab w:val="left" w:pos="630"/>
        </w:tabs>
        <w:rPr>
          <w:rFonts w:ascii="Arial" w:hAnsi="Arial" w:cs="Arial"/>
          <w:color w:val="000000" w:themeColor="text1"/>
          <w:sz w:val="24"/>
          <w:szCs w:val="24"/>
        </w:rPr>
      </w:pPr>
      <w:r w:rsidRPr="00123BDB">
        <w:rPr>
          <w:rFonts w:ascii="Arial" w:hAnsi="Arial" w:cs="Arial"/>
          <w:noProof/>
          <w:color w:val="000000" w:themeColor="text1"/>
          <w:sz w:val="24"/>
          <w:szCs w:val="24"/>
        </w:rPr>
        <w:lastRenderedPageBreak/>
        <w:drawing>
          <wp:inline distT="0" distB="0" distL="0" distR="0">
            <wp:extent cx="5943600" cy="7147267"/>
            <wp:effectExtent l="0" t="0" r="0" b="0"/>
            <wp:docPr id="12" name="Picture 12" descr="F:\Dropbox\Shares\Weikun Share Stephanie\manuscript 1\PAPER 1 fig\new figs\Figure 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ropbox\Shares\Weikun Share Stephanie\manuscript 1\PAPER 1 fig\new figs\Figure S1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147267"/>
                    </a:xfrm>
                    <a:prstGeom prst="rect">
                      <a:avLst/>
                    </a:prstGeom>
                    <a:noFill/>
                    <a:ln>
                      <a:noFill/>
                    </a:ln>
                  </pic:spPr>
                </pic:pic>
              </a:graphicData>
            </a:graphic>
          </wp:inline>
        </w:drawing>
      </w:r>
    </w:p>
    <w:p w:rsidR="00123BDB" w:rsidRDefault="00123BDB">
      <w:pPr>
        <w:rPr>
          <w:rFonts w:ascii="Arial" w:hAnsi="Arial" w:cs="Arial"/>
          <w:color w:val="000000" w:themeColor="text1"/>
          <w:sz w:val="24"/>
          <w:szCs w:val="24"/>
        </w:rPr>
      </w:pPr>
      <w:r>
        <w:rPr>
          <w:rFonts w:ascii="Arial" w:hAnsi="Arial" w:cs="Arial"/>
          <w:color w:val="000000" w:themeColor="text1"/>
          <w:sz w:val="24"/>
          <w:szCs w:val="24"/>
        </w:rPr>
        <w:br w:type="page"/>
      </w:r>
    </w:p>
    <w:p w:rsidR="00452E73" w:rsidRDefault="00123BDB" w:rsidP="00452E73">
      <w:pPr>
        <w:tabs>
          <w:tab w:val="left" w:pos="630"/>
        </w:tabs>
        <w:rPr>
          <w:rFonts w:ascii="Arial" w:hAnsi="Arial" w:cs="Arial"/>
          <w:color w:val="000000" w:themeColor="text1"/>
          <w:sz w:val="24"/>
          <w:szCs w:val="24"/>
        </w:rPr>
      </w:pPr>
      <w:r>
        <w:rPr>
          <w:rFonts w:ascii="Arial" w:hAnsi="Arial" w:cs="Arial"/>
          <w:color w:val="000000" w:themeColor="text1"/>
          <w:sz w:val="24"/>
          <w:szCs w:val="24"/>
        </w:rPr>
        <w:lastRenderedPageBreak/>
        <w:t>Figure. S12.</w:t>
      </w:r>
      <w:r w:rsidRPr="001E51FC">
        <w:rPr>
          <w:rFonts w:ascii="Arial" w:hAnsi="Arial" w:cs="Arial"/>
          <w:color w:val="000000" w:themeColor="text1"/>
          <w:sz w:val="24"/>
          <w:szCs w:val="24"/>
        </w:rPr>
        <w:t xml:space="preserve"> </w:t>
      </w:r>
      <w:r w:rsidRPr="00A57FBD">
        <w:rPr>
          <w:rFonts w:ascii="Arial" w:hAnsi="Arial" w:cs="Arial"/>
          <w:color w:val="000000" w:themeColor="text1"/>
        </w:rPr>
        <w:t xml:space="preserve"> </w:t>
      </w:r>
      <w:r w:rsidRPr="00A57FBD">
        <w:rPr>
          <w:rFonts w:ascii="Arial" w:hAnsi="Arial" w:cs="Arial"/>
          <w:color w:val="000000" w:themeColor="text1"/>
          <w:sz w:val="24"/>
          <w:szCs w:val="24"/>
        </w:rPr>
        <w:t>Verification of band selection by size based on ladder standard for molecular weights</w:t>
      </w:r>
      <w:r>
        <w:rPr>
          <w:rFonts w:ascii="Arial" w:hAnsi="Arial" w:cs="Arial"/>
          <w:color w:val="000000" w:themeColor="text1"/>
          <w:sz w:val="24"/>
          <w:szCs w:val="24"/>
        </w:rPr>
        <w:t xml:space="preserve"> for all</w:t>
      </w:r>
      <w:r w:rsidRPr="005343E3">
        <w:rPr>
          <w:rFonts w:ascii="Arial" w:hAnsi="Arial" w:cs="Arial"/>
          <w:color w:val="000000" w:themeColor="text1"/>
          <w:sz w:val="24"/>
          <w:szCs w:val="24"/>
        </w:rPr>
        <w:t xml:space="preserve"> antibodies used for Western blots</w:t>
      </w:r>
      <w:r>
        <w:rPr>
          <w:rFonts w:ascii="Arial" w:hAnsi="Arial" w:cs="Arial"/>
          <w:color w:val="000000" w:themeColor="text1"/>
          <w:sz w:val="24"/>
          <w:szCs w:val="24"/>
        </w:rPr>
        <w:t xml:space="preserve"> in manuscript. Ladder bands are</w:t>
      </w:r>
      <w:r w:rsidRPr="005343E3">
        <w:rPr>
          <w:rFonts w:ascii="Arial" w:hAnsi="Arial" w:cs="Arial"/>
          <w:color w:val="000000" w:themeColor="text1"/>
          <w:sz w:val="24"/>
          <w:szCs w:val="24"/>
        </w:rPr>
        <w:t xml:space="preserve"> indicated by red lines</w:t>
      </w:r>
    </w:p>
    <w:p w:rsidR="00BF2C54" w:rsidRPr="007B2485" w:rsidRDefault="00BF2C54">
      <w:pPr>
        <w:rPr>
          <w:b/>
        </w:rPr>
      </w:pPr>
    </w:p>
    <w:sectPr w:rsidR="00BF2C54" w:rsidRPr="007B24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CE4" w:rsidRDefault="007D1CE4" w:rsidP="00707DF3">
      <w:pPr>
        <w:spacing w:after="0" w:line="240" w:lineRule="auto"/>
      </w:pPr>
      <w:r>
        <w:separator/>
      </w:r>
    </w:p>
  </w:endnote>
  <w:endnote w:type="continuationSeparator" w:id="0">
    <w:p w:rsidR="007D1CE4" w:rsidRDefault="007D1CE4" w:rsidP="0070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CE4" w:rsidRDefault="007D1CE4" w:rsidP="00707DF3">
      <w:pPr>
        <w:spacing w:after="0" w:line="240" w:lineRule="auto"/>
      </w:pPr>
      <w:r>
        <w:separator/>
      </w:r>
    </w:p>
  </w:footnote>
  <w:footnote w:type="continuationSeparator" w:id="0">
    <w:p w:rsidR="007D1CE4" w:rsidRDefault="007D1CE4" w:rsidP="00707D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7A"/>
    <w:rsid w:val="00015749"/>
    <w:rsid w:val="00123BDB"/>
    <w:rsid w:val="001F08E5"/>
    <w:rsid w:val="003932A4"/>
    <w:rsid w:val="00432DDA"/>
    <w:rsid w:val="00452E73"/>
    <w:rsid w:val="004B4F1E"/>
    <w:rsid w:val="004D37C3"/>
    <w:rsid w:val="004D61AC"/>
    <w:rsid w:val="004D6C99"/>
    <w:rsid w:val="004F06CD"/>
    <w:rsid w:val="005B55DA"/>
    <w:rsid w:val="006520D6"/>
    <w:rsid w:val="006B76EA"/>
    <w:rsid w:val="00707DF3"/>
    <w:rsid w:val="007B2485"/>
    <w:rsid w:val="007C5160"/>
    <w:rsid w:val="007D1CE4"/>
    <w:rsid w:val="007E5BBF"/>
    <w:rsid w:val="00A8557A"/>
    <w:rsid w:val="00BD5C1B"/>
    <w:rsid w:val="00BD7AEB"/>
    <w:rsid w:val="00BF2C54"/>
    <w:rsid w:val="00C8290E"/>
    <w:rsid w:val="00D70EE9"/>
    <w:rsid w:val="00FD6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D89DA"/>
  <w15:chartTrackingRefBased/>
  <w15:docId w15:val="{A0DD7D6A-665B-42E4-9303-94580D65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DF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7DF3"/>
  </w:style>
  <w:style w:type="paragraph" w:styleId="Footer">
    <w:name w:val="footer"/>
    <w:basedOn w:val="Normal"/>
    <w:link w:val="FooterChar"/>
    <w:uiPriority w:val="99"/>
    <w:unhideWhenUsed/>
    <w:rsid w:val="00707D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7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6F9A381-9CB7-4E03-B356-5BF2598B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肖炜琨</dc:creator>
  <cp:keywords/>
  <dc:description/>
  <cp:lastModifiedBy>Kostelnik, Julie</cp:lastModifiedBy>
  <cp:revision>2</cp:revision>
  <dcterms:created xsi:type="dcterms:W3CDTF">2018-01-08T18:03:00Z</dcterms:created>
  <dcterms:modified xsi:type="dcterms:W3CDTF">2018-01-08T18:03:00Z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db89c389-61b5-3535-8ff9-e7f9f6b05b63</vt:lpwstr>
  </property>
  <property fmtid="{D5CDD505-2E9C-101B-9397-08002B2CF9AE}" pid="4" name="Mendeley Citation Style_1">
    <vt:lpwstr>http://csl.mendeley.com/styles/481568411/american-association-for-cancer-research-2</vt:lpwstr>
  </property>
  <property fmtid="{D5CDD505-2E9C-101B-9397-08002B2CF9AE}" pid="5" name="Mendeley Recent Style Id 0_1">
    <vt:lpwstr>http://www.zotero.org/styles/american-association-for-cancer-research</vt:lpwstr>
  </property>
  <property fmtid="{D5CDD505-2E9C-101B-9397-08002B2CF9AE}" pid="6" name="Mendeley Recent Style Name 0_1">
    <vt:lpwstr>American Association for Cancer Research</vt:lpwstr>
  </property>
  <property fmtid="{D5CDD505-2E9C-101B-9397-08002B2CF9AE}" pid="7" name="Mendeley Recent Style Id 1_1">
    <vt:lpwstr>http://csl.mendeley.com/styles/481568411/american-association-for-cancer-research-2</vt:lpwstr>
  </property>
  <property fmtid="{D5CDD505-2E9C-101B-9397-08002B2CF9AE}" pid="8" name="Mendeley Recent Style Name 1_1">
    <vt:lpwstr>American Association for Cancer Research - Weikun Xiao</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