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E09F9" w14:textId="77777777" w:rsidR="00DF377D" w:rsidRDefault="00EC321D" w:rsidP="00EC321D">
      <w:pPr>
        <w:rPr>
          <w:b/>
          <w:sz w:val="24"/>
          <w:szCs w:val="24"/>
        </w:rPr>
      </w:pPr>
      <w:bookmarkStart w:id="0" w:name="_GoBack"/>
      <w:bookmarkEnd w:id="0"/>
      <w:r>
        <w:rPr>
          <w:b/>
          <w:noProof/>
          <w:sz w:val="24"/>
          <w:szCs w:val="24"/>
          <w:lang w:eastAsia="en-US"/>
        </w:rPr>
        <w:drawing>
          <wp:inline distT="0" distB="0" distL="0" distR="0" wp14:anchorId="0EA03164" wp14:editId="5F6FF2D6">
            <wp:extent cx="6858000" cy="824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TIF"/>
                    <pic:cNvPicPr/>
                  </pic:nvPicPr>
                  <pic:blipFill rotWithShape="1">
                    <a:blip r:embed="rId5" cstate="print">
                      <a:extLst>
                        <a:ext uri="{28A0092B-C50C-407E-A947-70E740481C1C}">
                          <a14:useLocalDpi xmlns:a14="http://schemas.microsoft.com/office/drawing/2010/main" val="0"/>
                        </a:ext>
                      </a:extLst>
                    </a:blip>
                    <a:srcRect t="937" b="8854"/>
                    <a:stretch/>
                  </pic:blipFill>
                  <pic:spPr bwMode="auto">
                    <a:xfrm>
                      <a:off x="0" y="0"/>
                      <a:ext cx="6858000" cy="8248650"/>
                    </a:xfrm>
                    <a:prstGeom prst="rect">
                      <a:avLst/>
                    </a:prstGeom>
                    <a:ln>
                      <a:noFill/>
                    </a:ln>
                    <a:extLst>
                      <a:ext uri="{53640926-AAD7-44D8-BBD7-CCE9431645EC}">
                        <a14:shadowObscured xmlns:a14="http://schemas.microsoft.com/office/drawing/2010/main"/>
                      </a:ext>
                    </a:extLst>
                  </pic:spPr>
                </pic:pic>
              </a:graphicData>
            </a:graphic>
          </wp:inline>
        </w:drawing>
      </w:r>
    </w:p>
    <w:p w14:paraId="1B5ABDA2" w14:textId="3DB8D05B" w:rsidR="00EC321D" w:rsidRDefault="00EC321D" w:rsidP="00EC321D">
      <w:pPr>
        <w:rPr>
          <w:sz w:val="24"/>
          <w:szCs w:val="24"/>
        </w:rPr>
      </w:pPr>
      <w:r w:rsidRPr="002F703C">
        <w:rPr>
          <w:b/>
          <w:sz w:val="24"/>
          <w:szCs w:val="24"/>
        </w:rPr>
        <w:t xml:space="preserve">Fig. S3. TIMP3 and MMP3 immunofluorescence in hepatic metastases and analysis of MMP3 knockdown and TIMP3 overexpression. </w:t>
      </w:r>
      <w:r w:rsidRPr="002F703C">
        <w:rPr>
          <w:sz w:val="24"/>
          <w:szCs w:val="24"/>
        </w:rPr>
        <w:t xml:space="preserve">(A-C) Immunofluorescence analysis of the effects of in vivo treatment with Senexin B (33 mg/kg, </w:t>
      </w:r>
      <w:proofErr w:type="spellStart"/>
      <w:r w:rsidRPr="002F703C">
        <w:rPr>
          <w:sz w:val="24"/>
          <w:szCs w:val="24"/>
        </w:rPr>
        <w:t>p.o</w:t>
      </w:r>
      <w:r>
        <w:rPr>
          <w:rFonts w:hint="eastAsia"/>
          <w:sz w:val="24"/>
          <w:szCs w:val="24"/>
        </w:rPr>
        <w:t>.</w:t>
      </w:r>
      <w:proofErr w:type="spellEnd"/>
      <w:r w:rsidRPr="002F703C">
        <w:rPr>
          <w:sz w:val="24"/>
          <w:szCs w:val="24"/>
        </w:rPr>
        <w:t>, daily, in combination with Senexin B-containing diet) or vehicle control on days 11-</w:t>
      </w:r>
      <w:r w:rsidRPr="002F703C">
        <w:rPr>
          <w:sz w:val="24"/>
          <w:szCs w:val="24"/>
        </w:rPr>
        <w:lastRenderedPageBreak/>
        <w:t xml:space="preserve">14 after splenic inoculation on the expression of TIMP3 and MMP3 proteins in hepatic metastases. A: TIMP3 staining in the tumor areas. B: TIMP3 staining in the tumor-free liver areas. C: MMP3 staining in the tumor areas. Scale bars: 20 </w:t>
      </w:r>
      <w:proofErr w:type="spellStart"/>
      <w:r w:rsidRPr="002F703C">
        <w:rPr>
          <w:rFonts w:cstheme="minorHAnsi"/>
          <w:sz w:val="24"/>
          <w:szCs w:val="24"/>
        </w:rPr>
        <w:t>μ</w:t>
      </w:r>
      <w:r w:rsidRPr="002F703C">
        <w:rPr>
          <w:sz w:val="24"/>
          <w:szCs w:val="24"/>
        </w:rPr>
        <w:t>m</w:t>
      </w:r>
      <w:proofErr w:type="spellEnd"/>
      <w:r w:rsidRPr="002F703C">
        <w:rPr>
          <w:sz w:val="24"/>
          <w:szCs w:val="24"/>
        </w:rPr>
        <w:t xml:space="preserve">.  (D) Analysis of the overexpression of human TIMP3 in CT26-VTIMP3 and control CT26-VGFP cells (qPCR, in duplicates). (E) Analysis of CDK8 and mouse TIMP3 expression in VTIMP3 and VGFP cells (qPCR, in duplicates). (F) Dynamics of cell growth of VTIMP3 and VGFP cells. (G) Dynamics of VTIMP3 and VGFP tumor growth </w:t>
      </w:r>
      <w:proofErr w:type="spellStart"/>
      <w:r w:rsidRPr="002F703C">
        <w:rPr>
          <w:sz w:val="24"/>
          <w:szCs w:val="24"/>
        </w:rPr>
        <w:t>s.c.</w:t>
      </w:r>
      <w:proofErr w:type="spellEnd"/>
      <w:r w:rsidRPr="002F703C">
        <w:rPr>
          <w:sz w:val="24"/>
          <w:szCs w:val="24"/>
        </w:rPr>
        <w:t xml:space="preserve"> (H) Images of representative </w:t>
      </w:r>
      <w:proofErr w:type="spellStart"/>
      <w:r w:rsidRPr="002F703C">
        <w:rPr>
          <w:sz w:val="24"/>
          <w:szCs w:val="24"/>
        </w:rPr>
        <w:t>orthotopic</w:t>
      </w:r>
      <w:proofErr w:type="spellEnd"/>
      <w:r w:rsidRPr="002F703C">
        <w:rPr>
          <w:sz w:val="24"/>
          <w:szCs w:val="24"/>
        </w:rPr>
        <w:t xml:space="preserve"> tumors formed by VTIMP3 and VGFP cells after </w:t>
      </w:r>
      <w:proofErr w:type="spellStart"/>
      <w:r w:rsidRPr="002F703C">
        <w:rPr>
          <w:sz w:val="24"/>
          <w:szCs w:val="24"/>
        </w:rPr>
        <w:t>cecal</w:t>
      </w:r>
      <w:proofErr w:type="spellEnd"/>
      <w:r w:rsidRPr="002F703C">
        <w:rPr>
          <w:sz w:val="24"/>
          <w:szCs w:val="24"/>
        </w:rPr>
        <w:t xml:space="preserve"> injection. (I) Analysis of MMP3 knockdown by five different </w:t>
      </w:r>
      <w:proofErr w:type="spellStart"/>
      <w:r w:rsidRPr="002F703C">
        <w:rPr>
          <w:sz w:val="24"/>
          <w:szCs w:val="24"/>
        </w:rPr>
        <w:t>shRNAs</w:t>
      </w:r>
      <w:proofErr w:type="spellEnd"/>
      <w:r w:rsidRPr="002F703C">
        <w:rPr>
          <w:sz w:val="24"/>
          <w:szCs w:val="24"/>
        </w:rPr>
        <w:t>.</w:t>
      </w:r>
      <w:r>
        <w:rPr>
          <w:sz w:val="24"/>
          <w:szCs w:val="24"/>
        </w:rPr>
        <w:t xml:space="preserve"> </w:t>
      </w:r>
      <w:r w:rsidRPr="002F703C">
        <w:rPr>
          <w:sz w:val="24"/>
          <w:szCs w:val="24"/>
        </w:rPr>
        <w:t xml:space="preserve">(J) qPCR analysis of CDK8 and TIMP3 expression in MMP3 knockdown cells (qPCR, in duplicates). (K) Effect of MMP3 knockdown on CT26 cell growth (n = 10) (L) Effect of MMP3 knockdown on the dynamics of CT26 tumor growth </w:t>
      </w:r>
      <w:proofErr w:type="spellStart"/>
      <w:r w:rsidRPr="002F703C">
        <w:rPr>
          <w:sz w:val="24"/>
          <w:szCs w:val="24"/>
        </w:rPr>
        <w:t>s.c.</w:t>
      </w:r>
      <w:proofErr w:type="spellEnd"/>
      <w:r w:rsidRPr="002F703C">
        <w:rPr>
          <w:sz w:val="24"/>
          <w:szCs w:val="24"/>
        </w:rPr>
        <w:t xml:space="preserve"> (n = 10).</w:t>
      </w:r>
    </w:p>
    <w:p w14:paraId="1FFD3409" w14:textId="77777777" w:rsidR="002158C9" w:rsidRDefault="002158C9">
      <w:pPr>
        <w:rPr>
          <w:rFonts w:ascii="Arial" w:hAnsi="Arial" w:cs="Arial"/>
          <w:b/>
          <w:bCs/>
          <w:color w:val="000000" w:themeColor="text1"/>
          <w:kern w:val="24"/>
          <w:sz w:val="20"/>
          <w:szCs w:val="20"/>
        </w:rPr>
      </w:pPr>
    </w:p>
    <w:p w14:paraId="67AAA8A9" w14:textId="1E4C1913" w:rsidR="00F809F8" w:rsidRPr="006A2D2B" w:rsidRDefault="008754C7" w:rsidP="008754C7">
      <w:pPr>
        <w:rPr>
          <w:rFonts w:ascii="Arial" w:hAnsi="Arial" w:cs="Arial"/>
          <w:b/>
          <w:bCs/>
          <w:color w:val="000000" w:themeColor="text1"/>
          <w:kern w:val="24"/>
          <w:sz w:val="20"/>
          <w:szCs w:val="20"/>
        </w:rPr>
      </w:pPr>
      <w:r>
        <w:rPr>
          <w:rFonts w:ascii="Arial" w:hAnsi="Arial" w:cs="Arial"/>
          <w:b/>
          <w:bCs/>
          <w:color w:val="000000" w:themeColor="text1"/>
          <w:kern w:val="24"/>
          <w:sz w:val="20"/>
          <w:szCs w:val="20"/>
        </w:rPr>
        <w:br w:type="page"/>
      </w:r>
    </w:p>
    <w:p w14:paraId="11422C2D" w14:textId="7FCF4A93" w:rsidR="002158C9" w:rsidRDefault="00DF377D" w:rsidP="002158C9">
      <w:pPr>
        <w:rPr>
          <w:rFonts w:ascii="Arial" w:hAnsi="Arial" w:cs="Arial"/>
          <w:b/>
          <w:bCs/>
          <w:color w:val="000000" w:themeColor="text1"/>
          <w:kern w:val="24"/>
          <w:sz w:val="20"/>
          <w:szCs w:val="20"/>
        </w:rPr>
      </w:pPr>
      <w:r>
        <w:rPr>
          <w:rFonts w:ascii="Arial" w:hAnsi="Arial" w:cs="Arial"/>
          <w:b/>
          <w:bCs/>
          <w:noProof/>
          <w:color w:val="000000" w:themeColor="text1"/>
          <w:kern w:val="24"/>
          <w:sz w:val="20"/>
          <w:szCs w:val="20"/>
          <w:lang w:eastAsia="en-US"/>
        </w:rPr>
        <w:lastRenderedPageBreak/>
        <w:drawing>
          <wp:inline distT="0" distB="0" distL="0" distR="0" wp14:anchorId="4E6CD932" wp14:editId="4F0D3DF6">
            <wp:extent cx="6858000" cy="643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TIF"/>
                    <pic:cNvPicPr/>
                  </pic:nvPicPr>
                  <pic:blipFill rotWithShape="1">
                    <a:blip r:embed="rId6" cstate="print">
                      <a:extLst>
                        <a:ext uri="{28A0092B-C50C-407E-A947-70E740481C1C}">
                          <a14:useLocalDpi xmlns:a14="http://schemas.microsoft.com/office/drawing/2010/main" val="0"/>
                        </a:ext>
                      </a:extLst>
                    </a:blip>
                    <a:srcRect t="7293" b="22291"/>
                    <a:stretch/>
                  </pic:blipFill>
                  <pic:spPr bwMode="auto">
                    <a:xfrm>
                      <a:off x="0" y="0"/>
                      <a:ext cx="6858000" cy="6438900"/>
                    </a:xfrm>
                    <a:prstGeom prst="rect">
                      <a:avLst/>
                    </a:prstGeom>
                    <a:ln>
                      <a:noFill/>
                    </a:ln>
                    <a:extLst>
                      <a:ext uri="{53640926-AAD7-44D8-BBD7-CCE9431645EC}">
                        <a14:shadowObscured xmlns:a14="http://schemas.microsoft.com/office/drawing/2010/main"/>
                      </a:ext>
                    </a:extLst>
                  </pic:spPr>
                </pic:pic>
              </a:graphicData>
            </a:graphic>
          </wp:inline>
        </w:drawing>
      </w:r>
    </w:p>
    <w:p w14:paraId="35DEC1AD" w14:textId="77777777" w:rsidR="00DF377D" w:rsidRDefault="00DF377D" w:rsidP="00875053">
      <w:pPr>
        <w:spacing w:line="360" w:lineRule="auto"/>
        <w:rPr>
          <w:rFonts w:ascii="Arial" w:hAnsi="Arial" w:cs="Arial"/>
          <w:b/>
          <w:bCs/>
          <w:color w:val="000000" w:themeColor="text1"/>
          <w:kern w:val="24"/>
          <w:sz w:val="20"/>
          <w:szCs w:val="20"/>
        </w:rPr>
      </w:pPr>
    </w:p>
    <w:p w14:paraId="6413716C" w14:textId="0DB362B7" w:rsidR="006D3349" w:rsidRPr="006A2D2B" w:rsidRDefault="001C4EA8" w:rsidP="00875053">
      <w:pPr>
        <w:spacing w:line="360" w:lineRule="auto"/>
        <w:rPr>
          <w:rFonts w:ascii="Arial" w:hAnsi="Arial" w:cs="Arial"/>
          <w:color w:val="000000" w:themeColor="text1"/>
          <w:kern w:val="24"/>
          <w:sz w:val="20"/>
          <w:szCs w:val="20"/>
        </w:rPr>
      </w:pPr>
      <w:r w:rsidRPr="006A2D2B">
        <w:rPr>
          <w:rFonts w:ascii="Arial" w:hAnsi="Arial" w:cs="Arial"/>
          <w:b/>
          <w:bCs/>
          <w:color w:val="000000" w:themeColor="text1"/>
          <w:kern w:val="24"/>
          <w:sz w:val="20"/>
          <w:szCs w:val="20"/>
        </w:rPr>
        <w:t>Fig.S</w:t>
      </w:r>
      <w:r w:rsidR="002158C9">
        <w:rPr>
          <w:rFonts w:ascii="Arial" w:hAnsi="Arial" w:cs="Arial"/>
          <w:b/>
          <w:bCs/>
          <w:color w:val="000000" w:themeColor="text1"/>
          <w:kern w:val="24"/>
          <w:sz w:val="20"/>
          <w:szCs w:val="20"/>
        </w:rPr>
        <w:t>4</w:t>
      </w:r>
      <w:r w:rsidRPr="006A2D2B">
        <w:rPr>
          <w:rFonts w:ascii="Arial" w:hAnsi="Arial" w:cs="Arial"/>
          <w:b/>
          <w:bCs/>
          <w:color w:val="000000" w:themeColor="text1"/>
          <w:kern w:val="24"/>
          <w:sz w:val="20"/>
          <w:szCs w:val="20"/>
        </w:rPr>
        <w:t>.</w:t>
      </w:r>
      <w:r w:rsidR="006D3349" w:rsidRPr="006A2D2B">
        <w:rPr>
          <w:rFonts w:ascii="Arial" w:hAnsi="Arial" w:cs="Arial"/>
          <w:b/>
          <w:bCs/>
          <w:color w:val="000000" w:themeColor="text1"/>
          <w:kern w:val="24"/>
          <w:sz w:val="20"/>
          <w:szCs w:val="20"/>
        </w:rPr>
        <w:t xml:space="preserve"> Supplemental data for SMAD4, CTNNB1 and STAT1 knockdown and microRNA analysis. </w:t>
      </w:r>
      <w:r w:rsidR="006D3349" w:rsidRPr="006A2D2B">
        <w:rPr>
          <w:rFonts w:ascii="Arial" w:hAnsi="Arial" w:cs="Arial"/>
          <w:color w:val="000000" w:themeColor="text1"/>
          <w:kern w:val="24"/>
          <w:sz w:val="20"/>
          <w:szCs w:val="20"/>
        </w:rPr>
        <w:t>(A) Effects of SMAD4 (left) and CTNNB1 (right) knockdown of on CT26 cell proliferation</w:t>
      </w:r>
      <w:r w:rsidR="005C667E" w:rsidRPr="006A2D2B">
        <w:rPr>
          <w:rFonts w:ascii="Arial" w:hAnsi="Arial" w:cs="Arial"/>
          <w:color w:val="000000" w:themeColor="text1"/>
          <w:kern w:val="24"/>
          <w:sz w:val="20"/>
          <w:szCs w:val="20"/>
        </w:rPr>
        <w:t>; cell numbers measured in duplicate</w:t>
      </w:r>
      <w:r w:rsidR="0010407E">
        <w:rPr>
          <w:rFonts w:ascii="Arial" w:hAnsi="Arial" w:cs="Arial"/>
          <w:color w:val="000000" w:themeColor="text1"/>
          <w:kern w:val="24"/>
          <w:sz w:val="20"/>
          <w:szCs w:val="20"/>
        </w:rPr>
        <w:t>s</w:t>
      </w:r>
      <w:r w:rsidR="006D3349" w:rsidRPr="006A2D2B">
        <w:rPr>
          <w:rFonts w:ascii="Arial" w:hAnsi="Arial" w:cs="Arial"/>
          <w:color w:val="000000" w:themeColor="text1"/>
          <w:kern w:val="24"/>
          <w:sz w:val="20"/>
          <w:szCs w:val="20"/>
        </w:rPr>
        <w:t xml:space="preserve"> (B) Effects of SMAD4 knockdown on the expression of MMP3 in the absence or presence of 1 </w:t>
      </w:r>
      <w:proofErr w:type="spellStart"/>
      <w:r w:rsidR="006D3349" w:rsidRPr="006A2D2B">
        <w:rPr>
          <w:rFonts w:ascii="Arial" w:hAnsi="Arial" w:cs="Arial"/>
          <w:color w:val="000000" w:themeColor="text1"/>
          <w:kern w:val="24"/>
          <w:sz w:val="20"/>
          <w:szCs w:val="20"/>
        </w:rPr>
        <w:t>μM</w:t>
      </w:r>
      <w:proofErr w:type="spellEnd"/>
      <w:r w:rsidR="006D3349" w:rsidRPr="006A2D2B">
        <w:rPr>
          <w:rFonts w:ascii="Arial" w:hAnsi="Arial" w:cs="Arial"/>
          <w:color w:val="000000" w:themeColor="text1"/>
          <w:kern w:val="24"/>
          <w:sz w:val="20"/>
          <w:szCs w:val="20"/>
        </w:rPr>
        <w:t xml:space="preserve"> Senexin B (24 </w:t>
      </w:r>
      <w:proofErr w:type="spellStart"/>
      <w:r w:rsidR="006D3349" w:rsidRPr="006A2D2B">
        <w:rPr>
          <w:rFonts w:ascii="Arial" w:hAnsi="Arial" w:cs="Arial"/>
          <w:color w:val="000000" w:themeColor="text1"/>
          <w:kern w:val="24"/>
          <w:sz w:val="20"/>
          <w:szCs w:val="20"/>
        </w:rPr>
        <w:t>hr</w:t>
      </w:r>
      <w:proofErr w:type="spellEnd"/>
      <w:r w:rsidR="006D3349" w:rsidRPr="006A2D2B">
        <w:rPr>
          <w:rFonts w:ascii="Arial" w:hAnsi="Arial" w:cs="Arial"/>
          <w:color w:val="000000" w:themeColor="text1"/>
          <w:kern w:val="24"/>
          <w:sz w:val="20"/>
          <w:szCs w:val="20"/>
        </w:rPr>
        <w:t xml:space="preserve"> treatment) (qPCR</w:t>
      </w:r>
      <w:bookmarkStart w:id="1" w:name="_Hlk513451770"/>
      <w:r w:rsidR="005C667E" w:rsidRPr="006A2D2B">
        <w:rPr>
          <w:rFonts w:ascii="Arial" w:hAnsi="Arial" w:cs="Arial"/>
          <w:color w:val="000000" w:themeColor="text1"/>
          <w:kern w:val="24"/>
          <w:sz w:val="20"/>
          <w:szCs w:val="20"/>
        </w:rPr>
        <w:t>, in duplicates</w:t>
      </w:r>
      <w:bookmarkEnd w:id="1"/>
      <w:r w:rsidR="006D3349" w:rsidRPr="006A2D2B">
        <w:rPr>
          <w:rFonts w:ascii="Arial" w:hAnsi="Arial" w:cs="Arial"/>
          <w:color w:val="000000" w:themeColor="text1"/>
          <w:kern w:val="24"/>
          <w:sz w:val="20"/>
          <w:szCs w:val="20"/>
        </w:rPr>
        <w:t xml:space="preserve">). (C) Effects of CTNNB1 knockdown on the expression of TIMP3 in the absence or presence of 1 </w:t>
      </w:r>
      <w:proofErr w:type="spellStart"/>
      <w:r w:rsidR="006D3349" w:rsidRPr="006A2D2B">
        <w:rPr>
          <w:rFonts w:ascii="Arial" w:hAnsi="Arial" w:cs="Arial"/>
          <w:color w:val="000000" w:themeColor="text1"/>
          <w:kern w:val="24"/>
          <w:sz w:val="20"/>
          <w:szCs w:val="20"/>
        </w:rPr>
        <w:t>μM</w:t>
      </w:r>
      <w:proofErr w:type="spellEnd"/>
      <w:r w:rsidR="006D3349" w:rsidRPr="006A2D2B">
        <w:rPr>
          <w:rFonts w:ascii="Arial" w:hAnsi="Arial" w:cs="Arial"/>
          <w:color w:val="000000" w:themeColor="text1"/>
          <w:kern w:val="24"/>
          <w:sz w:val="20"/>
          <w:szCs w:val="20"/>
        </w:rPr>
        <w:t xml:space="preserve"> Senexin B (24 </w:t>
      </w:r>
      <w:proofErr w:type="spellStart"/>
      <w:r w:rsidR="006D3349" w:rsidRPr="006A2D2B">
        <w:rPr>
          <w:rFonts w:ascii="Arial" w:hAnsi="Arial" w:cs="Arial"/>
          <w:color w:val="000000" w:themeColor="text1"/>
          <w:kern w:val="24"/>
          <w:sz w:val="20"/>
          <w:szCs w:val="20"/>
        </w:rPr>
        <w:t>hr</w:t>
      </w:r>
      <w:proofErr w:type="spellEnd"/>
      <w:r w:rsidR="006D3349" w:rsidRPr="006A2D2B">
        <w:rPr>
          <w:rFonts w:ascii="Arial" w:hAnsi="Arial" w:cs="Arial"/>
          <w:color w:val="000000" w:themeColor="text1"/>
          <w:kern w:val="24"/>
          <w:sz w:val="20"/>
          <w:szCs w:val="20"/>
        </w:rPr>
        <w:t xml:space="preserve"> treatment) (qPCR</w:t>
      </w:r>
      <w:r w:rsidR="005C667E" w:rsidRPr="006A2D2B">
        <w:rPr>
          <w:rFonts w:ascii="Arial" w:hAnsi="Arial" w:cs="Arial"/>
          <w:color w:val="000000" w:themeColor="text1"/>
          <w:kern w:val="24"/>
          <w:sz w:val="20"/>
          <w:szCs w:val="20"/>
        </w:rPr>
        <w:t>, in duplicates</w:t>
      </w:r>
      <w:r w:rsidR="006D3349" w:rsidRPr="006A2D2B">
        <w:rPr>
          <w:rFonts w:ascii="Arial" w:hAnsi="Arial" w:cs="Arial"/>
          <w:color w:val="000000" w:themeColor="text1"/>
          <w:kern w:val="24"/>
          <w:sz w:val="20"/>
          <w:szCs w:val="20"/>
        </w:rPr>
        <w:t>). (D) Expression of the indicated microRNAs in CT26-pLKO.1, CT26-shCDK8 or CT26-shSMAD4 cells untreated or treated with 1 µM Senexin B (qPCR</w:t>
      </w:r>
      <w:r w:rsidR="005C667E" w:rsidRPr="006A2D2B">
        <w:rPr>
          <w:rFonts w:ascii="Arial" w:hAnsi="Arial" w:cs="Arial"/>
          <w:color w:val="000000" w:themeColor="text1"/>
          <w:kern w:val="24"/>
          <w:sz w:val="20"/>
          <w:szCs w:val="20"/>
        </w:rPr>
        <w:t>, in duplicates</w:t>
      </w:r>
      <w:r w:rsidR="006D3349" w:rsidRPr="006A2D2B">
        <w:rPr>
          <w:rFonts w:ascii="Arial" w:hAnsi="Arial" w:cs="Arial"/>
          <w:color w:val="000000" w:themeColor="text1"/>
          <w:kern w:val="24"/>
          <w:sz w:val="20"/>
          <w:szCs w:val="20"/>
        </w:rPr>
        <w:t xml:space="preserve">). (E) CDK8 expression in the indicated CT26 derivatives transfected with </w:t>
      </w:r>
      <w:proofErr w:type="spellStart"/>
      <w:r w:rsidR="006D3349" w:rsidRPr="006A2D2B">
        <w:rPr>
          <w:rFonts w:ascii="Arial" w:hAnsi="Arial" w:cs="Arial"/>
          <w:color w:val="000000" w:themeColor="text1"/>
          <w:kern w:val="24"/>
          <w:sz w:val="20"/>
          <w:szCs w:val="20"/>
        </w:rPr>
        <w:t>miR</w:t>
      </w:r>
      <w:proofErr w:type="spellEnd"/>
      <w:r w:rsidR="006D3349" w:rsidRPr="006A2D2B">
        <w:rPr>
          <w:rFonts w:ascii="Arial" w:hAnsi="Arial" w:cs="Arial"/>
          <w:color w:val="000000" w:themeColor="text1"/>
          <w:kern w:val="24"/>
          <w:sz w:val="20"/>
          <w:szCs w:val="20"/>
        </w:rPr>
        <w:t>-control mimic, miR-181b mimic or miR-181b inhibitor in the presence of 1 µM Senexin B (qPCR</w:t>
      </w:r>
      <w:r w:rsidR="005C667E" w:rsidRPr="006A2D2B">
        <w:rPr>
          <w:rFonts w:ascii="Arial" w:hAnsi="Arial" w:cs="Arial"/>
          <w:color w:val="000000" w:themeColor="text1"/>
          <w:kern w:val="24"/>
          <w:sz w:val="20"/>
          <w:szCs w:val="20"/>
        </w:rPr>
        <w:t>, in duplicates</w:t>
      </w:r>
      <w:r w:rsidR="006D3349" w:rsidRPr="006A2D2B">
        <w:rPr>
          <w:rFonts w:ascii="Arial" w:hAnsi="Arial" w:cs="Arial"/>
          <w:color w:val="000000" w:themeColor="text1"/>
          <w:kern w:val="24"/>
          <w:sz w:val="20"/>
          <w:szCs w:val="20"/>
        </w:rPr>
        <w:t xml:space="preserve">). * denotes P&lt;0.05, ** denotes P&lt;0.01 and *** denotes P&lt;0.001. (F) STAT1 knockdown by two different </w:t>
      </w:r>
      <w:proofErr w:type="spellStart"/>
      <w:r w:rsidR="006D3349" w:rsidRPr="006A2D2B">
        <w:rPr>
          <w:rFonts w:ascii="Arial" w:hAnsi="Arial" w:cs="Arial"/>
          <w:color w:val="000000" w:themeColor="text1"/>
          <w:kern w:val="24"/>
          <w:sz w:val="20"/>
          <w:szCs w:val="20"/>
        </w:rPr>
        <w:t>shRNAs</w:t>
      </w:r>
      <w:proofErr w:type="spellEnd"/>
      <w:r w:rsidR="006D3349" w:rsidRPr="006A2D2B">
        <w:rPr>
          <w:rFonts w:ascii="Arial" w:hAnsi="Arial" w:cs="Arial"/>
          <w:color w:val="000000" w:themeColor="text1"/>
          <w:kern w:val="24"/>
          <w:sz w:val="20"/>
          <w:szCs w:val="20"/>
        </w:rPr>
        <w:t xml:space="preserve"> in CT26 cells (immunoblotting). (G) Expression of MMP3 and TIMP3 in CT26 cells with STAT1 knockdown (qPCR</w:t>
      </w:r>
      <w:r w:rsidR="005C667E" w:rsidRPr="006A2D2B">
        <w:rPr>
          <w:rFonts w:ascii="Arial" w:hAnsi="Arial" w:cs="Arial"/>
          <w:color w:val="000000" w:themeColor="text1"/>
          <w:kern w:val="24"/>
          <w:sz w:val="20"/>
          <w:szCs w:val="20"/>
        </w:rPr>
        <w:t>, in duplicates</w:t>
      </w:r>
      <w:r w:rsidR="006D3349" w:rsidRPr="006A2D2B">
        <w:rPr>
          <w:rFonts w:ascii="Arial" w:hAnsi="Arial" w:cs="Arial"/>
          <w:color w:val="000000" w:themeColor="text1"/>
          <w:kern w:val="24"/>
          <w:sz w:val="20"/>
          <w:szCs w:val="20"/>
        </w:rPr>
        <w:t xml:space="preserve">). </w:t>
      </w:r>
    </w:p>
    <w:p w14:paraId="0B822AD8" w14:textId="61281810" w:rsidR="001C4EA8" w:rsidRPr="006A2D2B" w:rsidRDefault="00DF377D">
      <w:pPr>
        <w:rPr>
          <w:rFonts w:cs="Arial"/>
          <w:b/>
          <w:sz w:val="24"/>
          <w:szCs w:val="24"/>
        </w:rPr>
      </w:pPr>
      <w:r>
        <w:rPr>
          <w:rFonts w:cs="Arial"/>
          <w:b/>
          <w:noProof/>
          <w:sz w:val="24"/>
          <w:szCs w:val="24"/>
          <w:lang w:eastAsia="en-US"/>
        </w:rPr>
        <w:lastRenderedPageBreak/>
        <w:drawing>
          <wp:inline distT="0" distB="0" distL="0" distR="0" wp14:anchorId="5A301745" wp14:editId="35440653">
            <wp:extent cx="6858000" cy="478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5.TIF"/>
                    <pic:cNvPicPr/>
                  </pic:nvPicPr>
                  <pic:blipFill rotWithShape="1">
                    <a:blip r:embed="rId7" cstate="print">
                      <a:extLst>
                        <a:ext uri="{28A0092B-C50C-407E-A947-70E740481C1C}">
                          <a14:useLocalDpi xmlns:a14="http://schemas.microsoft.com/office/drawing/2010/main" val="0"/>
                        </a:ext>
                      </a:extLst>
                    </a:blip>
                    <a:srcRect t="10729" b="36979"/>
                    <a:stretch/>
                  </pic:blipFill>
                  <pic:spPr bwMode="auto">
                    <a:xfrm>
                      <a:off x="0" y="0"/>
                      <a:ext cx="6858000" cy="4781550"/>
                    </a:xfrm>
                    <a:prstGeom prst="rect">
                      <a:avLst/>
                    </a:prstGeom>
                    <a:ln>
                      <a:noFill/>
                    </a:ln>
                    <a:extLst>
                      <a:ext uri="{53640926-AAD7-44D8-BBD7-CCE9431645EC}">
                        <a14:shadowObscured xmlns:a14="http://schemas.microsoft.com/office/drawing/2010/main"/>
                      </a:ext>
                    </a:extLst>
                  </pic:spPr>
                </pic:pic>
              </a:graphicData>
            </a:graphic>
          </wp:inline>
        </w:drawing>
      </w:r>
    </w:p>
    <w:p w14:paraId="1D0B4DC5" w14:textId="77777777" w:rsidR="008D023A" w:rsidRPr="006A2D2B" w:rsidRDefault="008D023A">
      <w:pPr>
        <w:rPr>
          <w:rFonts w:ascii="Arial" w:hAnsi="Arial" w:cs="Arial"/>
          <w:b/>
          <w:bCs/>
          <w:color w:val="000000" w:themeColor="text1"/>
          <w:kern w:val="24"/>
          <w:sz w:val="20"/>
          <w:szCs w:val="20"/>
        </w:rPr>
      </w:pPr>
    </w:p>
    <w:p w14:paraId="50268DE4" w14:textId="350FE462" w:rsidR="007B4E5E" w:rsidRPr="005248CA" w:rsidRDefault="00B0483D" w:rsidP="006C0AF1">
      <w:pPr>
        <w:spacing w:line="360" w:lineRule="auto"/>
        <w:rPr>
          <w:b/>
          <w:sz w:val="24"/>
        </w:rPr>
      </w:pPr>
      <w:r w:rsidRPr="006A2D2B">
        <w:rPr>
          <w:rFonts w:ascii="Arial" w:hAnsi="Arial" w:cs="Arial"/>
          <w:b/>
          <w:bCs/>
          <w:color w:val="000000" w:themeColor="text1"/>
          <w:kern w:val="24"/>
          <w:sz w:val="20"/>
          <w:szCs w:val="20"/>
        </w:rPr>
        <w:t>Fig.S</w:t>
      </w:r>
      <w:r w:rsidR="00434536">
        <w:rPr>
          <w:rFonts w:ascii="Arial" w:hAnsi="Arial" w:cs="Arial"/>
          <w:b/>
          <w:bCs/>
          <w:color w:val="000000" w:themeColor="text1"/>
          <w:kern w:val="24"/>
          <w:sz w:val="20"/>
          <w:szCs w:val="20"/>
        </w:rPr>
        <w:t>5</w:t>
      </w:r>
      <w:r w:rsidRPr="006A2D2B">
        <w:rPr>
          <w:rFonts w:ascii="Arial" w:hAnsi="Arial" w:cs="Arial"/>
          <w:b/>
          <w:bCs/>
          <w:color w:val="000000" w:themeColor="text1"/>
          <w:kern w:val="24"/>
          <w:sz w:val="20"/>
          <w:szCs w:val="20"/>
        </w:rPr>
        <w:t>.</w:t>
      </w:r>
      <w:r w:rsidR="002F494E" w:rsidRPr="006A2D2B">
        <w:rPr>
          <w:rFonts w:ascii="Arial" w:hAnsi="Arial" w:cs="Arial"/>
          <w:b/>
          <w:bCs/>
          <w:color w:val="000000" w:themeColor="text1"/>
          <w:kern w:val="24"/>
          <w:sz w:val="20"/>
          <w:szCs w:val="20"/>
        </w:rPr>
        <w:t xml:space="preserve"> Effects of Senexin B on the expression of different MMPs in a panel of human colon cancer cell lines and human colon cancer growth </w:t>
      </w:r>
      <w:proofErr w:type="spellStart"/>
      <w:r w:rsidR="002F494E" w:rsidRPr="006A2D2B">
        <w:rPr>
          <w:rFonts w:ascii="Arial" w:hAnsi="Arial" w:cs="Arial"/>
          <w:b/>
          <w:bCs/>
          <w:color w:val="000000" w:themeColor="text1"/>
          <w:kern w:val="24"/>
          <w:sz w:val="20"/>
          <w:szCs w:val="20"/>
        </w:rPr>
        <w:t>s.c.</w:t>
      </w:r>
      <w:proofErr w:type="spellEnd"/>
      <w:r w:rsidR="002F494E" w:rsidRPr="006A2D2B">
        <w:rPr>
          <w:rFonts w:ascii="Arial" w:hAnsi="Arial" w:cs="Arial"/>
          <w:b/>
          <w:bCs/>
          <w:color w:val="000000" w:themeColor="text1"/>
          <w:kern w:val="24"/>
          <w:sz w:val="20"/>
          <w:szCs w:val="20"/>
        </w:rPr>
        <w:t xml:space="preserve"> </w:t>
      </w:r>
      <w:r w:rsidR="002F494E" w:rsidRPr="006A2D2B">
        <w:rPr>
          <w:rFonts w:ascii="Arial" w:hAnsi="Arial" w:cs="Arial"/>
          <w:bCs/>
          <w:color w:val="000000" w:themeColor="text1"/>
          <w:kern w:val="24"/>
          <w:sz w:val="20"/>
          <w:szCs w:val="20"/>
        </w:rPr>
        <w:t xml:space="preserve">(A) Effects of Senexin B on the expression of different MMPs in a panel of human colon cancer cell lines. </w:t>
      </w:r>
      <w:r w:rsidR="002F494E" w:rsidRPr="006A2D2B">
        <w:rPr>
          <w:rFonts w:ascii="Arial" w:hAnsi="Arial" w:cs="Arial"/>
          <w:color w:val="000000" w:themeColor="text1"/>
          <w:kern w:val="24"/>
          <w:sz w:val="20"/>
          <w:szCs w:val="20"/>
        </w:rPr>
        <w:t>qPCR analysis of the effects of 1 µM Senexin B (24 h treatment) on the expression of the indicated MMPs in the indicated cell lines</w:t>
      </w:r>
      <w:r w:rsidR="005C667E" w:rsidRPr="006A2D2B">
        <w:rPr>
          <w:rFonts w:ascii="Arial" w:hAnsi="Arial" w:cs="Arial"/>
          <w:color w:val="000000" w:themeColor="text1"/>
          <w:kern w:val="24"/>
          <w:sz w:val="20"/>
          <w:szCs w:val="20"/>
        </w:rPr>
        <w:t xml:space="preserve"> (qPCR, in duplicates). </w:t>
      </w:r>
      <w:r w:rsidR="006349BA" w:rsidRPr="006A2D2B">
        <w:rPr>
          <w:rFonts w:ascii="Arial" w:hAnsi="Arial" w:cs="Arial"/>
          <w:color w:val="000000" w:themeColor="text1"/>
          <w:kern w:val="24"/>
          <w:sz w:val="20"/>
          <w:szCs w:val="20"/>
        </w:rPr>
        <w:t xml:space="preserve">(B) Dynamics of HCT116 tumor growth </w:t>
      </w:r>
      <w:proofErr w:type="spellStart"/>
      <w:r w:rsidR="006349BA" w:rsidRPr="006A2D2B">
        <w:rPr>
          <w:rFonts w:ascii="Arial" w:hAnsi="Arial" w:cs="Arial"/>
          <w:color w:val="000000" w:themeColor="text1"/>
          <w:kern w:val="24"/>
          <w:sz w:val="20"/>
          <w:szCs w:val="20"/>
        </w:rPr>
        <w:t>s.c.</w:t>
      </w:r>
      <w:proofErr w:type="spellEnd"/>
      <w:r w:rsidR="006349BA" w:rsidRPr="006A2D2B">
        <w:rPr>
          <w:rFonts w:ascii="Arial" w:hAnsi="Arial" w:cs="Arial"/>
          <w:color w:val="000000" w:themeColor="text1"/>
          <w:kern w:val="24"/>
          <w:sz w:val="20"/>
          <w:szCs w:val="20"/>
        </w:rPr>
        <w:t xml:space="preserve"> in mice treated with Senexin B </w:t>
      </w:r>
      <w:r w:rsidR="0040734E" w:rsidRPr="006A2D2B">
        <w:rPr>
          <w:rFonts w:ascii="Arial" w:hAnsi="Arial" w:cs="Arial"/>
          <w:kern w:val="24"/>
          <w:sz w:val="20"/>
          <w:szCs w:val="20"/>
        </w:rPr>
        <w:t xml:space="preserve">(33 mg/kg, </w:t>
      </w:r>
      <w:proofErr w:type="spellStart"/>
      <w:r w:rsidR="0040734E" w:rsidRPr="006A2D2B">
        <w:rPr>
          <w:rFonts w:ascii="Arial" w:hAnsi="Arial" w:cs="Arial"/>
          <w:kern w:val="24"/>
          <w:sz w:val="20"/>
          <w:szCs w:val="20"/>
        </w:rPr>
        <w:t>p.o.</w:t>
      </w:r>
      <w:proofErr w:type="spellEnd"/>
      <w:r w:rsidR="0040734E" w:rsidRPr="006A2D2B">
        <w:rPr>
          <w:rFonts w:ascii="Arial" w:hAnsi="Arial" w:cs="Arial"/>
          <w:kern w:val="24"/>
          <w:sz w:val="20"/>
          <w:szCs w:val="20"/>
        </w:rPr>
        <w:t xml:space="preserve">, </w:t>
      </w:r>
      <w:proofErr w:type="spellStart"/>
      <w:r w:rsidR="0040734E" w:rsidRPr="006A2D2B">
        <w:rPr>
          <w:rFonts w:ascii="Arial" w:hAnsi="Arial" w:cs="Arial"/>
          <w:kern w:val="24"/>
          <w:sz w:val="20"/>
          <w:szCs w:val="20"/>
        </w:rPr>
        <w:t>b.i.d</w:t>
      </w:r>
      <w:proofErr w:type="spellEnd"/>
      <w:r w:rsidR="0040734E" w:rsidRPr="006A2D2B">
        <w:rPr>
          <w:rFonts w:ascii="Arial" w:hAnsi="Arial" w:cs="Arial"/>
          <w:kern w:val="24"/>
          <w:sz w:val="20"/>
          <w:szCs w:val="20"/>
        </w:rPr>
        <w:t>)</w:t>
      </w:r>
      <w:r w:rsidR="006349BA" w:rsidRPr="006A2D2B">
        <w:rPr>
          <w:rFonts w:ascii="Arial" w:hAnsi="Arial" w:cs="Arial"/>
          <w:kern w:val="24"/>
          <w:sz w:val="20"/>
          <w:szCs w:val="20"/>
        </w:rPr>
        <w:t xml:space="preserve"> or vehicl</w:t>
      </w:r>
      <w:r w:rsidR="006349BA" w:rsidRPr="006A2D2B">
        <w:rPr>
          <w:rFonts w:ascii="Arial" w:hAnsi="Arial" w:cs="Arial"/>
          <w:color w:val="000000" w:themeColor="text1"/>
          <w:kern w:val="24"/>
          <w:sz w:val="20"/>
          <w:szCs w:val="20"/>
        </w:rPr>
        <w:t>e control</w:t>
      </w:r>
      <w:r w:rsidR="005C667E" w:rsidRPr="006A2D2B">
        <w:rPr>
          <w:rFonts w:ascii="Arial" w:hAnsi="Arial" w:cs="Arial"/>
          <w:color w:val="000000" w:themeColor="text1"/>
          <w:kern w:val="24"/>
          <w:sz w:val="20"/>
          <w:szCs w:val="20"/>
        </w:rPr>
        <w:t xml:space="preserve"> (n = 5)</w:t>
      </w:r>
      <w:r w:rsidR="006349BA" w:rsidRPr="006A2D2B">
        <w:rPr>
          <w:rFonts w:ascii="Arial" w:hAnsi="Arial" w:cs="Arial"/>
          <w:color w:val="000000" w:themeColor="text1"/>
          <w:kern w:val="24"/>
          <w:sz w:val="20"/>
          <w:szCs w:val="20"/>
        </w:rPr>
        <w:t xml:space="preserve">. </w:t>
      </w:r>
    </w:p>
    <w:p w14:paraId="721E520B" w14:textId="77777777" w:rsidR="007B4E5E" w:rsidRDefault="007B4E5E">
      <w:pPr>
        <w:rPr>
          <w:rFonts w:cs="Arial"/>
          <w:b/>
          <w:sz w:val="24"/>
          <w:szCs w:val="24"/>
        </w:rPr>
      </w:pPr>
    </w:p>
    <w:sectPr w:rsidR="007B4E5E" w:rsidSect="003C78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00000287"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F5B"/>
    <w:rsid w:val="00000247"/>
    <w:rsid w:val="00065D8E"/>
    <w:rsid w:val="00067807"/>
    <w:rsid w:val="0007397B"/>
    <w:rsid w:val="00083B69"/>
    <w:rsid w:val="00100158"/>
    <w:rsid w:val="0010407E"/>
    <w:rsid w:val="0010714C"/>
    <w:rsid w:val="00150388"/>
    <w:rsid w:val="001B6D85"/>
    <w:rsid w:val="001C4EA8"/>
    <w:rsid w:val="001D758C"/>
    <w:rsid w:val="00202939"/>
    <w:rsid w:val="002158C9"/>
    <w:rsid w:val="002239EE"/>
    <w:rsid w:val="00242F3E"/>
    <w:rsid w:val="00285C0A"/>
    <w:rsid w:val="002A7320"/>
    <w:rsid w:val="002B0C9B"/>
    <w:rsid w:val="002D0B36"/>
    <w:rsid w:val="002F494E"/>
    <w:rsid w:val="00342624"/>
    <w:rsid w:val="003462ED"/>
    <w:rsid w:val="0037153F"/>
    <w:rsid w:val="003760F3"/>
    <w:rsid w:val="003A313F"/>
    <w:rsid w:val="003B7CC5"/>
    <w:rsid w:val="003C764C"/>
    <w:rsid w:val="003C78BE"/>
    <w:rsid w:val="003E23E0"/>
    <w:rsid w:val="0040734E"/>
    <w:rsid w:val="00411E9D"/>
    <w:rsid w:val="00416A45"/>
    <w:rsid w:val="00434536"/>
    <w:rsid w:val="00475E42"/>
    <w:rsid w:val="00525C04"/>
    <w:rsid w:val="00530205"/>
    <w:rsid w:val="00582BA1"/>
    <w:rsid w:val="00585B45"/>
    <w:rsid w:val="00596DFF"/>
    <w:rsid w:val="005B3A1F"/>
    <w:rsid w:val="005C667E"/>
    <w:rsid w:val="005D31D6"/>
    <w:rsid w:val="005D4072"/>
    <w:rsid w:val="005D4AB6"/>
    <w:rsid w:val="005E5548"/>
    <w:rsid w:val="00625465"/>
    <w:rsid w:val="00627003"/>
    <w:rsid w:val="00630C55"/>
    <w:rsid w:val="006349BA"/>
    <w:rsid w:val="00637509"/>
    <w:rsid w:val="0064487A"/>
    <w:rsid w:val="006920B1"/>
    <w:rsid w:val="006A2D2B"/>
    <w:rsid w:val="006C0AF1"/>
    <w:rsid w:val="006C0F6F"/>
    <w:rsid w:val="006D3349"/>
    <w:rsid w:val="006D59ED"/>
    <w:rsid w:val="006D7A9D"/>
    <w:rsid w:val="006E179C"/>
    <w:rsid w:val="006F67A9"/>
    <w:rsid w:val="00741337"/>
    <w:rsid w:val="00766B3A"/>
    <w:rsid w:val="00775851"/>
    <w:rsid w:val="007B4E5E"/>
    <w:rsid w:val="007B73F7"/>
    <w:rsid w:val="008209F5"/>
    <w:rsid w:val="008250A1"/>
    <w:rsid w:val="008637C8"/>
    <w:rsid w:val="00863DAF"/>
    <w:rsid w:val="00872A56"/>
    <w:rsid w:val="00875053"/>
    <w:rsid w:val="008754C7"/>
    <w:rsid w:val="008B5889"/>
    <w:rsid w:val="008C2B6A"/>
    <w:rsid w:val="008D023A"/>
    <w:rsid w:val="00954913"/>
    <w:rsid w:val="009B4420"/>
    <w:rsid w:val="009F2439"/>
    <w:rsid w:val="009F430F"/>
    <w:rsid w:val="00A00A34"/>
    <w:rsid w:val="00A16FF6"/>
    <w:rsid w:val="00A446E2"/>
    <w:rsid w:val="00A76F2E"/>
    <w:rsid w:val="00A83B53"/>
    <w:rsid w:val="00AC0940"/>
    <w:rsid w:val="00AC1219"/>
    <w:rsid w:val="00AC6F45"/>
    <w:rsid w:val="00AF22EE"/>
    <w:rsid w:val="00B0483D"/>
    <w:rsid w:val="00B06094"/>
    <w:rsid w:val="00B20A3A"/>
    <w:rsid w:val="00B30B32"/>
    <w:rsid w:val="00B4047C"/>
    <w:rsid w:val="00B5252B"/>
    <w:rsid w:val="00BB1D0A"/>
    <w:rsid w:val="00BD36C7"/>
    <w:rsid w:val="00C47AF8"/>
    <w:rsid w:val="00C808E1"/>
    <w:rsid w:val="00C90FE7"/>
    <w:rsid w:val="00C96176"/>
    <w:rsid w:val="00CA77BE"/>
    <w:rsid w:val="00CB6548"/>
    <w:rsid w:val="00CF0FB2"/>
    <w:rsid w:val="00D07204"/>
    <w:rsid w:val="00D21AAC"/>
    <w:rsid w:val="00D423AF"/>
    <w:rsid w:val="00D71D5A"/>
    <w:rsid w:val="00D7438F"/>
    <w:rsid w:val="00D77655"/>
    <w:rsid w:val="00D81A8A"/>
    <w:rsid w:val="00DA09D1"/>
    <w:rsid w:val="00DB717F"/>
    <w:rsid w:val="00DC6D7E"/>
    <w:rsid w:val="00DD0674"/>
    <w:rsid w:val="00DD0DE0"/>
    <w:rsid w:val="00DD4C4E"/>
    <w:rsid w:val="00DF377D"/>
    <w:rsid w:val="00DF3CE1"/>
    <w:rsid w:val="00DF67EC"/>
    <w:rsid w:val="00E33DB5"/>
    <w:rsid w:val="00E70856"/>
    <w:rsid w:val="00E83BDE"/>
    <w:rsid w:val="00EC2F5B"/>
    <w:rsid w:val="00EC321D"/>
    <w:rsid w:val="00ED435B"/>
    <w:rsid w:val="00EE6120"/>
    <w:rsid w:val="00EF7973"/>
    <w:rsid w:val="00F115B3"/>
    <w:rsid w:val="00F341B9"/>
    <w:rsid w:val="00F6141B"/>
    <w:rsid w:val="00F71561"/>
    <w:rsid w:val="00F809F8"/>
    <w:rsid w:val="00F85D7D"/>
    <w:rsid w:val="00FB6C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2EEE5"/>
  <w15:docId w15:val="{988B2B2A-5938-427B-9B06-5E6AAF16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78BE"/>
    <w:rPr>
      <w:color w:val="0563C1" w:themeColor="hyperlink"/>
      <w:u w:val="single"/>
    </w:rPr>
  </w:style>
  <w:style w:type="table" w:styleId="TableGrid">
    <w:name w:val="Table Grid"/>
    <w:basedOn w:val="TableNormal"/>
    <w:uiPriority w:val="39"/>
    <w:rsid w:val="003C78B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78BE"/>
    <w:rPr>
      <w:sz w:val="16"/>
      <w:szCs w:val="16"/>
    </w:rPr>
  </w:style>
  <w:style w:type="paragraph" w:styleId="CommentText">
    <w:name w:val="annotation text"/>
    <w:basedOn w:val="Normal"/>
    <w:link w:val="CommentTextChar"/>
    <w:uiPriority w:val="99"/>
    <w:semiHidden/>
    <w:unhideWhenUsed/>
    <w:rsid w:val="003C78BE"/>
    <w:pPr>
      <w:spacing w:after="200" w:line="240" w:lineRule="auto"/>
    </w:pPr>
    <w:rPr>
      <w:sz w:val="20"/>
      <w:szCs w:val="20"/>
      <w:lang w:eastAsia="en-US"/>
    </w:rPr>
  </w:style>
  <w:style w:type="character" w:customStyle="1" w:styleId="CommentTextChar">
    <w:name w:val="Comment Text Char"/>
    <w:basedOn w:val="DefaultParagraphFont"/>
    <w:link w:val="CommentText"/>
    <w:uiPriority w:val="99"/>
    <w:semiHidden/>
    <w:rsid w:val="003C78BE"/>
    <w:rPr>
      <w:sz w:val="20"/>
      <w:szCs w:val="20"/>
      <w:lang w:eastAsia="en-US"/>
    </w:rPr>
  </w:style>
  <w:style w:type="paragraph" w:customStyle="1" w:styleId="Default">
    <w:name w:val="Default"/>
    <w:rsid w:val="003C78BE"/>
    <w:pPr>
      <w:autoSpaceDE w:val="0"/>
      <w:autoSpaceDN w:val="0"/>
      <w:adjustRightInd w:val="0"/>
      <w:spacing w:after="0" w:line="240" w:lineRule="auto"/>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7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8BE"/>
    <w:rPr>
      <w:rFonts w:ascii="Segoe UI" w:hAnsi="Segoe UI" w:cs="Segoe UI"/>
      <w:sz w:val="18"/>
      <w:szCs w:val="18"/>
    </w:rPr>
  </w:style>
  <w:style w:type="paragraph" w:styleId="NormalWeb">
    <w:name w:val="Normal (Web)"/>
    <w:basedOn w:val="Normal"/>
    <w:uiPriority w:val="99"/>
    <w:unhideWhenUsed/>
    <w:rsid w:val="007B73F7"/>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89754">
      <w:bodyDiv w:val="1"/>
      <w:marLeft w:val="0"/>
      <w:marRight w:val="0"/>
      <w:marTop w:val="0"/>
      <w:marBottom w:val="0"/>
      <w:divBdr>
        <w:top w:val="none" w:sz="0" w:space="0" w:color="auto"/>
        <w:left w:val="none" w:sz="0" w:space="0" w:color="auto"/>
        <w:bottom w:val="none" w:sz="0" w:space="0" w:color="auto"/>
        <w:right w:val="none" w:sz="0" w:space="0" w:color="auto"/>
      </w:divBdr>
    </w:div>
    <w:div w:id="338192766">
      <w:bodyDiv w:val="1"/>
      <w:marLeft w:val="0"/>
      <w:marRight w:val="0"/>
      <w:marTop w:val="0"/>
      <w:marBottom w:val="0"/>
      <w:divBdr>
        <w:top w:val="none" w:sz="0" w:space="0" w:color="auto"/>
        <w:left w:val="none" w:sz="0" w:space="0" w:color="auto"/>
        <w:bottom w:val="none" w:sz="0" w:space="0" w:color="auto"/>
        <w:right w:val="none" w:sz="0" w:space="0" w:color="auto"/>
      </w:divBdr>
    </w:div>
    <w:div w:id="147587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18513-A8A3-48E6-9511-0ED0E2CA7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450</Words>
  <Characters>2417</Characters>
  <Application>Microsoft Office Word</Application>
  <DocSecurity>0</DocSecurity>
  <Lines>71</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Mengqian</dc:creator>
  <cp:lastModifiedBy>Roninson, Igor</cp:lastModifiedBy>
  <cp:revision>2</cp:revision>
  <cp:lastPrinted>2018-05-11T22:15:00Z</cp:lastPrinted>
  <dcterms:created xsi:type="dcterms:W3CDTF">2018-07-13T19:31:00Z</dcterms:created>
  <dcterms:modified xsi:type="dcterms:W3CDTF">2018-07-13T19:31:00Z</dcterms:modified>
</cp:coreProperties>
</file>