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77A" w:rsidRDefault="003C247C" w:rsidP="0020577A">
      <w:pPr>
        <w:spacing w:line="480" w:lineRule="auto"/>
        <w:jc w:val="both"/>
        <w:rPr>
          <w:rFonts w:cs="Calibri"/>
          <w:b/>
          <w:lang w:val="en-US"/>
        </w:rPr>
      </w:pPr>
      <w:r>
        <w:rPr>
          <w:rFonts w:cs="Calibri"/>
          <w:b/>
          <w:lang w:val="en-US"/>
        </w:rPr>
        <w:t>Supplementary</w:t>
      </w:r>
      <w:r w:rsidR="0020577A">
        <w:rPr>
          <w:rFonts w:cs="Calibri"/>
          <w:b/>
          <w:lang w:val="en-US"/>
        </w:rPr>
        <w:t xml:space="preserve"> Ma</w:t>
      </w:r>
      <w:r w:rsidR="00DD54B7">
        <w:rPr>
          <w:rFonts w:cs="Calibri"/>
          <w:b/>
          <w:lang w:val="en-US"/>
        </w:rPr>
        <w:t>t</w:t>
      </w:r>
      <w:r w:rsidR="0020577A">
        <w:rPr>
          <w:rFonts w:cs="Calibri"/>
          <w:b/>
          <w:lang w:val="en-US"/>
        </w:rPr>
        <w:t xml:space="preserve">erials and Methods </w:t>
      </w:r>
    </w:p>
    <w:p w:rsidR="003C247C" w:rsidRDefault="003C247C" w:rsidP="0020577A">
      <w:pPr>
        <w:spacing w:line="480" w:lineRule="auto"/>
        <w:jc w:val="both"/>
        <w:rPr>
          <w:rFonts w:cs="Calibri"/>
          <w:b/>
          <w:lang w:val="en-US"/>
        </w:rPr>
      </w:pPr>
    </w:p>
    <w:p w:rsidR="0020577A" w:rsidRPr="008759E3" w:rsidRDefault="0020577A" w:rsidP="0020577A">
      <w:pPr>
        <w:spacing w:line="480" w:lineRule="auto"/>
        <w:jc w:val="both"/>
        <w:rPr>
          <w:rFonts w:cs="Calibri"/>
          <w:b/>
          <w:lang w:val="en-US"/>
        </w:rPr>
      </w:pPr>
      <w:r w:rsidRPr="008759E3">
        <w:rPr>
          <w:rFonts w:cs="Calibri"/>
          <w:b/>
          <w:lang w:val="en-US"/>
        </w:rPr>
        <w:t>Construction of SFV-derived vectors</w:t>
      </w:r>
    </w:p>
    <w:p w:rsidR="0020577A" w:rsidRDefault="0020577A" w:rsidP="0020577A">
      <w:pPr>
        <w:spacing w:line="480" w:lineRule="auto"/>
        <w:jc w:val="both"/>
        <w:rPr>
          <w:rFonts w:cs="Calibri"/>
          <w:lang w:val="en-US"/>
        </w:rPr>
      </w:pPr>
      <w:r w:rsidRPr="00DC144D">
        <w:rPr>
          <w:rFonts w:cs="Calibri"/>
          <w:noProof/>
          <w:lang w:val="en-US"/>
        </w:rPr>
        <w:t>To generate the XCL1-sFlt3L construct, the coding sequence for soluble Flt3L was amplified by PCR from its expression plasmid (mFlex, A</w:t>
      </w:r>
      <w:r w:rsidRPr="0022742A">
        <w:rPr>
          <w:rFonts w:cs="Calibri"/>
          <w:noProof/>
          <w:lang w:val="en-US"/>
        </w:rPr>
        <w:t>ldevron</w:t>
      </w:r>
      <w:r>
        <w:rPr>
          <w:rFonts w:cs="Calibri"/>
          <w:lang w:val="en-US"/>
        </w:rPr>
        <w:t xml:space="preserve">, </w:t>
      </w:r>
      <w:r w:rsidRPr="00804AED">
        <w:rPr>
          <w:rStyle w:val="lrzxr"/>
          <w:lang w:val="en-US"/>
        </w:rPr>
        <w:t>Fargo, ND</w:t>
      </w:r>
      <w:r w:rsidRPr="0022742A">
        <w:rPr>
          <w:rFonts w:cs="Calibri"/>
          <w:noProof/>
          <w:lang w:val="en-US"/>
        </w:rPr>
        <w:t xml:space="preserve">) and coding sequences for the autocatalytic peptide </w:t>
      </w:r>
      <w:r w:rsidRPr="008759E3">
        <w:rPr>
          <w:rFonts w:cs="Calibri"/>
          <w:lang w:val="en-US"/>
        </w:rPr>
        <w:t xml:space="preserve">2A </w:t>
      </w:r>
      <w:r>
        <w:rPr>
          <w:rFonts w:cs="Calibri"/>
          <w:lang w:val="en-US"/>
        </w:rPr>
        <w:t>from foot and mouth disease virus</w:t>
      </w:r>
      <w:r w:rsidRPr="0022742A">
        <w:rPr>
          <w:rFonts w:cs="Calibri"/>
          <w:noProof/>
          <w:lang w:val="en-US"/>
        </w:rPr>
        <w:t xml:space="preserve"> and a furin binding site were added upstream of the protein-coding region, together with </w:t>
      </w:r>
      <w:proofErr w:type="spellStart"/>
      <w:r w:rsidRPr="008759E3">
        <w:rPr>
          <w:rFonts w:cs="Calibri"/>
          <w:lang w:val="en-US"/>
        </w:rPr>
        <w:t>Mlu</w:t>
      </w:r>
      <w:proofErr w:type="spellEnd"/>
      <w:r>
        <w:rPr>
          <w:rFonts w:cs="Calibri"/>
          <w:lang w:val="en-US"/>
        </w:rPr>
        <w:t xml:space="preserve"> </w:t>
      </w:r>
      <w:r w:rsidRPr="008759E3">
        <w:rPr>
          <w:rFonts w:cs="Calibri"/>
          <w:lang w:val="en-US"/>
        </w:rPr>
        <w:t>I</w:t>
      </w:r>
      <w:r w:rsidRPr="0022742A">
        <w:rPr>
          <w:rFonts w:cs="Calibri"/>
          <w:noProof/>
          <w:lang w:val="en-US"/>
        </w:rPr>
        <w:t xml:space="preserve"> restriction sites for cloning onto a mouse XCL1 expression plasmid (MR200473, Origene</w:t>
      </w:r>
      <w:r>
        <w:rPr>
          <w:rFonts w:cs="Calibri"/>
          <w:lang w:val="en-US"/>
        </w:rPr>
        <w:t xml:space="preserve">, </w:t>
      </w:r>
      <w:r w:rsidRPr="00804AED">
        <w:rPr>
          <w:lang w:val="en-US"/>
        </w:rPr>
        <w:t>Rockville, MD</w:t>
      </w:r>
      <w:r w:rsidRPr="0022742A">
        <w:rPr>
          <w:rFonts w:cs="Calibri"/>
          <w:noProof/>
          <w:lang w:val="en-US"/>
        </w:rPr>
        <w:t>).</w:t>
      </w:r>
      <w:r w:rsidRPr="008759E3">
        <w:rPr>
          <w:rFonts w:cs="Calibri"/>
          <w:lang w:val="en-US"/>
        </w:rPr>
        <w:t xml:space="preserve"> The amplified product was isolated, digested with </w:t>
      </w:r>
      <w:proofErr w:type="spellStart"/>
      <w:r w:rsidRPr="008759E3">
        <w:rPr>
          <w:rFonts w:cs="Calibri"/>
          <w:lang w:val="en-US"/>
        </w:rPr>
        <w:t>Mlu</w:t>
      </w:r>
      <w:proofErr w:type="spellEnd"/>
      <w:r>
        <w:rPr>
          <w:rFonts w:cs="Calibri"/>
          <w:lang w:val="en-US"/>
        </w:rPr>
        <w:t xml:space="preserve"> </w:t>
      </w:r>
      <w:r w:rsidRPr="008759E3">
        <w:rPr>
          <w:rFonts w:cs="Calibri"/>
          <w:lang w:val="en-US"/>
        </w:rPr>
        <w:t xml:space="preserve">I and cloned into the MR200473 vector, downstream of the XCL1-coding region and without altering the translation reading frame. The accuracy of the cloning process was verified by DNA band analysis following enzymatic digestion with Sac I and by sequencing of the region surrounding the insertion site. XCL1, sFlt3L </w:t>
      </w:r>
      <w:r w:rsidRPr="00DC144D">
        <w:rPr>
          <w:rFonts w:cs="Calibri"/>
          <w:noProof/>
          <w:lang w:val="en-US"/>
        </w:rPr>
        <w:t>and</w:t>
      </w:r>
      <w:r w:rsidRPr="008759E3">
        <w:rPr>
          <w:rFonts w:cs="Calibri"/>
          <w:lang w:val="en-US"/>
        </w:rPr>
        <w:t xml:space="preserve"> XCL1-Flt3L </w:t>
      </w:r>
      <w:r w:rsidRPr="00DC144D">
        <w:rPr>
          <w:rFonts w:cs="Calibri"/>
          <w:noProof/>
          <w:lang w:val="en-US"/>
        </w:rPr>
        <w:t>were amplified</w:t>
      </w:r>
      <w:r w:rsidRPr="008759E3">
        <w:rPr>
          <w:rFonts w:cs="Calibri"/>
          <w:lang w:val="en-US"/>
        </w:rPr>
        <w:t xml:space="preserve"> by PCR and had </w:t>
      </w:r>
      <w:proofErr w:type="spellStart"/>
      <w:r w:rsidRPr="008759E3">
        <w:rPr>
          <w:rFonts w:cs="Calibri"/>
          <w:lang w:val="en-US"/>
        </w:rPr>
        <w:t>Xma</w:t>
      </w:r>
      <w:proofErr w:type="spellEnd"/>
      <w:r>
        <w:rPr>
          <w:rFonts w:cs="Calibri"/>
          <w:lang w:val="en-US"/>
        </w:rPr>
        <w:t xml:space="preserve"> </w:t>
      </w:r>
      <w:r w:rsidRPr="008759E3">
        <w:rPr>
          <w:rFonts w:cs="Calibri"/>
          <w:lang w:val="en-US"/>
        </w:rPr>
        <w:t xml:space="preserve">I target sites added at both 5’ and 3’ regions. All three PCR products were digested with </w:t>
      </w:r>
      <w:proofErr w:type="spellStart"/>
      <w:r w:rsidRPr="008759E3">
        <w:rPr>
          <w:rFonts w:cs="Calibri"/>
          <w:lang w:val="en-US"/>
        </w:rPr>
        <w:t>Xma</w:t>
      </w:r>
      <w:proofErr w:type="spellEnd"/>
      <w:r>
        <w:rPr>
          <w:rFonts w:cs="Calibri"/>
          <w:lang w:val="en-US"/>
        </w:rPr>
        <w:t xml:space="preserve"> </w:t>
      </w:r>
      <w:r w:rsidRPr="008759E3">
        <w:rPr>
          <w:rFonts w:cs="Calibri"/>
          <w:lang w:val="en-US"/>
        </w:rPr>
        <w:t>I for insertion into the pSFV-b12a vector backbone</w:t>
      </w:r>
      <w:r>
        <w:rPr>
          <w:rFonts w:cs="Calibri"/>
          <w:lang w:val="en-US"/>
        </w:rPr>
        <w:t xml:space="preserve"> </w:t>
      </w:r>
      <w:r>
        <w:rPr>
          <w:rFonts w:cs="Calibri"/>
          <w:lang w:val="en-US"/>
        </w:rPr>
        <w:fldChar w:fldCharType="begin" w:fldLock="1"/>
      </w:r>
      <w:r w:rsidR="009B7640">
        <w:rPr>
          <w:rFonts w:cs="Calibri"/>
          <w:lang w:val="en-US"/>
        </w:rPr>
        <w:instrText>ADDIN CSL_CITATION {"citationItems":[{"id":"ITEM-1","itemData":{"DOI":"10.1016/j.ymthe.2005.02.011","ISBN":"1525-0016 (Print)\\r1525-0016 (Linking)","ISSN":"15250016","PMID":"15963931","abstract":"To evaluate the use of alphavirus vectors for tumor treatment we have constructed and compared two Semliki Forest virus (SFV) vectors expressing different levels of IL-12. SFV-IL-12 expresses both IL-12 subunits from a single subgenomic promoter, while in SFV-enhIL-12 each IL-12 subunit is expressed from an independent subgenomic promoter fused to the SFV capsid translation enhancer. This latter strategy provided an eightfold increase of IL-12 expression. We chose the poorly immunogenic MC38 colon adenocarcinoma model to evaluate the therapeutic potential of SFV vectors. A single intratumoral injection of 108 viral particles of SFV-IL-12 or SFV-enh-IL-12 induced ≥80% complete tumor regressions with long-term tumor-free survival. However, lower doses of SFV-enhIL-12 were more efficient than SFV-IL-12 in inducing antitumoral responses, indicating a positive correlation between the IL-12 expression level and the therapeutic effect. Moreover, repeated intratumoral injections of suboptimal doses of SFV-enhIL-12 increased the antitumoral response. In all cases SFV vectors were more efficient at eliminating tumors than a first-generation adenovirus vector expressing IL-12. In addition, the antitumoral effect of SFV vectors was only moderately affected by preimmunization of animals with high doses of SFV vectors. This antitumoral effect was produced, at least partially, by a potent CTL-mediated immune response. Copyright © The American Society of Gene Therapy.","author":[{"dropping-particle":"","family":"Rodriguez-Madoz","given":"Juan R.","non-dropping-particle":"","parse-names":false,"suffix":""},{"dropping-particle":"","family":"Prieto","given":"Jesus","non-dropping-particle":"","parse-names":false,"suffix":""},{"dropping-particle":"","family":"Smerdou","given":"Cristian","non-dropping-particle":"","parse-names":false,"suffix":""}],"container-title":"Molecular Therapy","id":"ITEM-1","issue":"1","issued":{"date-parts":[["2005","7"]]},"note":"From Duplicate 1 (Semliki forest virus vectors engineered to express higher IL-12 levels induce efficient elimination of murine colon adenocarcinomas - Rodriguez-Madoz, Juan R.; Prieto, Jesus; Smerdou, Cristian)\n\nFrom Duplicate 1 (Semliki forest virus vectors engineered to express higher IL-12 levels induce efficient elimination of murine colon adenocarcinomas - Rodriguez-Madoz, Juan R.; Prieto, Jesus; Smerdou, Cristian)\n\nFrom Duplicate 1 (Semliki forest virus vectors engineered to express higher IL-12 levels induce efficient elimination of murine colon adenocarcinomas - Rodriguez-Madoz, Juan R.; Prieto, Jesus; Smerdou, Cristian)\n\nFrom Duplicate 1 (Semliki forest virus vectors engineered to express higher IL-12 levels induce efficient elimination of murine colon adenocarcinomas - Rodriguez-Madoz, Juan R.; Prieto, Jesus; Smerdou, Cristian)\n\nRodriguez-Madoz, Juan R\nPrieto, Jesus\nSmerdou, Cristian\neng\nResearch Support, Non-U.S. Gov't\n2005/06/21 09:00\nMol Ther. 2005 Jul;12(1):153-63.\n\nFrom Duplicate 2 (Semliki forest virus vectors engineered to express higher IL-12 levels induce efficient elimination of murine colon adenocarcinomas - Rodriguez-Madoz, Juan R.; Prieto, Jesus; Smerdou, Cristian)\n\n10.1016/j.ymthe.2005.02.011\n\nFrom Duplicate 2 (Semliki forest virus vectors engineered to express higher IL-12 levels induce efficient elimination of murine colon adenocarcinomas - Rodriguez-Madoz, Juan R.; Prieto, Jesus; Smerdou, Cristian)\n\n10.1016/j.ymthe.2005.02.011\n\nFrom Duplicate 2 (Semliki Forest Virus Vectors Engineered to Express Higher IL-12 Levels Induce Efficient Elimination of Murine Colon Adenocarcinomas - Rodriguez-Madoz, Juan R.; Prieto, Jesus; Smerdou, Cristian)\n\nFrom Duplicate 1 (Semliki forest virus vectors engineered to express higher IL-12 levels induce efficient elimination of murine colon adenocarcinomas - Rodriguez-Madoz, Juan R.; Prieto, Jesus; Smerdou, Cristian)\n\nFrom Duplicate 1 (Semliki forest virus vectors engineered to express higher IL-12 levels induce efficient elimination of murine colon adenocarcinomas - Rodriguez-Madoz, Juan R.; Prieto, Jesus; Smerdou, Cristian)\n\nRodriguez-Madoz, Juan R\nPrieto, Jesus\nSmerdou, Cristian\neng\nResearch Support, Non-U.S. Gov't\n2005/06/21 09:00\nMol Ther. 2005 Jul;12(1):153-63.\n\nFrom Duplicate 2 (Semliki forest virus vectors engineered to express higher IL-12 levels induce efficient elimination of murine colon adenocarcinomas - Rodriguez-Madoz, Juan R.; Prieto, Jesus; Smerdou, Cristian)\n\n10.1016/j.ymthe.2005.02.011\n\nFrom Duplicate 2 (Semliki forest virus vectors engineered to express higher IL-12 levels induce efficient elimination of murine colon adenocarcinomas - Rodriguez-Madoz, Juan R.; Prieto, Jesus; Smerdou, Cristian)\n\n10.1016/j.ymthe.2005.02.011","page":"153-163","title":"Semliki forest virus vectors engineered to express higher IL-12 levels induce efficient elimination of murine colon adenocarcinomas","type":"article-journal","volume":"12"},"uris":["http://www.mendeley.com/documents/?uuid=ca4383b1-b0bf-45ff-a791-fbc71a9b57b4"]}],"mendeley":{"formattedCitation":"(1)","plainTextFormattedCitation":"(1)","previouslyFormattedCitation":"(1)"},"properties":{"noteIndex":0},"schema":"https://github.com/citation-style-language/schema/raw/master/csl-citation.json"}</w:instrText>
      </w:r>
      <w:r>
        <w:rPr>
          <w:rFonts w:cs="Calibri"/>
          <w:lang w:val="en-US"/>
        </w:rPr>
        <w:fldChar w:fldCharType="separate"/>
      </w:r>
      <w:r w:rsidR="00DD54B7" w:rsidRPr="00DD54B7">
        <w:rPr>
          <w:rFonts w:cs="Calibri"/>
          <w:noProof/>
          <w:lang w:val="en-US"/>
        </w:rPr>
        <w:t>(1)</w:t>
      </w:r>
      <w:r>
        <w:rPr>
          <w:rFonts w:cs="Calibri"/>
          <w:lang w:val="en-US"/>
        </w:rPr>
        <w:fldChar w:fldCharType="end"/>
      </w:r>
      <w:r w:rsidRPr="008759E3">
        <w:rPr>
          <w:rFonts w:cs="Calibri"/>
          <w:lang w:val="en-US"/>
        </w:rPr>
        <w:t xml:space="preserve">, which includes genes for the viral </w:t>
      </w:r>
      <w:r w:rsidRPr="00DC144D">
        <w:rPr>
          <w:rFonts w:cs="Calibri"/>
          <w:noProof/>
          <w:lang w:val="en-US"/>
        </w:rPr>
        <w:t>replicase</w:t>
      </w:r>
      <w:r w:rsidRPr="008759E3">
        <w:rPr>
          <w:rFonts w:cs="Calibri"/>
          <w:lang w:val="en-US"/>
        </w:rPr>
        <w:t xml:space="preserve">. Clones that were demonstrated to </w:t>
      </w:r>
      <w:r w:rsidRPr="00DC144D">
        <w:rPr>
          <w:rFonts w:cs="Calibri"/>
          <w:noProof/>
          <w:lang w:val="en-US"/>
        </w:rPr>
        <w:t>be correctly inserted</w:t>
      </w:r>
      <w:r w:rsidRPr="008759E3">
        <w:rPr>
          <w:rFonts w:cs="Calibri"/>
          <w:lang w:val="en-US"/>
        </w:rPr>
        <w:t xml:space="preserve"> as assessed by digestion [sFlt3L: </w:t>
      </w:r>
      <w:proofErr w:type="spellStart"/>
      <w:r w:rsidRPr="008759E3">
        <w:rPr>
          <w:rFonts w:cs="Calibri"/>
          <w:lang w:val="en-US"/>
        </w:rPr>
        <w:t>Nhe</w:t>
      </w:r>
      <w:proofErr w:type="spellEnd"/>
      <w:r>
        <w:rPr>
          <w:rFonts w:cs="Calibri"/>
          <w:lang w:val="en-US"/>
        </w:rPr>
        <w:t xml:space="preserve"> </w:t>
      </w:r>
      <w:r w:rsidRPr="008759E3">
        <w:rPr>
          <w:rFonts w:cs="Calibri"/>
          <w:lang w:val="en-US"/>
        </w:rPr>
        <w:t xml:space="preserve">I; XCL1: </w:t>
      </w:r>
      <w:proofErr w:type="spellStart"/>
      <w:r w:rsidRPr="008759E3">
        <w:rPr>
          <w:rFonts w:cs="Calibri"/>
          <w:lang w:val="en-US"/>
        </w:rPr>
        <w:t>EcoR</w:t>
      </w:r>
      <w:proofErr w:type="spellEnd"/>
      <w:r>
        <w:rPr>
          <w:rFonts w:cs="Calibri"/>
          <w:lang w:val="en-US"/>
        </w:rPr>
        <w:t xml:space="preserve"> </w:t>
      </w:r>
      <w:r w:rsidRPr="008759E3">
        <w:rPr>
          <w:rFonts w:cs="Calibri"/>
          <w:lang w:val="en-US"/>
        </w:rPr>
        <w:t>V.HF-</w:t>
      </w:r>
      <w:proofErr w:type="spellStart"/>
      <w:r w:rsidRPr="008759E3">
        <w:rPr>
          <w:rFonts w:cs="Calibri"/>
          <w:lang w:val="en-US"/>
        </w:rPr>
        <w:t>Msc</w:t>
      </w:r>
      <w:proofErr w:type="spellEnd"/>
      <w:r>
        <w:rPr>
          <w:rFonts w:cs="Calibri"/>
          <w:lang w:val="en-US"/>
        </w:rPr>
        <w:t xml:space="preserve"> </w:t>
      </w:r>
      <w:r w:rsidRPr="008759E3">
        <w:rPr>
          <w:rFonts w:cs="Calibri"/>
          <w:lang w:val="en-US"/>
        </w:rPr>
        <w:t xml:space="preserve">I; XF: </w:t>
      </w:r>
      <w:proofErr w:type="spellStart"/>
      <w:r w:rsidRPr="008759E3">
        <w:rPr>
          <w:rFonts w:cs="Calibri"/>
          <w:lang w:val="en-US"/>
        </w:rPr>
        <w:t>Nhe</w:t>
      </w:r>
      <w:proofErr w:type="spellEnd"/>
      <w:r>
        <w:rPr>
          <w:rFonts w:cs="Calibri"/>
          <w:lang w:val="en-US"/>
        </w:rPr>
        <w:t xml:space="preserve"> </w:t>
      </w:r>
      <w:r w:rsidRPr="008759E3">
        <w:rPr>
          <w:rFonts w:cs="Calibri"/>
          <w:lang w:val="en-US"/>
        </w:rPr>
        <w:t xml:space="preserve">I] and sequencing were selected and amplified. The plasmid vector for SFV-LacZ </w:t>
      </w:r>
      <w:r w:rsidRPr="00941F8F">
        <w:rPr>
          <w:rFonts w:cs="Calibri"/>
          <w:lang w:val="en-US"/>
        </w:rPr>
        <w:t>(</w:t>
      </w:r>
      <w:proofErr w:type="spellStart"/>
      <w:r w:rsidRPr="00804AED">
        <w:rPr>
          <w:rFonts w:cs="AdvOT260e5629"/>
          <w:lang w:val="en-US" w:eastAsia="es-ES"/>
        </w:rPr>
        <w:t>pSFV-enhLacZ</w:t>
      </w:r>
      <w:proofErr w:type="spellEnd"/>
      <w:r w:rsidRPr="00941F8F">
        <w:rPr>
          <w:rFonts w:cs="Calibri"/>
          <w:lang w:val="en-US"/>
        </w:rPr>
        <w:t xml:space="preserve"> )</w:t>
      </w:r>
      <w:r w:rsidRPr="008759E3">
        <w:rPr>
          <w:rFonts w:cs="Calibri"/>
          <w:lang w:val="en-US"/>
        </w:rPr>
        <w:t xml:space="preserve">has been previously reported </w:t>
      </w:r>
      <w:r>
        <w:rPr>
          <w:rFonts w:cs="Calibri"/>
          <w:lang w:val="en-US"/>
        </w:rPr>
        <w:fldChar w:fldCharType="begin" w:fldLock="1"/>
      </w:r>
      <w:r w:rsidR="009B7640">
        <w:rPr>
          <w:rFonts w:cs="Calibri"/>
          <w:lang w:val="en-US"/>
        </w:rPr>
        <w:instrText>ADDIN CSL_CITATION {"citationItems":[{"id":"ITEM-1","itemData":{"DOI":"10.1038/gt.2011.99","ISBN":"1476-5462 (Electronic)\\r0969-7128 (Linking)","ISSN":"0969-7128","PMID":"21734727","abstract":"Semliki Forest virus (SFV) represents a promising gene therapy vector for tumor treatment, because it produces high levels of recombinant therapeutic proteins while inducing apoptosis in infected cells. In this study, we constructed a SFV vector expressing murine interferon alpha (IFNα). IFNα displays antitumor activity mainly by enhancing an antitumor immune response, as well as by a direct antiproliferative effect. In spite of the antiviral activity of IFNα, SFV-IFN could be produced in BHK cells at high titers. This vector was able to infect TC-1 cells, a tumor cell line expressing E6 and E7 proteins of human papillomavirus, leading to high production of IFNα both in vitro and in vivo. When injected into subcutaneous TC-1 tumors implanted in mice, SFV-IFN was able to induce an E7-specific cytotoxic T lymphocyte response, and to modify tumor infiltrating immune cells, reducing the percentage of T regulatory cells and activating myeloid cells. As a consequence, SFV-IFN was able to eradicate 58% of established tumors treated 21 days after implantation with long-term tumor-free survival and very low toxicity. SFV-IFN was also able to induce significant antitumor responses in a subcutaneous tumor model of murine colon adenocarcimoma. These data suggest that local production of IFNα by intratumoral injection of recombinant SFV-IFN could represent a potent new strategy to treat tumors in patients.","author":[{"dropping-particle":"","family":"Quetglas","given":"J I","non-dropping-particle":"","parse-names":false,"suffix":""},{"dropping-particle":"","family":"Fioravanti","given":"J","non-dropping-particle":"","parse-names":false,"suffix":""},{"dropping-particle":"","family":"Ardaiz","given":"N","non-dropping-particle":"","parse-names":false,"suffix":""},{"dropping-particle":"","family":"Medina-Echeverz","given":"J","non-dropping-particle":"","parse-names":false,"suffix":""},{"dropping-particle":"","family":"Baraibar","given":"I","non-dropping-particle":"","parse-names":false,"suffix":""},{"dropping-particle":"","family":"Prieto","given":"J","non-dropping-particle":"","parse-names":false,"suffix":""},{"dropping-particle":"","family":"Smerdou","given":"C","non-dropping-particle":"","parse-names":false,"suffix":""},{"dropping-particle":"","family":"Berraondo","given":"P","non-dropping-particle":"","parse-names":false,"suffix":""}],"container-title":"Gene Therapy","id":"ITEM-1","issue":"3","issued":{"date-parts":[["2012"]]},"page":"271-278","publisher":"Nature Publishing Group","title":"A Semliki Forest virus vector engineered to express IFNα induces efficient elimination of established tumors","type":"article-journal","volume":"19"},"uris":["http://www.mendeley.com/documents/?uuid=7ccc9a10-aebe-4439-8829-2a5ef4f6d649"]}],"mendeley":{"formattedCitation":"(2)","plainTextFormattedCitation":"(2)","previouslyFormattedCitation":"(2)"},"properties":{"noteIndex":0},"schema":"https://github.com/citation-style-language/schema/raw/master/csl-citation.json"}</w:instrText>
      </w:r>
      <w:r>
        <w:rPr>
          <w:rFonts w:cs="Calibri"/>
          <w:lang w:val="en-US"/>
        </w:rPr>
        <w:fldChar w:fldCharType="separate"/>
      </w:r>
      <w:r w:rsidR="00DD54B7" w:rsidRPr="00DD54B7">
        <w:rPr>
          <w:rFonts w:cs="Calibri"/>
          <w:noProof/>
          <w:lang w:val="en-US"/>
        </w:rPr>
        <w:t>(2)</w:t>
      </w:r>
      <w:r>
        <w:rPr>
          <w:rFonts w:cs="Calibri"/>
          <w:lang w:val="en-US"/>
        </w:rPr>
        <w:fldChar w:fldCharType="end"/>
      </w:r>
      <w:r w:rsidRPr="008759E3">
        <w:rPr>
          <w:rFonts w:cs="Calibri"/>
          <w:lang w:val="en-US"/>
        </w:rPr>
        <w:t>.</w:t>
      </w:r>
      <w:r>
        <w:rPr>
          <w:rFonts w:cs="Calibri"/>
          <w:lang w:val="en-US"/>
        </w:rPr>
        <w:t xml:space="preserve"> </w:t>
      </w:r>
      <w:r w:rsidRPr="008759E3">
        <w:rPr>
          <w:rFonts w:cs="Calibri"/>
          <w:lang w:val="en-US"/>
        </w:rPr>
        <w:t xml:space="preserve">mRNAs </w:t>
      </w:r>
      <w:r w:rsidRPr="00DC144D">
        <w:rPr>
          <w:rFonts w:cs="Calibri"/>
          <w:noProof/>
          <w:lang w:val="en-US"/>
        </w:rPr>
        <w:t>were produced</w:t>
      </w:r>
      <w:r w:rsidRPr="008759E3">
        <w:rPr>
          <w:rFonts w:cs="Calibri"/>
          <w:lang w:val="en-US"/>
        </w:rPr>
        <w:t xml:space="preserve"> </w:t>
      </w:r>
      <w:r w:rsidRPr="00DE1BFB">
        <w:rPr>
          <w:lang w:val="en-US"/>
        </w:rPr>
        <w:t>in vitro</w:t>
      </w:r>
      <w:r w:rsidRPr="008759E3">
        <w:rPr>
          <w:rFonts w:cs="Calibri"/>
          <w:lang w:val="en-US"/>
        </w:rPr>
        <w:t xml:space="preserve"> from the transgene-coding and two helper </w:t>
      </w:r>
      <w:r w:rsidRPr="00DC144D">
        <w:rPr>
          <w:rFonts w:cs="Calibri"/>
          <w:noProof/>
          <w:lang w:val="en-US"/>
        </w:rPr>
        <w:t>plasmids</w:t>
      </w:r>
      <w:r w:rsidRPr="008759E3">
        <w:rPr>
          <w:rFonts w:cs="Calibri"/>
          <w:lang w:val="en-US"/>
        </w:rPr>
        <w:t xml:space="preserve"> coding the viral structural proteins, as previously described </w:t>
      </w:r>
      <w:r>
        <w:rPr>
          <w:rFonts w:cs="Calibri"/>
          <w:lang w:val="en-US"/>
        </w:rPr>
        <w:fldChar w:fldCharType="begin" w:fldLock="1"/>
      </w:r>
      <w:r w:rsidR="009B7640">
        <w:rPr>
          <w:rFonts w:cs="Calibri"/>
          <w:lang w:val="en-US"/>
        </w:rPr>
        <w:instrText>ADDIN CSL_CITATION {"citationItems":[{"id":"ITEM-1","itemData":{"ISBN":"0022-538X (Print)\\r0022-538X (Linking)","ISSN":"0022-538X","PMID":"9882310","abstract":"Alphavirus expression systems based on suicidal virus particles carrying recombinant replicons have proven to be a very efficient way to deliver genes for heterologous protein expression. However, present strategies for production of such particles have biosafety limitations due to the generation, by RNA recombination, of replication-proficient viruses (RPVs). Here we describe a new packaging system for Semliki Forest virus (SFV) based on a the use of a two-helper system in which the capsid and spike proteins of the C-p62-6K-E1 polyprotein are expressed from two independent RNA molecules. The capsid gene contains a translational enhancer and therefore that sequence was also engineered in front of the spike sequence p62-6K-E1. A sequence coding for the foot-and-mouth disease virus 2A autoprotease was inserted in frame between the capsid translational enhancer and the spike genes. This allows production of the spike proteins at high levels with cotranslational removal of the enhancer sequence and normal biosynthesis of the spike complex. The autoprotease activity of the capsid protein was abolished by mutation, further increasing the biosafety of the system. Cotransfection of cells with both helper RNAs and an SFV vector replicon carrying the LacZ gene led to production of recombinant particles with titers of up to 8 x 10(8) particles per 10(6) cells. Extensive analysis failed to demonstrate the presence of any RPVs, emphasizing the high biosafety of the system based on two-helper RNAs.","author":[{"dropping-particle":"","family":"Smerdou","given":"C","non-dropping-particle":"","parse-names":false,"suffix":""},{"dropping-particle":"","family":"Liljeström","given":"P","non-dropping-particle":"","parse-names":false,"suffix":""}],"container-title":"Journal of virology","id":"ITEM-1","issue":"2","issued":{"date-parts":[["1999","2"]]},"page":"1092-1098","title":"Two-helper RNA system for production of recombinant Semliki forest virus particles.","type":"article-journal","volume":"73"},"uris":["http://www.mendeley.com/documents/?uuid=e473b362-a1a2-4397-ac6c-5ca4ae4507f3"]}],"mendeley":{"formattedCitation":"(3)","plainTextFormattedCitation":"(3)","previouslyFormattedCitation":"(3)"},"properties":{"noteIndex":0},"schema":"https://github.com/citation-style-language/schema/raw/master/csl-citation.json"}</w:instrText>
      </w:r>
      <w:r>
        <w:rPr>
          <w:rFonts w:cs="Calibri"/>
          <w:lang w:val="en-US"/>
        </w:rPr>
        <w:fldChar w:fldCharType="separate"/>
      </w:r>
      <w:r w:rsidR="00DD54B7" w:rsidRPr="00DD54B7">
        <w:rPr>
          <w:rFonts w:cs="Calibri"/>
          <w:noProof/>
          <w:lang w:val="en-US"/>
        </w:rPr>
        <w:t>(3)</w:t>
      </w:r>
      <w:r>
        <w:rPr>
          <w:rFonts w:cs="Calibri"/>
          <w:lang w:val="en-US"/>
        </w:rPr>
        <w:fldChar w:fldCharType="end"/>
      </w:r>
      <w:r w:rsidRPr="008759E3">
        <w:rPr>
          <w:rFonts w:cs="Calibri"/>
          <w:lang w:val="en-US"/>
        </w:rPr>
        <w:t xml:space="preserve"> </w:t>
      </w:r>
      <w:r w:rsidRPr="00DC144D">
        <w:rPr>
          <w:rFonts w:cs="Calibri"/>
          <w:noProof/>
          <w:lang w:val="en-US"/>
        </w:rPr>
        <w:t>Viral particles were produced by co-electroporation of transgene-coding and helper mRNAs</w:t>
      </w:r>
      <w:r w:rsidRPr="008759E3">
        <w:rPr>
          <w:rFonts w:cs="Calibri"/>
          <w:lang w:val="en-US"/>
        </w:rPr>
        <w:t xml:space="preserve"> into BHK cells. Electroporated cells were incubated for 48 h at 33ºC in GMEM BHK-21 medium. Debris was cleared from the supernatant by centrifugation at 2,000 g.  The cleared supernatant</w:t>
      </w:r>
      <w:r>
        <w:rPr>
          <w:rFonts w:cs="Calibri"/>
          <w:lang w:val="en-US"/>
        </w:rPr>
        <w:t>s</w:t>
      </w:r>
      <w:r w:rsidRPr="008759E3">
        <w:rPr>
          <w:rFonts w:cs="Calibri"/>
          <w:lang w:val="en-US"/>
        </w:rPr>
        <w:t xml:space="preserve"> w</w:t>
      </w:r>
      <w:r>
        <w:rPr>
          <w:rFonts w:cs="Calibri"/>
          <w:lang w:val="en-US"/>
        </w:rPr>
        <w:t>ere</w:t>
      </w:r>
      <w:r w:rsidRPr="008759E3">
        <w:rPr>
          <w:rFonts w:cs="Calibri"/>
          <w:lang w:val="en-US"/>
        </w:rPr>
        <w:t xml:space="preserve"> </w:t>
      </w:r>
      <w:proofErr w:type="spellStart"/>
      <w:r w:rsidRPr="008759E3">
        <w:rPr>
          <w:rFonts w:cs="Calibri"/>
          <w:lang w:val="en-US"/>
        </w:rPr>
        <w:t>ultracentrifuged</w:t>
      </w:r>
      <w:proofErr w:type="spellEnd"/>
      <w:r w:rsidRPr="008759E3">
        <w:rPr>
          <w:rFonts w:cs="Calibri"/>
          <w:lang w:val="en-US"/>
        </w:rPr>
        <w:t xml:space="preserve"> at 1</w:t>
      </w:r>
      <w:r>
        <w:rPr>
          <w:rFonts w:cs="Calibri"/>
          <w:lang w:val="en-US"/>
        </w:rPr>
        <w:t>60</w:t>
      </w:r>
      <w:r w:rsidRPr="008759E3">
        <w:rPr>
          <w:rFonts w:cs="Calibri"/>
          <w:lang w:val="en-US"/>
        </w:rPr>
        <w:t>,000 g using a</w:t>
      </w:r>
      <w:r w:rsidRPr="00DC144D">
        <w:rPr>
          <w:rFonts w:cs="Calibri"/>
          <w:noProof/>
          <w:lang w:val="en-US"/>
        </w:rPr>
        <w:t xml:space="preserve"> SW40Ti</w:t>
      </w:r>
      <w:r w:rsidRPr="008759E3">
        <w:rPr>
          <w:rFonts w:cs="Calibri"/>
          <w:lang w:val="en-US"/>
        </w:rPr>
        <w:t xml:space="preserve"> rotor (Beckman Coulter) and resuspended in Tris-NaCl buffer, aliquoted and immediately frozen in liquid N</w:t>
      </w:r>
      <w:r w:rsidRPr="008759E3">
        <w:rPr>
          <w:rFonts w:cs="Calibri"/>
          <w:vertAlign w:val="subscript"/>
          <w:lang w:val="en-US"/>
        </w:rPr>
        <w:t>2</w:t>
      </w:r>
      <w:r w:rsidRPr="008759E3">
        <w:rPr>
          <w:rFonts w:cs="Calibri"/>
          <w:lang w:val="en-US"/>
        </w:rPr>
        <w:t xml:space="preserve">. Aliquots were kept at -80ºC until used. </w:t>
      </w:r>
      <w:r>
        <w:rPr>
          <w:rFonts w:cs="Calibri"/>
          <w:lang w:val="en-US"/>
        </w:rPr>
        <w:t>The g</w:t>
      </w:r>
      <w:r w:rsidRPr="008759E3">
        <w:rPr>
          <w:rFonts w:cs="Calibri"/>
          <w:lang w:val="en-US"/>
        </w:rPr>
        <w:t xml:space="preserve">enerated vectors </w:t>
      </w:r>
      <w:r w:rsidRPr="00DC144D">
        <w:rPr>
          <w:rFonts w:cs="Calibri"/>
          <w:noProof/>
          <w:lang w:val="en-US"/>
        </w:rPr>
        <w:t>were titrated</w:t>
      </w:r>
      <w:r w:rsidRPr="008759E3">
        <w:rPr>
          <w:rFonts w:cs="Calibri"/>
          <w:lang w:val="en-US"/>
        </w:rPr>
        <w:t xml:space="preserve"> by immunofluorescent detection of viral </w:t>
      </w:r>
      <w:r w:rsidRPr="00DC144D">
        <w:rPr>
          <w:rFonts w:cs="Calibri"/>
          <w:noProof/>
          <w:lang w:val="en-US"/>
        </w:rPr>
        <w:t>replicase</w:t>
      </w:r>
      <w:r w:rsidRPr="008759E3">
        <w:rPr>
          <w:rFonts w:cs="Calibri"/>
          <w:lang w:val="en-US"/>
        </w:rPr>
        <w:t xml:space="preserve"> </w:t>
      </w:r>
      <w:r w:rsidRPr="008759E3">
        <w:rPr>
          <w:rFonts w:cs="Calibri"/>
          <w:lang w:val="en-US"/>
        </w:rPr>
        <w:lastRenderedPageBreak/>
        <w:t xml:space="preserve">on BHK cell monolayers infected by serially diluted SFV particles in MEM-0.2% BSA (infection medium), followed by an </w:t>
      </w:r>
      <w:r w:rsidRPr="00DC144D">
        <w:rPr>
          <w:rFonts w:cs="Calibri"/>
          <w:noProof/>
          <w:lang w:val="en-US"/>
        </w:rPr>
        <w:t>overnight</w:t>
      </w:r>
      <w:r w:rsidRPr="008759E3">
        <w:rPr>
          <w:rFonts w:cs="Calibri"/>
          <w:lang w:val="en-US"/>
        </w:rPr>
        <w:t xml:space="preserve"> culture in GMEM BHK-21 medium for protein expression. An in-house anti-</w:t>
      </w:r>
      <w:r w:rsidRPr="00DC144D">
        <w:rPr>
          <w:rFonts w:cs="Calibri"/>
          <w:noProof/>
          <w:lang w:val="en-US"/>
        </w:rPr>
        <w:t>replicase</w:t>
      </w:r>
      <w:r w:rsidRPr="008759E3">
        <w:rPr>
          <w:rFonts w:cs="Calibri"/>
          <w:lang w:val="en-US"/>
        </w:rPr>
        <w:t xml:space="preserve"> rabbit polyclonal antibody </w:t>
      </w:r>
      <w:r w:rsidRPr="00DC144D">
        <w:rPr>
          <w:rFonts w:cs="Calibri"/>
          <w:noProof/>
          <w:lang w:val="en-US"/>
        </w:rPr>
        <w:t>was used</w:t>
      </w:r>
      <w:r w:rsidRPr="008759E3">
        <w:rPr>
          <w:rFonts w:cs="Calibri"/>
          <w:lang w:val="en-US"/>
        </w:rPr>
        <w:t xml:space="preserve"> for staining to demonstrate viral </w:t>
      </w:r>
      <w:r>
        <w:rPr>
          <w:rFonts w:cs="Calibri"/>
          <w:lang w:val="en-US"/>
        </w:rPr>
        <w:t>infection</w:t>
      </w:r>
      <w:r w:rsidRPr="008759E3">
        <w:rPr>
          <w:rFonts w:cs="Calibri"/>
          <w:lang w:val="en-US"/>
        </w:rPr>
        <w:t>.</w:t>
      </w:r>
    </w:p>
    <w:p w:rsidR="003C247C" w:rsidRPr="0020577A" w:rsidRDefault="003C247C" w:rsidP="0020577A">
      <w:pPr>
        <w:spacing w:line="480" w:lineRule="auto"/>
        <w:jc w:val="both"/>
        <w:rPr>
          <w:rFonts w:cs="Calibri"/>
          <w:lang w:val="en-US"/>
        </w:rPr>
      </w:pPr>
    </w:p>
    <w:p w:rsidR="0020577A" w:rsidRPr="008759E3" w:rsidRDefault="0020577A" w:rsidP="0020577A">
      <w:pPr>
        <w:spacing w:line="480" w:lineRule="auto"/>
        <w:jc w:val="both"/>
        <w:rPr>
          <w:rFonts w:cs="Calibri"/>
          <w:b/>
          <w:lang w:val="en-US"/>
        </w:rPr>
      </w:pPr>
      <w:r w:rsidRPr="008759E3">
        <w:rPr>
          <w:rFonts w:cs="Calibri"/>
          <w:b/>
          <w:lang w:val="en-US"/>
        </w:rPr>
        <w:t>mRNA quantitative analysis</w:t>
      </w:r>
    </w:p>
    <w:p w:rsidR="0020577A" w:rsidRPr="008759E3" w:rsidRDefault="0020577A" w:rsidP="0020577A">
      <w:pPr>
        <w:spacing w:line="480" w:lineRule="auto"/>
        <w:jc w:val="both"/>
        <w:rPr>
          <w:rFonts w:cs="Calibri"/>
          <w:lang w:val="en-US"/>
        </w:rPr>
      </w:pPr>
      <w:r w:rsidRPr="008759E3">
        <w:rPr>
          <w:rFonts w:cs="Calibri"/>
          <w:lang w:val="en-US"/>
        </w:rPr>
        <w:t>BHK, MC38 or B16-OVA cells were cultured on 6-well culture plates to confluence. Infection was carried out using 3 x 10</w:t>
      </w:r>
      <w:r w:rsidRPr="008759E3">
        <w:rPr>
          <w:rFonts w:cs="Calibri"/>
          <w:vertAlign w:val="superscript"/>
          <w:lang w:val="en-US"/>
        </w:rPr>
        <w:t>7</w:t>
      </w:r>
      <w:r w:rsidRPr="008759E3">
        <w:rPr>
          <w:rFonts w:cs="Calibri"/>
          <w:lang w:val="en-US"/>
        </w:rPr>
        <w:t xml:space="preserve"> SFV particles, and cells were allowed an overnight incubation to ensure transgene expression. RNA was extracted from cell suspensions using the </w:t>
      </w:r>
      <w:proofErr w:type="spellStart"/>
      <w:r w:rsidRPr="008759E3">
        <w:rPr>
          <w:rFonts w:cs="Calibri"/>
          <w:lang w:val="en-US"/>
        </w:rPr>
        <w:t>RNAeasy</w:t>
      </w:r>
      <w:proofErr w:type="spellEnd"/>
      <w:r w:rsidRPr="008759E3">
        <w:rPr>
          <w:rFonts w:cs="Calibri"/>
          <w:lang w:val="en-US"/>
        </w:rPr>
        <w:t xml:space="preserve"> kit (Qiagen</w:t>
      </w:r>
      <w:r>
        <w:rPr>
          <w:rFonts w:cs="Calibri"/>
          <w:lang w:val="en-US"/>
        </w:rPr>
        <w:t xml:space="preserve">, </w:t>
      </w:r>
      <w:r w:rsidRPr="000E4D51">
        <w:rPr>
          <w:rFonts w:cs="Calibri"/>
          <w:lang w:val="en-US"/>
        </w:rPr>
        <w:t>Hilden, Germany</w:t>
      </w:r>
      <w:r w:rsidRPr="008759E3">
        <w:rPr>
          <w:rFonts w:cs="Calibri"/>
          <w:lang w:val="en-US"/>
        </w:rPr>
        <w:t xml:space="preserve">) and according to the manufacturer’s instructions and cDNA was generated. We designed primers to amplify the coding sequences for mouse sFlt3L (FW TGTGGCAGGGTCTAAGATGC; RV CTTCTAGGGCTATGGGACTCC), XCL1 (FW TAGCTGTGTGAACTTACAAACCC; RV ACAGTCTTGATCGCTGCTTTC), β-actin (FW AGCCTCGCCTTTGCCGA; RV CTGGTGCCTGGGGCG), and the viral </w:t>
      </w:r>
      <w:r w:rsidRPr="00DE1BFB">
        <w:rPr>
          <w:rFonts w:cs="Calibri"/>
          <w:noProof/>
          <w:lang w:val="en-US"/>
        </w:rPr>
        <w:t>replicase</w:t>
      </w:r>
      <w:r w:rsidRPr="008759E3">
        <w:rPr>
          <w:rFonts w:cs="Calibri"/>
          <w:lang w:val="en-US"/>
        </w:rPr>
        <w:t xml:space="preserve"> (FW GACGCGTCGTCAGCCAGGG; RV </w:t>
      </w:r>
      <w:r w:rsidRPr="008759E3">
        <w:rPr>
          <w:rFonts w:cs="Calibri"/>
          <w:caps/>
          <w:lang w:val="en-US"/>
        </w:rPr>
        <w:t>ccacgacccctgcacctgc</w:t>
      </w:r>
      <w:r w:rsidRPr="008759E3">
        <w:rPr>
          <w:rFonts w:cs="Calibri"/>
          <w:lang w:val="en-US"/>
        </w:rPr>
        <w:t xml:space="preserve">). The generated cDNAs </w:t>
      </w:r>
      <w:r w:rsidRPr="0022742A">
        <w:rPr>
          <w:rFonts w:cs="Calibri"/>
          <w:noProof/>
          <w:lang w:val="en-US"/>
        </w:rPr>
        <w:t>were amplified</w:t>
      </w:r>
      <w:r w:rsidRPr="008759E3">
        <w:rPr>
          <w:rFonts w:cs="Calibri"/>
          <w:lang w:val="en-US"/>
        </w:rPr>
        <w:t xml:space="preserve"> by real-time PCR (</w:t>
      </w:r>
      <w:proofErr w:type="spellStart"/>
      <w:r w:rsidRPr="008759E3">
        <w:rPr>
          <w:rFonts w:cs="Calibri"/>
          <w:lang w:val="en-US"/>
        </w:rPr>
        <w:t>BioRad</w:t>
      </w:r>
      <w:proofErr w:type="spellEnd"/>
      <w:r>
        <w:rPr>
          <w:rFonts w:cs="Calibri"/>
          <w:lang w:val="en-US"/>
        </w:rPr>
        <w:t>, Hercules, CA</w:t>
      </w:r>
      <w:r w:rsidRPr="008759E3">
        <w:rPr>
          <w:rFonts w:cs="Calibri"/>
          <w:lang w:val="en-US"/>
        </w:rPr>
        <w:t xml:space="preserve">) </w:t>
      </w:r>
      <w:r w:rsidRPr="00DC144D">
        <w:rPr>
          <w:rFonts w:cs="Calibri"/>
          <w:noProof/>
          <w:lang w:val="en-US"/>
        </w:rPr>
        <w:t>and</w:t>
      </w:r>
      <w:r w:rsidRPr="008759E3">
        <w:rPr>
          <w:rFonts w:cs="Calibri"/>
          <w:lang w:val="en-US"/>
        </w:rPr>
        <w:t xml:space="preserve"> results were analyzed using CFX manager software.</w:t>
      </w:r>
    </w:p>
    <w:p w:rsidR="0020577A" w:rsidRPr="008759E3" w:rsidRDefault="0020577A" w:rsidP="0020577A">
      <w:pPr>
        <w:spacing w:line="480" w:lineRule="auto"/>
        <w:jc w:val="both"/>
        <w:rPr>
          <w:rFonts w:cs="Calibri"/>
          <w:lang w:val="en-US"/>
        </w:rPr>
      </w:pPr>
      <w:r w:rsidRPr="008759E3">
        <w:rPr>
          <w:rFonts w:cs="Calibri"/>
          <w:lang w:val="en-US"/>
        </w:rPr>
        <w:t xml:space="preserve">For </w:t>
      </w:r>
      <w:r w:rsidRPr="008759E3">
        <w:rPr>
          <w:rFonts w:cs="Calibri"/>
          <w:i/>
          <w:lang w:val="en-US"/>
        </w:rPr>
        <w:t>in vivo</w:t>
      </w:r>
      <w:r w:rsidRPr="008759E3">
        <w:rPr>
          <w:rFonts w:cs="Calibri"/>
          <w:lang w:val="en-US"/>
        </w:rPr>
        <w:t xml:space="preserve"> RNA extraction, MC38 tumors </w:t>
      </w:r>
      <w:r w:rsidRPr="0022742A">
        <w:rPr>
          <w:rFonts w:cs="Calibri"/>
          <w:noProof/>
          <w:lang w:val="en-US"/>
        </w:rPr>
        <w:t>were established</w:t>
      </w:r>
      <w:r w:rsidRPr="008759E3">
        <w:rPr>
          <w:rFonts w:cs="Calibri"/>
          <w:lang w:val="en-US"/>
        </w:rPr>
        <w:t xml:space="preserve"> </w:t>
      </w:r>
      <w:r w:rsidRPr="00DC144D">
        <w:rPr>
          <w:rFonts w:cs="Calibri"/>
          <w:noProof/>
          <w:lang w:val="en-US"/>
        </w:rPr>
        <w:t>and</w:t>
      </w:r>
      <w:r w:rsidRPr="008759E3">
        <w:rPr>
          <w:rFonts w:cs="Calibri"/>
          <w:lang w:val="en-US"/>
        </w:rPr>
        <w:t xml:space="preserve"> 10</w:t>
      </w:r>
      <w:r w:rsidRPr="008759E3">
        <w:rPr>
          <w:rFonts w:cs="Calibri"/>
          <w:vertAlign w:val="superscript"/>
          <w:lang w:val="en-US"/>
        </w:rPr>
        <w:t>8</w:t>
      </w:r>
      <w:r w:rsidRPr="008759E3">
        <w:rPr>
          <w:rFonts w:cs="Calibri"/>
          <w:lang w:val="en-US"/>
        </w:rPr>
        <w:t xml:space="preserve"> SFV particles were administered </w:t>
      </w:r>
      <w:r w:rsidRPr="0022742A">
        <w:rPr>
          <w:rFonts w:cs="Calibri"/>
          <w:noProof/>
          <w:lang w:val="en-US"/>
        </w:rPr>
        <w:t>intratumorally</w:t>
      </w:r>
      <w:r w:rsidRPr="008759E3">
        <w:rPr>
          <w:rFonts w:cs="Calibri"/>
          <w:lang w:val="en-US"/>
        </w:rPr>
        <w:t xml:space="preserve"> when tumors reached an approximate size of 25 mm</w:t>
      </w:r>
      <w:r w:rsidRPr="008759E3">
        <w:rPr>
          <w:rFonts w:cs="Calibri"/>
          <w:vertAlign w:val="superscript"/>
          <w:lang w:val="en-US"/>
        </w:rPr>
        <w:t>2</w:t>
      </w:r>
      <w:r w:rsidRPr="008759E3">
        <w:rPr>
          <w:rFonts w:cs="Calibri"/>
          <w:lang w:val="en-US"/>
        </w:rPr>
        <w:t>. 24h later, tumor single cell suspensions were generated by 15-minute collagenase/</w:t>
      </w:r>
      <w:proofErr w:type="spellStart"/>
      <w:r w:rsidRPr="008759E3">
        <w:rPr>
          <w:rFonts w:cs="Calibri"/>
          <w:lang w:val="en-US"/>
        </w:rPr>
        <w:t>DNAse</w:t>
      </w:r>
      <w:proofErr w:type="spellEnd"/>
      <w:r w:rsidRPr="008759E3">
        <w:rPr>
          <w:rFonts w:cs="Calibri"/>
          <w:lang w:val="en-US"/>
        </w:rPr>
        <w:t xml:space="preserve"> digestion and mechanical disruption. mRNA was extracted from cell suspensions using the </w:t>
      </w:r>
      <w:proofErr w:type="spellStart"/>
      <w:r w:rsidRPr="008759E3">
        <w:rPr>
          <w:rFonts w:cs="Calibri"/>
          <w:lang w:val="en-US"/>
        </w:rPr>
        <w:t>RNAeasy</w:t>
      </w:r>
      <w:proofErr w:type="spellEnd"/>
      <w:r w:rsidRPr="008759E3">
        <w:rPr>
          <w:rFonts w:cs="Calibri"/>
          <w:lang w:val="en-US"/>
        </w:rPr>
        <w:t xml:space="preserve"> kit, cDNA </w:t>
      </w:r>
      <w:r w:rsidRPr="0022742A">
        <w:rPr>
          <w:rFonts w:cs="Calibri"/>
          <w:noProof/>
          <w:lang w:val="en-US"/>
        </w:rPr>
        <w:t>was generated</w:t>
      </w:r>
      <w:r w:rsidRPr="008759E3">
        <w:rPr>
          <w:rFonts w:cs="Calibri"/>
          <w:lang w:val="en-US"/>
        </w:rPr>
        <w:t xml:space="preserve"> </w:t>
      </w:r>
      <w:r w:rsidRPr="00DC144D">
        <w:rPr>
          <w:rFonts w:cs="Calibri"/>
          <w:noProof/>
          <w:lang w:val="en-US"/>
        </w:rPr>
        <w:t>and</w:t>
      </w:r>
      <w:r w:rsidRPr="008759E3">
        <w:rPr>
          <w:rFonts w:cs="Calibri"/>
          <w:lang w:val="en-US"/>
        </w:rPr>
        <w:t xml:space="preserve"> Flt3L, XCL1, β-actin and the viral </w:t>
      </w:r>
      <w:r w:rsidRPr="0022742A">
        <w:rPr>
          <w:rFonts w:cs="Calibri"/>
          <w:noProof/>
          <w:lang w:val="en-US"/>
        </w:rPr>
        <w:t>replicase</w:t>
      </w:r>
      <w:r w:rsidRPr="008759E3">
        <w:rPr>
          <w:rFonts w:cs="Calibri"/>
          <w:lang w:val="en-US"/>
        </w:rPr>
        <w:t xml:space="preserve"> were amplified and analyzed by real-time PCR (</w:t>
      </w:r>
      <w:proofErr w:type="spellStart"/>
      <w:r w:rsidRPr="008759E3">
        <w:rPr>
          <w:rFonts w:cs="Calibri"/>
          <w:lang w:val="en-US"/>
        </w:rPr>
        <w:t>BioRad</w:t>
      </w:r>
      <w:proofErr w:type="spellEnd"/>
      <w:r w:rsidRPr="008759E3">
        <w:rPr>
          <w:rFonts w:cs="Calibri"/>
          <w:lang w:val="en-US"/>
        </w:rPr>
        <w:t xml:space="preserve"> iQ5).</w:t>
      </w:r>
    </w:p>
    <w:p w:rsidR="0020577A" w:rsidRDefault="0020577A" w:rsidP="0020577A">
      <w:pPr>
        <w:spacing w:line="480" w:lineRule="auto"/>
        <w:jc w:val="both"/>
        <w:rPr>
          <w:rFonts w:cs="Calibri"/>
          <w:lang w:val="en-US"/>
        </w:rPr>
      </w:pPr>
    </w:p>
    <w:p w:rsidR="0020577A" w:rsidRPr="008759E3" w:rsidRDefault="0020577A" w:rsidP="0020577A">
      <w:pPr>
        <w:spacing w:line="480" w:lineRule="auto"/>
        <w:jc w:val="both"/>
        <w:rPr>
          <w:rFonts w:cs="Calibri"/>
          <w:b/>
          <w:lang w:val="en-US"/>
        </w:rPr>
      </w:pPr>
      <w:r w:rsidRPr="008759E3">
        <w:rPr>
          <w:rFonts w:cs="Calibri"/>
          <w:b/>
          <w:lang w:val="en-US"/>
        </w:rPr>
        <w:lastRenderedPageBreak/>
        <w:t>Western Blotting</w:t>
      </w:r>
    </w:p>
    <w:p w:rsidR="0020577A" w:rsidRDefault="0020577A" w:rsidP="0020577A">
      <w:pPr>
        <w:spacing w:line="480" w:lineRule="auto"/>
        <w:jc w:val="both"/>
        <w:rPr>
          <w:rFonts w:cs="Calibri"/>
          <w:lang w:val="en-US"/>
        </w:rPr>
      </w:pPr>
      <w:r w:rsidRPr="008759E3">
        <w:rPr>
          <w:rFonts w:cs="Calibri"/>
          <w:lang w:val="en-US"/>
        </w:rPr>
        <w:t xml:space="preserve">Infection and incubation of BHK cells </w:t>
      </w:r>
      <w:r w:rsidRPr="0022742A">
        <w:rPr>
          <w:rFonts w:cs="Calibri"/>
          <w:noProof/>
          <w:lang w:val="en-US"/>
        </w:rPr>
        <w:t>w</w:t>
      </w:r>
      <w:r w:rsidRPr="00DE1BFB">
        <w:rPr>
          <w:rFonts w:cs="Calibri"/>
          <w:noProof/>
          <w:lang w:val="en-US"/>
        </w:rPr>
        <w:t>ere performed</w:t>
      </w:r>
      <w:r w:rsidRPr="008759E3">
        <w:rPr>
          <w:rFonts w:cs="Calibri"/>
          <w:lang w:val="en-US"/>
        </w:rPr>
        <w:t xml:space="preserve"> as described above. After trypsinization, cells </w:t>
      </w:r>
      <w:r w:rsidRPr="0022742A">
        <w:rPr>
          <w:rFonts w:cs="Calibri"/>
          <w:noProof/>
          <w:lang w:val="en-US"/>
        </w:rPr>
        <w:t>were lysed</w:t>
      </w:r>
      <w:r w:rsidRPr="008759E3">
        <w:rPr>
          <w:rFonts w:cs="Calibri"/>
          <w:lang w:val="en-US"/>
        </w:rPr>
        <w:t xml:space="preserve"> in RIPA buffer in the presence of a protease inhibitor (Complete, Roche</w:t>
      </w:r>
      <w:r>
        <w:rPr>
          <w:rFonts w:cs="Calibri"/>
          <w:lang w:val="en-US"/>
        </w:rPr>
        <w:t xml:space="preserve">, </w:t>
      </w:r>
      <w:r w:rsidRPr="000E4D51">
        <w:rPr>
          <w:rFonts w:cs="Calibri"/>
          <w:lang w:val="en-US"/>
        </w:rPr>
        <w:t>Basel, Switzerland</w:t>
      </w:r>
      <w:r w:rsidRPr="008759E3">
        <w:rPr>
          <w:rFonts w:cs="Calibri"/>
          <w:lang w:val="en-US"/>
        </w:rPr>
        <w:t xml:space="preserve">) and the lysate protein concentration </w:t>
      </w:r>
      <w:r w:rsidRPr="0022742A">
        <w:rPr>
          <w:rFonts w:cs="Calibri"/>
          <w:noProof/>
          <w:lang w:val="en-US"/>
        </w:rPr>
        <w:t>was quantified</w:t>
      </w:r>
      <w:r w:rsidRPr="008759E3">
        <w:rPr>
          <w:rFonts w:cs="Calibri"/>
          <w:lang w:val="en-US"/>
        </w:rPr>
        <w:t xml:space="preserve"> by BCA (Thermo </w:t>
      </w:r>
      <w:r>
        <w:rPr>
          <w:rFonts w:cs="Calibri"/>
          <w:lang w:val="en-US"/>
        </w:rPr>
        <w:t xml:space="preserve">Fisher </w:t>
      </w:r>
      <w:r w:rsidRPr="008759E3">
        <w:rPr>
          <w:rFonts w:cs="Calibri"/>
          <w:lang w:val="en-US"/>
        </w:rPr>
        <w:t>Scientific</w:t>
      </w:r>
      <w:r>
        <w:rPr>
          <w:rFonts w:cs="Calibri"/>
          <w:lang w:val="en-US"/>
        </w:rPr>
        <w:t xml:space="preserve">, </w:t>
      </w:r>
      <w:r w:rsidRPr="000E4D51">
        <w:rPr>
          <w:rFonts w:cs="Calibri"/>
          <w:lang w:val="en-US"/>
        </w:rPr>
        <w:t>Waltham, M</w:t>
      </w:r>
      <w:r>
        <w:rPr>
          <w:rFonts w:cs="Calibri"/>
          <w:lang w:val="en-US"/>
        </w:rPr>
        <w:t>A</w:t>
      </w:r>
      <w:r w:rsidRPr="008759E3">
        <w:rPr>
          <w:rFonts w:cs="Calibri"/>
          <w:lang w:val="en-US"/>
        </w:rPr>
        <w:t xml:space="preserve">). The lysate </w:t>
      </w:r>
      <w:r w:rsidRPr="0022742A">
        <w:rPr>
          <w:rFonts w:cs="Calibri"/>
          <w:noProof/>
          <w:lang w:val="en-US"/>
        </w:rPr>
        <w:t>was boiled</w:t>
      </w:r>
      <w:r w:rsidRPr="008759E3">
        <w:rPr>
          <w:rFonts w:cs="Calibri"/>
          <w:lang w:val="en-US"/>
        </w:rPr>
        <w:t xml:space="preserve"> for 5 minutes in β-</w:t>
      </w:r>
      <w:proofErr w:type="spellStart"/>
      <w:r w:rsidRPr="008759E3">
        <w:rPr>
          <w:rFonts w:cs="Calibri"/>
          <w:lang w:val="en-US"/>
        </w:rPr>
        <w:t>mercaptoethanol</w:t>
      </w:r>
      <w:proofErr w:type="spellEnd"/>
      <w:r w:rsidRPr="008759E3">
        <w:rPr>
          <w:rFonts w:cs="Calibri"/>
          <w:lang w:val="en-US"/>
        </w:rPr>
        <w:t xml:space="preserve">-containing loading buffer. Electrophoresis on polyacrylamide gel was carried out </w:t>
      </w:r>
      <w:r w:rsidRPr="0022742A">
        <w:rPr>
          <w:rFonts w:cs="Calibri"/>
          <w:noProof/>
          <w:lang w:val="en-US"/>
        </w:rPr>
        <w:t>and</w:t>
      </w:r>
      <w:r w:rsidRPr="008759E3">
        <w:rPr>
          <w:rFonts w:cs="Calibri"/>
          <w:lang w:val="en-US"/>
        </w:rPr>
        <w:t xml:space="preserve"> proteins </w:t>
      </w:r>
      <w:r w:rsidRPr="0022742A">
        <w:rPr>
          <w:rFonts w:cs="Calibri"/>
          <w:noProof/>
          <w:lang w:val="en-US"/>
        </w:rPr>
        <w:t>were transferred</w:t>
      </w:r>
      <w:r w:rsidRPr="008759E3">
        <w:rPr>
          <w:rFonts w:cs="Calibri"/>
          <w:lang w:val="en-US"/>
        </w:rPr>
        <w:t xml:space="preserve"> to PVDF membranes. Membranes </w:t>
      </w:r>
      <w:r w:rsidRPr="0022742A">
        <w:rPr>
          <w:rFonts w:cs="Calibri"/>
          <w:noProof/>
          <w:lang w:val="en-US"/>
        </w:rPr>
        <w:t>were blocked</w:t>
      </w:r>
      <w:r w:rsidRPr="008759E3">
        <w:rPr>
          <w:rFonts w:cs="Calibri"/>
          <w:lang w:val="en-US"/>
        </w:rPr>
        <w:t xml:space="preserve"> with TBS-5% skimmed milk and stained with primary antibodies against mouse Flt3L (R&amp;D AF427) or XCL1 (R&amp;D AF486), followed by secondary staining with HRP-conjugated Goat Anti-Rat IgG (Pierce</w:t>
      </w:r>
      <w:r>
        <w:rPr>
          <w:rFonts w:cs="Calibri"/>
          <w:lang w:val="en-US"/>
        </w:rPr>
        <w:t xml:space="preserve">, </w:t>
      </w:r>
      <w:r w:rsidRPr="000E4D51">
        <w:rPr>
          <w:rFonts w:cs="Calibri"/>
          <w:lang w:val="en-US"/>
        </w:rPr>
        <w:t>Appleton, W</w:t>
      </w:r>
      <w:r>
        <w:rPr>
          <w:rFonts w:cs="Calibri"/>
          <w:lang w:val="en-US"/>
        </w:rPr>
        <w:t>I</w:t>
      </w:r>
      <w:r w:rsidRPr="008759E3">
        <w:rPr>
          <w:rFonts w:cs="Calibri"/>
          <w:lang w:val="en-US"/>
        </w:rPr>
        <w:t xml:space="preserve">). </w:t>
      </w:r>
      <w:proofErr w:type="spellStart"/>
      <w:r w:rsidRPr="008759E3">
        <w:rPr>
          <w:rFonts w:cs="Calibri"/>
          <w:lang w:val="en-US"/>
        </w:rPr>
        <w:t>SuperSignal</w:t>
      </w:r>
      <w:proofErr w:type="spellEnd"/>
      <w:r w:rsidRPr="008759E3">
        <w:rPr>
          <w:rFonts w:cs="Calibri"/>
          <w:lang w:val="en-US"/>
        </w:rPr>
        <w:t xml:space="preserve">™ </w:t>
      </w:r>
      <w:proofErr w:type="spellStart"/>
      <w:r w:rsidRPr="008759E3">
        <w:rPr>
          <w:rFonts w:cs="Calibri"/>
          <w:lang w:val="en-US"/>
        </w:rPr>
        <w:t>Femto</w:t>
      </w:r>
      <w:proofErr w:type="spellEnd"/>
      <w:r w:rsidRPr="008759E3">
        <w:rPr>
          <w:rFonts w:cs="Calibri"/>
          <w:lang w:val="en-US"/>
        </w:rPr>
        <w:t xml:space="preserve"> Substrate (Thermo Scientific) </w:t>
      </w:r>
      <w:r w:rsidRPr="0022742A">
        <w:rPr>
          <w:rFonts w:cs="Calibri"/>
          <w:noProof/>
          <w:lang w:val="en-US"/>
        </w:rPr>
        <w:t>was used</w:t>
      </w:r>
      <w:r w:rsidRPr="008759E3">
        <w:rPr>
          <w:rFonts w:cs="Calibri"/>
          <w:lang w:val="en-US"/>
        </w:rPr>
        <w:t xml:space="preserve"> for detection. After detection, membranes were washed with </w:t>
      </w:r>
      <w:proofErr w:type="spellStart"/>
      <w:r w:rsidRPr="008759E3">
        <w:rPr>
          <w:rFonts w:cs="Calibri"/>
          <w:lang w:val="en-US"/>
        </w:rPr>
        <w:t>azide</w:t>
      </w:r>
      <w:proofErr w:type="spellEnd"/>
      <w:r w:rsidRPr="008759E3">
        <w:rPr>
          <w:rFonts w:cs="Calibri"/>
          <w:lang w:val="en-US"/>
        </w:rPr>
        <w:t>-containing TBS buffer and re-stained with anti-mouse β-actin (Sigma</w:t>
      </w:r>
      <w:r>
        <w:rPr>
          <w:rFonts w:cs="Calibri"/>
          <w:lang w:val="en-US"/>
        </w:rPr>
        <w:t xml:space="preserve">, </w:t>
      </w:r>
      <w:r w:rsidRPr="000E4D51">
        <w:rPr>
          <w:rFonts w:cs="Calibri"/>
          <w:lang w:val="en-US"/>
        </w:rPr>
        <w:t>St. Louis, M</w:t>
      </w:r>
      <w:r>
        <w:rPr>
          <w:rFonts w:cs="Calibri"/>
          <w:lang w:val="en-US"/>
        </w:rPr>
        <w:t>O</w:t>
      </w:r>
      <w:r w:rsidRPr="008759E3">
        <w:rPr>
          <w:rFonts w:cs="Calibri"/>
          <w:lang w:val="en-US"/>
        </w:rPr>
        <w:t>). Secondary staining was carried out with HRP-conjugated Goat Anti-Rabbit IgG (</w:t>
      </w:r>
      <w:proofErr w:type="spellStart"/>
      <w:r w:rsidRPr="008759E3">
        <w:rPr>
          <w:rFonts w:cs="Calibri"/>
          <w:lang w:val="en-US"/>
        </w:rPr>
        <w:t>BioRad</w:t>
      </w:r>
      <w:proofErr w:type="spellEnd"/>
      <w:r w:rsidRPr="008759E3">
        <w:rPr>
          <w:rFonts w:cs="Calibri"/>
          <w:lang w:val="en-US"/>
        </w:rPr>
        <w:t xml:space="preserve">) </w:t>
      </w:r>
      <w:r w:rsidRPr="0022742A">
        <w:rPr>
          <w:rFonts w:cs="Calibri"/>
          <w:noProof/>
          <w:lang w:val="en-US"/>
        </w:rPr>
        <w:t>and</w:t>
      </w:r>
      <w:r w:rsidRPr="008759E3">
        <w:rPr>
          <w:rFonts w:cs="Calibri"/>
          <w:lang w:val="en-US"/>
        </w:rPr>
        <w:t xml:space="preserve"> Pierce™ ECL Western Blotting Substrate (Thermo Scientific) </w:t>
      </w:r>
      <w:r w:rsidRPr="0022742A">
        <w:rPr>
          <w:rFonts w:cs="Calibri"/>
          <w:noProof/>
          <w:lang w:val="en-US"/>
        </w:rPr>
        <w:t>was used</w:t>
      </w:r>
      <w:r w:rsidRPr="008759E3">
        <w:rPr>
          <w:rFonts w:cs="Calibri"/>
          <w:lang w:val="en-US"/>
        </w:rPr>
        <w:t xml:space="preserve"> for detection.</w:t>
      </w:r>
    </w:p>
    <w:p w:rsidR="003C247C" w:rsidRPr="008759E3" w:rsidRDefault="003C247C" w:rsidP="0020577A">
      <w:pPr>
        <w:spacing w:line="480" w:lineRule="auto"/>
        <w:jc w:val="both"/>
        <w:rPr>
          <w:rFonts w:cs="Calibri"/>
          <w:lang w:val="en-US"/>
        </w:rPr>
      </w:pPr>
      <w:bookmarkStart w:id="0" w:name="_GoBack"/>
      <w:bookmarkEnd w:id="0"/>
    </w:p>
    <w:p w:rsidR="0020577A" w:rsidRPr="008759E3" w:rsidRDefault="0020577A" w:rsidP="0020577A">
      <w:pPr>
        <w:spacing w:line="480" w:lineRule="auto"/>
        <w:jc w:val="both"/>
        <w:rPr>
          <w:rFonts w:cs="Calibri"/>
          <w:b/>
          <w:lang w:val="en-US"/>
        </w:rPr>
      </w:pPr>
      <w:r w:rsidRPr="008759E3">
        <w:rPr>
          <w:rFonts w:cs="Calibri"/>
          <w:b/>
          <w:lang w:val="en-US"/>
        </w:rPr>
        <w:t>Tissue Processing and Flow cytometry</w:t>
      </w:r>
    </w:p>
    <w:p w:rsidR="0020577A" w:rsidRDefault="0020577A" w:rsidP="0020577A">
      <w:pPr>
        <w:spacing w:line="480" w:lineRule="auto"/>
        <w:jc w:val="both"/>
        <w:rPr>
          <w:rFonts w:cs="Calibri"/>
          <w:lang w:val="en-US"/>
        </w:rPr>
      </w:pPr>
      <w:r w:rsidRPr="008759E3">
        <w:rPr>
          <w:rFonts w:cs="Calibri"/>
          <w:lang w:val="en-US"/>
        </w:rPr>
        <w:t>Excised tumors and tumor-draining lymph nodes were incubated in collagenase/</w:t>
      </w:r>
      <w:proofErr w:type="spellStart"/>
      <w:r w:rsidRPr="008759E3">
        <w:rPr>
          <w:rFonts w:cs="Calibri"/>
          <w:lang w:val="en-US"/>
        </w:rPr>
        <w:t>DNAse</w:t>
      </w:r>
      <w:proofErr w:type="spellEnd"/>
      <w:r w:rsidRPr="008759E3">
        <w:rPr>
          <w:rFonts w:cs="Calibri"/>
          <w:lang w:val="en-US"/>
        </w:rPr>
        <w:t xml:space="preserve"> for 30 minutes at 37ºC, followed by mechanical disaggregation and filtering through a 70-µm cell strainer (</w:t>
      </w:r>
      <w:r>
        <w:rPr>
          <w:rFonts w:cs="Calibri"/>
          <w:lang w:val="en-US"/>
        </w:rPr>
        <w:t xml:space="preserve">Thermo </w:t>
      </w:r>
      <w:r w:rsidRPr="008759E3">
        <w:rPr>
          <w:rFonts w:cs="Calibri"/>
          <w:lang w:val="en-US"/>
        </w:rPr>
        <w:t xml:space="preserve">Fisher Scientific). Single-cell suspensions </w:t>
      </w:r>
      <w:r w:rsidRPr="0022742A">
        <w:rPr>
          <w:rFonts w:cs="Calibri"/>
          <w:noProof/>
          <w:lang w:val="en-US"/>
        </w:rPr>
        <w:t>were then stained</w:t>
      </w:r>
      <w:r w:rsidRPr="008759E3">
        <w:rPr>
          <w:rFonts w:cs="Calibri"/>
          <w:lang w:val="en-US"/>
        </w:rPr>
        <w:t xml:space="preserve"> for flow cytometry. </w:t>
      </w:r>
      <w:r>
        <w:rPr>
          <w:rFonts w:cs="Calibri"/>
          <w:lang w:val="en-US"/>
        </w:rPr>
        <w:t xml:space="preserve">The </w:t>
      </w:r>
      <w:r w:rsidRPr="008759E3">
        <w:rPr>
          <w:rFonts w:cs="Calibri"/>
          <w:lang w:val="en-US"/>
        </w:rPr>
        <w:t xml:space="preserve">fluorochrome-tagged </w:t>
      </w:r>
      <w:proofErr w:type="spellStart"/>
      <w:r w:rsidRPr="008759E3">
        <w:rPr>
          <w:rFonts w:cs="Calibri"/>
          <w:lang w:val="en-US"/>
        </w:rPr>
        <w:t>mAbs</w:t>
      </w:r>
      <w:proofErr w:type="spellEnd"/>
      <w:r w:rsidRPr="008759E3">
        <w:rPr>
          <w:rFonts w:cs="Calibri"/>
          <w:lang w:val="en-US"/>
        </w:rPr>
        <w:t xml:space="preserve"> </w:t>
      </w:r>
      <w:r>
        <w:rPr>
          <w:rFonts w:cs="Calibri"/>
          <w:lang w:val="en-US"/>
        </w:rPr>
        <w:t>used</w:t>
      </w:r>
      <w:r w:rsidRPr="008759E3">
        <w:rPr>
          <w:rFonts w:cs="Calibri"/>
          <w:lang w:val="en-US"/>
        </w:rPr>
        <w:t xml:space="preserve"> </w:t>
      </w:r>
      <w:r w:rsidRPr="0022742A">
        <w:rPr>
          <w:rFonts w:cs="Calibri"/>
          <w:noProof/>
          <w:lang w:val="en-US"/>
        </w:rPr>
        <w:t>are listed</w:t>
      </w:r>
      <w:r w:rsidRPr="008759E3">
        <w:rPr>
          <w:rFonts w:cs="Calibri"/>
          <w:lang w:val="en-US"/>
        </w:rPr>
        <w:t xml:space="preserve"> in Supplementary Table 1. For identification of epitope-specific T cells, phycoerythrin-conjugated H-2K</w:t>
      </w:r>
      <w:r w:rsidRPr="008759E3">
        <w:rPr>
          <w:rFonts w:cs="Calibri"/>
          <w:vertAlign w:val="superscript"/>
          <w:lang w:val="en-US"/>
        </w:rPr>
        <w:t>b</w:t>
      </w:r>
      <w:r w:rsidRPr="008759E3">
        <w:rPr>
          <w:rFonts w:cs="Calibri"/>
          <w:lang w:val="en-US"/>
        </w:rPr>
        <w:t>-OVA</w:t>
      </w:r>
      <w:r w:rsidRPr="008759E3">
        <w:rPr>
          <w:rFonts w:cs="Calibri"/>
          <w:vertAlign w:val="subscript"/>
          <w:lang w:val="en-US"/>
        </w:rPr>
        <w:t>257-264</w:t>
      </w:r>
      <w:r w:rsidRPr="008759E3">
        <w:rPr>
          <w:rFonts w:cs="Calibri"/>
          <w:lang w:val="en-US"/>
        </w:rPr>
        <w:t xml:space="preserve"> tetramer (MBL</w:t>
      </w:r>
      <w:r>
        <w:rPr>
          <w:rFonts w:cs="Calibri"/>
          <w:lang w:val="en-US"/>
        </w:rPr>
        <w:t xml:space="preserve">, </w:t>
      </w:r>
      <w:r w:rsidRPr="00373872">
        <w:rPr>
          <w:rFonts w:cs="Calibri"/>
          <w:lang w:val="en-US"/>
        </w:rPr>
        <w:t>Woburn, MA</w:t>
      </w:r>
      <w:r w:rsidRPr="008759E3">
        <w:rPr>
          <w:rFonts w:cs="Calibri"/>
          <w:lang w:val="en-US"/>
        </w:rPr>
        <w:t>)</w:t>
      </w:r>
      <w:r>
        <w:rPr>
          <w:rFonts w:cs="Calibri"/>
          <w:lang w:val="en-US"/>
        </w:rPr>
        <w:t xml:space="preserve"> or H-2K</w:t>
      </w:r>
      <w:r w:rsidRPr="00543CF7">
        <w:rPr>
          <w:rFonts w:cs="Calibri"/>
          <w:vertAlign w:val="superscript"/>
          <w:lang w:val="en-US"/>
        </w:rPr>
        <w:t>b</w:t>
      </w:r>
      <w:r>
        <w:rPr>
          <w:rFonts w:cs="Calibri"/>
          <w:lang w:val="en-US"/>
        </w:rPr>
        <w:t>-</w:t>
      </w:r>
      <w:r w:rsidRPr="00C66C5F">
        <w:rPr>
          <w:rFonts w:cs="Calibri"/>
          <w:lang w:val="en-US"/>
        </w:rPr>
        <w:t xml:space="preserve">KSPWFTTL pentamer (gp70, </w:t>
      </w:r>
      <w:proofErr w:type="spellStart"/>
      <w:r w:rsidRPr="00C66C5F">
        <w:rPr>
          <w:rFonts w:cs="Calibri"/>
          <w:lang w:val="en-US"/>
        </w:rPr>
        <w:t>Proimmune</w:t>
      </w:r>
      <w:proofErr w:type="spellEnd"/>
      <w:r w:rsidRPr="00C66C5F">
        <w:rPr>
          <w:rFonts w:cs="Calibri"/>
          <w:lang w:val="en-US"/>
        </w:rPr>
        <w:t>)</w:t>
      </w:r>
      <w:r w:rsidRPr="008759E3">
        <w:rPr>
          <w:rFonts w:cs="Calibri"/>
          <w:lang w:val="en-US"/>
        </w:rPr>
        <w:t xml:space="preserve"> </w:t>
      </w:r>
      <w:r w:rsidRPr="0022742A">
        <w:rPr>
          <w:rFonts w:cs="Calibri"/>
          <w:noProof/>
          <w:lang w:val="en-US"/>
        </w:rPr>
        <w:t>w</w:t>
      </w:r>
      <w:r>
        <w:rPr>
          <w:rFonts w:cs="Calibri"/>
          <w:noProof/>
          <w:lang w:val="en-US"/>
        </w:rPr>
        <w:t>ere</w:t>
      </w:r>
      <w:r w:rsidRPr="0022742A">
        <w:rPr>
          <w:rFonts w:cs="Calibri"/>
          <w:noProof/>
          <w:lang w:val="en-US"/>
        </w:rPr>
        <w:t xml:space="preserve"> used</w:t>
      </w:r>
      <w:r w:rsidRPr="008759E3">
        <w:rPr>
          <w:rFonts w:cs="Calibri"/>
          <w:lang w:val="en-US"/>
        </w:rPr>
        <w:t xml:space="preserve">. </w:t>
      </w:r>
      <w:r w:rsidRPr="0022742A">
        <w:rPr>
          <w:rFonts w:cs="Calibri"/>
          <w:noProof/>
          <w:lang w:val="en-US"/>
        </w:rPr>
        <w:t>For intranuclear staining, cells were fixed and permeabilized</w:t>
      </w:r>
      <w:r w:rsidRPr="008759E3">
        <w:rPr>
          <w:rFonts w:cs="Calibri"/>
          <w:lang w:val="en-US"/>
        </w:rPr>
        <w:t xml:space="preserve"> using the </w:t>
      </w:r>
      <w:r w:rsidRPr="0022742A">
        <w:rPr>
          <w:rFonts w:cs="Calibri"/>
          <w:noProof/>
          <w:lang w:val="en-US"/>
        </w:rPr>
        <w:t>TrueNuclear</w:t>
      </w:r>
      <w:r w:rsidRPr="008759E3">
        <w:rPr>
          <w:rFonts w:cs="Calibri"/>
          <w:lang w:val="en-US"/>
        </w:rPr>
        <w:t xml:space="preserve"> transcription factor staining kit (</w:t>
      </w:r>
      <w:proofErr w:type="spellStart"/>
      <w:r w:rsidRPr="008759E3">
        <w:rPr>
          <w:rFonts w:cs="Calibri"/>
          <w:lang w:val="en-US"/>
        </w:rPr>
        <w:t>Biolegend</w:t>
      </w:r>
      <w:proofErr w:type="spellEnd"/>
      <w:r>
        <w:rPr>
          <w:rFonts w:cs="Calibri"/>
          <w:lang w:val="en-US"/>
        </w:rPr>
        <w:t>, San Diego, CA</w:t>
      </w:r>
      <w:r w:rsidRPr="008759E3">
        <w:rPr>
          <w:rFonts w:cs="Calibri"/>
          <w:lang w:val="en-US"/>
        </w:rPr>
        <w:t>) and then stained according to manufacturer’s instruction</w:t>
      </w:r>
      <w:r>
        <w:rPr>
          <w:rFonts w:cs="Calibri"/>
          <w:lang w:val="en-US"/>
        </w:rPr>
        <w:t>s</w:t>
      </w:r>
      <w:r w:rsidRPr="008759E3">
        <w:rPr>
          <w:rFonts w:cs="Calibri"/>
          <w:lang w:val="en-US"/>
        </w:rPr>
        <w:t xml:space="preserve">. </w:t>
      </w:r>
    </w:p>
    <w:p w:rsidR="0020577A" w:rsidRPr="008759E3" w:rsidRDefault="0020577A" w:rsidP="0020577A">
      <w:pPr>
        <w:spacing w:line="480" w:lineRule="auto"/>
        <w:jc w:val="both"/>
        <w:rPr>
          <w:rFonts w:cs="Calibri"/>
          <w:lang w:val="en-US"/>
        </w:rPr>
      </w:pPr>
      <w:r>
        <w:rPr>
          <w:rFonts w:cs="Calibri"/>
          <w:lang w:val="en-US"/>
        </w:rPr>
        <w:lastRenderedPageBreak/>
        <w:t>Where indicated, OT-II CD4 T cells were purified using CD4 magnetic beads (</w:t>
      </w:r>
      <w:proofErr w:type="spellStart"/>
      <w:r>
        <w:rPr>
          <w:rFonts w:cs="Calibri"/>
          <w:lang w:val="en-US"/>
        </w:rPr>
        <w:t>Miltenyi</w:t>
      </w:r>
      <w:proofErr w:type="spellEnd"/>
      <w:r>
        <w:rPr>
          <w:rFonts w:cs="Calibri"/>
          <w:lang w:val="en-US"/>
        </w:rPr>
        <w:t>), labeled with 5 µM Violet Proliferation Dye (BD) and 5 x 10</w:t>
      </w:r>
      <w:r>
        <w:rPr>
          <w:rFonts w:cs="Calibri"/>
          <w:vertAlign w:val="superscript"/>
          <w:lang w:val="en-US"/>
        </w:rPr>
        <w:t>6</w:t>
      </w:r>
      <w:r>
        <w:rPr>
          <w:rFonts w:cs="Calibri"/>
          <w:lang w:val="en-US"/>
        </w:rPr>
        <w:t xml:space="preserve"> cells injected into the tail vein of tumor-bearing mice. For cytokine staining, 250 µg </w:t>
      </w:r>
      <w:proofErr w:type="spellStart"/>
      <w:r>
        <w:rPr>
          <w:rFonts w:cs="Calibri"/>
          <w:lang w:val="en-US"/>
        </w:rPr>
        <w:t>BrefeldinA</w:t>
      </w:r>
      <w:proofErr w:type="spellEnd"/>
      <w:r>
        <w:rPr>
          <w:rFonts w:cs="Calibri"/>
          <w:lang w:val="en-US"/>
        </w:rPr>
        <w:t xml:space="preserve"> (Sigma) were administered to tumor-bearing mice 90 minutes before TDLN extraction. TDLN cell suspensions were </w:t>
      </w:r>
      <w:proofErr w:type="spellStart"/>
      <w:r>
        <w:rPr>
          <w:rFonts w:cs="Calibri"/>
          <w:lang w:val="en-US"/>
        </w:rPr>
        <w:t>restimulated</w:t>
      </w:r>
      <w:proofErr w:type="spellEnd"/>
      <w:r>
        <w:rPr>
          <w:rFonts w:cs="Calibri"/>
          <w:lang w:val="en-US"/>
        </w:rPr>
        <w:t xml:space="preserve"> for 4 hours with PMA (100 ng/ml) plus ionomycin (1 µg/ml) in the presence of </w:t>
      </w:r>
      <w:proofErr w:type="spellStart"/>
      <w:r>
        <w:rPr>
          <w:rFonts w:cs="Calibri"/>
          <w:lang w:val="en-US"/>
        </w:rPr>
        <w:t>GolgiPlug</w:t>
      </w:r>
      <w:proofErr w:type="spellEnd"/>
      <w:r>
        <w:rPr>
          <w:rFonts w:cs="Calibri"/>
          <w:lang w:val="en-US"/>
        </w:rPr>
        <w:t xml:space="preserve"> (BD), followed by extracellular staining, incubation with </w:t>
      </w:r>
      <w:proofErr w:type="spellStart"/>
      <w:r>
        <w:rPr>
          <w:rFonts w:cs="Calibri"/>
          <w:lang w:val="en-US"/>
        </w:rPr>
        <w:t>Cytofix</w:t>
      </w:r>
      <w:proofErr w:type="spellEnd"/>
      <w:r>
        <w:rPr>
          <w:rFonts w:cs="Calibri"/>
          <w:lang w:val="en-US"/>
        </w:rPr>
        <w:t>/</w:t>
      </w:r>
      <w:proofErr w:type="spellStart"/>
      <w:r>
        <w:rPr>
          <w:rFonts w:cs="Calibri"/>
          <w:lang w:val="en-US"/>
        </w:rPr>
        <w:t>Cytoperm</w:t>
      </w:r>
      <w:proofErr w:type="spellEnd"/>
      <w:r>
        <w:rPr>
          <w:rFonts w:cs="Calibri"/>
          <w:lang w:val="en-US"/>
        </w:rPr>
        <w:t xml:space="preserve"> buffer (BD) and intracellular staining. Flow cytometry</w:t>
      </w:r>
      <w:r w:rsidRPr="008759E3">
        <w:rPr>
          <w:rFonts w:cs="Calibri"/>
          <w:lang w:val="en-US"/>
        </w:rPr>
        <w:t xml:space="preserve"> was performed using FACS Canto II (BD Biosciences</w:t>
      </w:r>
      <w:r>
        <w:rPr>
          <w:rFonts w:cs="Calibri"/>
          <w:lang w:val="en-US"/>
        </w:rPr>
        <w:t>, Franklin Lakes, N</w:t>
      </w:r>
      <w:r w:rsidRPr="00373872">
        <w:rPr>
          <w:rFonts w:cs="Calibri"/>
          <w:lang w:val="en-US"/>
        </w:rPr>
        <w:t>J</w:t>
      </w:r>
      <w:r w:rsidRPr="008759E3">
        <w:rPr>
          <w:rFonts w:cs="Calibri"/>
          <w:lang w:val="en-US"/>
        </w:rPr>
        <w:t>)</w:t>
      </w:r>
      <w:r>
        <w:rPr>
          <w:rFonts w:cs="Calibri"/>
          <w:lang w:val="en-US"/>
        </w:rPr>
        <w:t xml:space="preserve"> or </w:t>
      </w:r>
      <w:proofErr w:type="spellStart"/>
      <w:r>
        <w:rPr>
          <w:rFonts w:cs="Calibri"/>
          <w:lang w:val="en-US"/>
        </w:rPr>
        <w:t>CytoFLEX</w:t>
      </w:r>
      <w:proofErr w:type="spellEnd"/>
      <w:r>
        <w:rPr>
          <w:rFonts w:cs="Calibri"/>
          <w:lang w:val="en-US"/>
        </w:rPr>
        <w:t xml:space="preserve"> (Beckman Coulter) equipment</w:t>
      </w:r>
      <w:r w:rsidRPr="008759E3">
        <w:rPr>
          <w:rFonts w:cs="Calibri"/>
          <w:lang w:val="en-US"/>
        </w:rPr>
        <w:t>.</w:t>
      </w:r>
    </w:p>
    <w:p w:rsidR="0020577A" w:rsidRDefault="00A53051" w:rsidP="0020577A">
      <w:pPr>
        <w:spacing w:line="480" w:lineRule="auto"/>
        <w:jc w:val="both"/>
        <w:rPr>
          <w:rFonts w:cs="Calibri"/>
          <w:lang w:val="en-US"/>
        </w:rPr>
      </w:pPr>
      <w:r>
        <w:rPr>
          <w:rFonts w:cs="Calibri"/>
          <w:lang w:val="en-US"/>
        </w:rPr>
        <w:t>The following antibodies were used:</w:t>
      </w:r>
    </w:p>
    <w:tbl>
      <w:tblPr>
        <w:tblW w:w="6640" w:type="dxa"/>
        <w:tblCellMar>
          <w:left w:w="0" w:type="dxa"/>
          <w:right w:w="0" w:type="dxa"/>
        </w:tblCellMar>
        <w:tblLook w:val="00A0" w:firstRow="1" w:lastRow="0" w:firstColumn="1" w:lastColumn="0" w:noHBand="0" w:noVBand="0"/>
      </w:tblPr>
      <w:tblGrid>
        <w:gridCol w:w="3170"/>
        <w:gridCol w:w="3470"/>
      </w:tblGrid>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b/>
                <w:bCs/>
                <w:color w:val="000000" w:themeColor="text1"/>
                <w:kern w:val="24"/>
                <w:lang w:val="en-US" w:eastAsia="es-ES"/>
              </w:rPr>
              <w:t xml:space="preserve">Reagent </w:t>
            </w:r>
          </w:p>
        </w:tc>
        <w:tc>
          <w:tcPr>
            <w:tcW w:w="34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b/>
                <w:bCs/>
                <w:color w:val="000000" w:themeColor="text1"/>
                <w:kern w:val="24"/>
                <w:lang w:val="en-US" w:eastAsia="es-ES"/>
              </w:rPr>
              <w:t>Source (</w:t>
            </w:r>
            <w:proofErr w:type="spellStart"/>
            <w:r w:rsidRPr="00A53051">
              <w:rPr>
                <w:rFonts w:cs="Calibri"/>
                <w:b/>
                <w:bCs/>
                <w:color w:val="000000" w:themeColor="text1"/>
                <w:kern w:val="24"/>
                <w:lang w:val="en-US" w:eastAsia="es-ES"/>
              </w:rPr>
              <w:t>mAb</w:t>
            </w:r>
            <w:proofErr w:type="spellEnd"/>
            <w:r w:rsidRPr="00A53051">
              <w:rPr>
                <w:rFonts w:cs="Calibri"/>
                <w:b/>
                <w:bCs/>
                <w:color w:val="000000" w:themeColor="text1"/>
                <w:kern w:val="24"/>
                <w:lang w:val="en-US" w:eastAsia="es-ES"/>
              </w:rPr>
              <w:t xml:space="preserve"> clone)</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after="0"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Zombie NIR</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rFonts w:cs="Calibri"/>
                <w:color w:val="000000" w:themeColor="text1"/>
                <w:kern w:val="24"/>
                <w:lang w:val="en-US" w:eastAsia="es-ES"/>
              </w:rPr>
              <w:t>Biolegend</w:t>
            </w:r>
            <w:proofErr w:type="spellEnd"/>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SAV-APCAF750</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Invitrogen</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 xml:space="preserve">Cell </w:t>
            </w:r>
            <w:proofErr w:type="spellStart"/>
            <w:r w:rsidRPr="00A53051">
              <w:rPr>
                <w:color w:val="000000" w:themeColor="text1"/>
                <w:kern w:val="24"/>
                <w:lang w:val="es-ES_tradnl" w:eastAsia="es-ES"/>
              </w:rPr>
              <w:t>Proliferation</w:t>
            </w:r>
            <w:proofErr w:type="spellEnd"/>
            <w:r w:rsidRPr="00A53051">
              <w:rPr>
                <w:color w:val="000000" w:themeColor="text1"/>
                <w:kern w:val="24"/>
                <w:lang w:val="es-ES_tradnl" w:eastAsia="es-ES"/>
              </w:rPr>
              <w:t xml:space="preserve"> </w:t>
            </w:r>
            <w:proofErr w:type="spellStart"/>
            <w:r w:rsidRPr="00A53051">
              <w:rPr>
                <w:color w:val="000000" w:themeColor="text1"/>
                <w:kern w:val="24"/>
                <w:lang w:val="es-ES_tradnl" w:eastAsia="es-ES"/>
              </w:rPr>
              <w:t>Dye</w:t>
            </w:r>
            <w:proofErr w:type="spellEnd"/>
            <w:r w:rsidRPr="00A53051">
              <w:rPr>
                <w:color w:val="000000" w:themeColor="text1"/>
                <w:kern w:val="24"/>
                <w:lang w:val="es-ES_tradnl" w:eastAsia="es-ES"/>
              </w:rPr>
              <w:t xml:space="preserve"> </w:t>
            </w:r>
            <w:proofErr w:type="spellStart"/>
            <w:r w:rsidRPr="00A53051">
              <w:rPr>
                <w:color w:val="000000" w:themeColor="text1"/>
                <w:kern w:val="24"/>
                <w:lang w:val="es-ES_tradnl" w:eastAsia="es-ES"/>
              </w:rPr>
              <w:t>eFluor</w:t>
            </w:r>
            <w:proofErr w:type="spellEnd"/>
            <w:r w:rsidRPr="00A53051">
              <w:rPr>
                <w:color w:val="000000" w:themeColor="text1"/>
                <w:kern w:val="24"/>
                <w:lang w:val="es-ES_tradnl" w:eastAsia="es-ES"/>
              </w:rPr>
              <w:t xml:space="preserve"> 450</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color w:val="000000" w:themeColor="text1"/>
                <w:kern w:val="24"/>
                <w:lang w:val="es-ES_tradnl" w:eastAsia="es-ES"/>
              </w:rPr>
              <w:t>Thermo</w:t>
            </w:r>
            <w:proofErr w:type="spellEnd"/>
            <w:r w:rsidRPr="00A53051">
              <w:rPr>
                <w:color w:val="000000" w:themeColor="text1"/>
                <w:kern w:val="24"/>
                <w:lang w:val="es-ES_tradnl" w:eastAsia="es-ES"/>
              </w:rPr>
              <w:t xml:space="preserve"> Fisher</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FITC B220</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rFonts w:cs="Calibri"/>
                <w:color w:val="000000" w:themeColor="text1"/>
                <w:kern w:val="24"/>
                <w:lang w:val="en-US" w:eastAsia="es-ES"/>
              </w:rPr>
              <w:t>Biolegend</w:t>
            </w:r>
            <w:proofErr w:type="spellEnd"/>
            <w:r w:rsidRPr="00A53051">
              <w:rPr>
                <w:rFonts w:cs="Calibri"/>
                <w:color w:val="000000" w:themeColor="text1"/>
                <w:kern w:val="24"/>
                <w:lang w:val="en-US" w:eastAsia="es-ES"/>
              </w:rPr>
              <w:t xml:space="preserve"> (RA3-6B2)</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APC CD11b</w:t>
            </w:r>
            <w:r w:rsidRPr="00A53051">
              <w:rPr>
                <w:rFonts w:cs="Calibri"/>
                <w:color w:val="000000" w:themeColor="text1"/>
                <w:kern w:val="24"/>
                <w:lang w:val="en-US" w:eastAsia="es-ES"/>
              </w:rPr>
              <w:tab/>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rFonts w:cs="Calibri"/>
                <w:color w:val="000000" w:themeColor="text1"/>
                <w:kern w:val="24"/>
                <w:lang w:val="en-US" w:eastAsia="es-ES"/>
              </w:rPr>
              <w:t>Biolegend</w:t>
            </w:r>
            <w:proofErr w:type="spellEnd"/>
            <w:r w:rsidRPr="00A53051">
              <w:rPr>
                <w:rFonts w:cs="Calibri"/>
                <w:color w:val="000000" w:themeColor="text1"/>
                <w:kern w:val="24"/>
                <w:lang w:val="en-US" w:eastAsia="es-ES"/>
              </w:rPr>
              <w:t xml:space="preserve"> (M1/70)</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FITC CD11b</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rFonts w:cs="Calibri"/>
                <w:color w:val="000000" w:themeColor="text1"/>
                <w:kern w:val="24"/>
                <w:lang w:val="en-US" w:eastAsia="es-ES"/>
              </w:rPr>
              <w:t>Biolegend</w:t>
            </w:r>
            <w:proofErr w:type="spellEnd"/>
            <w:r w:rsidRPr="00A53051">
              <w:rPr>
                <w:rFonts w:cs="Calibri"/>
                <w:color w:val="000000" w:themeColor="text1"/>
                <w:kern w:val="24"/>
                <w:lang w:val="en-US" w:eastAsia="es-ES"/>
              </w:rPr>
              <w:t xml:space="preserve"> (M1/70)</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BUV395 CD11b</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 xml:space="preserve">BD </w:t>
            </w:r>
            <w:proofErr w:type="spellStart"/>
            <w:r w:rsidRPr="00A53051">
              <w:rPr>
                <w:color w:val="000000" w:themeColor="text1"/>
                <w:kern w:val="24"/>
                <w:lang w:val="es-ES_tradnl" w:eastAsia="es-ES"/>
              </w:rPr>
              <w:t>Horizon</w:t>
            </w:r>
            <w:proofErr w:type="spellEnd"/>
            <w:r w:rsidRPr="00A53051">
              <w:rPr>
                <w:color w:val="000000" w:themeColor="text1"/>
                <w:kern w:val="24"/>
                <w:lang w:val="es-ES_tradnl" w:eastAsia="es-ES"/>
              </w:rPr>
              <w:t xml:space="preserve"> (M1/70)</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PE CD11c</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rFonts w:cs="Calibri"/>
                <w:color w:val="000000" w:themeColor="text1"/>
                <w:kern w:val="24"/>
                <w:lang w:val="en-US" w:eastAsia="es-ES"/>
              </w:rPr>
              <w:t>Biolegend</w:t>
            </w:r>
            <w:proofErr w:type="spellEnd"/>
            <w:r w:rsidRPr="00A53051">
              <w:rPr>
                <w:rFonts w:cs="Calibri"/>
                <w:color w:val="000000" w:themeColor="text1"/>
                <w:kern w:val="24"/>
                <w:lang w:val="en-US" w:eastAsia="es-ES"/>
              </w:rPr>
              <w:t xml:space="preserve"> (N418)</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APC CD11c</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rFonts w:cs="Calibri"/>
                <w:color w:val="000000" w:themeColor="text1"/>
                <w:kern w:val="24"/>
                <w:lang w:val="en-US" w:eastAsia="es-ES"/>
              </w:rPr>
              <w:t>Biolegend</w:t>
            </w:r>
            <w:proofErr w:type="spellEnd"/>
            <w:r w:rsidRPr="00A53051">
              <w:rPr>
                <w:rFonts w:cs="Calibri"/>
                <w:color w:val="000000" w:themeColor="text1"/>
                <w:kern w:val="24"/>
                <w:lang w:val="en-US" w:eastAsia="es-ES"/>
              </w:rPr>
              <w:t xml:space="preserve"> (N418)</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BV510 CD11c</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Pharmingen (HL3)</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APCR700 CD11c</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 xml:space="preserve">BD </w:t>
            </w:r>
            <w:proofErr w:type="spellStart"/>
            <w:r w:rsidRPr="00A53051">
              <w:rPr>
                <w:color w:val="000000" w:themeColor="text1"/>
                <w:kern w:val="24"/>
                <w:lang w:val="es-ES_tradnl" w:eastAsia="es-ES"/>
              </w:rPr>
              <w:t>Horizon</w:t>
            </w:r>
            <w:proofErr w:type="spellEnd"/>
            <w:r w:rsidRPr="00A53051">
              <w:rPr>
                <w:color w:val="000000" w:themeColor="text1"/>
                <w:kern w:val="24"/>
                <w:lang w:val="es-ES_tradnl" w:eastAsia="es-ES"/>
              </w:rPr>
              <w:t xml:space="preserve"> (</w:t>
            </w:r>
            <w:r w:rsidRPr="00A53051">
              <w:rPr>
                <w:rFonts w:cs="Calibri"/>
                <w:color w:val="000000" w:themeColor="text1"/>
                <w:kern w:val="24"/>
                <w:lang w:val="en-US" w:eastAsia="es-ES"/>
              </w:rPr>
              <w:t>N418)</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FITC CD25</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Pharmingen (7D4)</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PE Foxp3</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rFonts w:cs="Calibri"/>
                <w:color w:val="000000" w:themeColor="text1"/>
                <w:kern w:val="24"/>
                <w:lang w:val="en-US" w:eastAsia="es-ES"/>
              </w:rPr>
              <w:t>eBioscience</w:t>
            </w:r>
            <w:proofErr w:type="spellEnd"/>
            <w:r w:rsidRPr="00A53051">
              <w:rPr>
                <w:rFonts w:cs="Calibri"/>
                <w:color w:val="000000" w:themeColor="text1"/>
                <w:kern w:val="24"/>
                <w:lang w:val="en-US" w:eastAsia="es-ES"/>
              </w:rPr>
              <w:t xml:space="preserve"> (FJK-16S)</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PrCPCy5.5 Foxp3</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Invitrogen (FJK-16S)</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APC CD3</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rFonts w:cs="Calibri"/>
                <w:color w:val="000000" w:themeColor="text1"/>
                <w:kern w:val="24"/>
                <w:lang w:val="en-US" w:eastAsia="es-ES"/>
              </w:rPr>
              <w:t>Biolegend</w:t>
            </w:r>
            <w:proofErr w:type="spellEnd"/>
            <w:r w:rsidRPr="00A53051">
              <w:rPr>
                <w:rFonts w:cs="Calibri"/>
                <w:color w:val="000000" w:themeColor="text1"/>
                <w:kern w:val="24"/>
                <w:lang w:val="en-US" w:eastAsia="es-ES"/>
              </w:rPr>
              <w:t xml:space="preserve"> (145-2C11)</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PEC7 CD45</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rFonts w:cs="Calibri"/>
                <w:color w:val="000000" w:themeColor="text1"/>
                <w:kern w:val="24"/>
                <w:lang w:val="en-US" w:eastAsia="es-ES"/>
              </w:rPr>
              <w:t>Biolegend</w:t>
            </w:r>
            <w:proofErr w:type="spellEnd"/>
            <w:r w:rsidRPr="00A53051">
              <w:rPr>
                <w:rFonts w:cs="Calibri"/>
                <w:color w:val="000000" w:themeColor="text1"/>
                <w:kern w:val="24"/>
                <w:lang w:val="en-US" w:eastAsia="es-ES"/>
              </w:rPr>
              <w:t xml:space="preserve"> (30-F11)</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BUV661 CD45</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 xml:space="preserve">BD </w:t>
            </w:r>
            <w:proofErr w:type="spellStart"/>
            <w:r w:rsidRPr="00A53051">
              <w:rPr>
                <w:color w:val="000000" w:themeColor="text1"/>
                <w:kern w:val="24"/>
                <w:lang w:val="es-ES_tradnl" w:eastAsia="es-ES"/>
              </w:rPr>
              <w:t>Horizon</w:t>
            </w:r>
            <w:proofErr w:type="spellEnd"/>
            <w:r w:rsidRPr="00A53051">
              <w:rPr>
                <w:color w:val="000000" w:themeColor="text1"/>
                <w:kern w:val="24"/>
                <w:lang w:val="es-ES_tradnl" w:eastAsia="es-ES"/>
              </w:rPr>
              <w:t xml:space="preserve"> (30-F11)</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lastRenderedPageBreak/>
              <w:t>BV421 CD4</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rFonts w:cs="Calibri"/>
                <w:color w:val="000000" w:themeColor="text1"/>
                <w:kern w:val="24"/>
                <w:lang w:val="en-US" w:eastAsia="es-ES"/>
              </w:rPr>
              <w:t>Biolegend</w:t>
            </w:r>
            <w:proofErr w:type="spellEnd"/>
            <w:r w:rsidRPr="00A53051">
              <w:rPr>
                <w:rFonts w:cs="Calibri"/>
                <w:color w:val="000000" w:themeColor="text1"/>
                <w:kern w:val="24"/>
                <w:lang w:val="en-US" w:eastAsia="es-ES"/>
              </w:rPr>
              <w:t xml:space="preserve"> (RM4-5)</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PrCPCy5.5 V</w:t>
            </w:r>
            <w:r w:rsidRPr="00A53051">
              <w:rPr>
                <w:color w:val="000000" w:themeColor="text1"/>
                <w:kern w:val="24"/>
                <w:lang w:val="el-GR" w:eastAsia="es-ES"/>
              </w:rPr>
              <w:t xml:space="preserve">α2 </w:t>
            </w:r>
            <w:r w:rsidRPr="00A53051">
              <w:rPr>
                <w:color w:val="000000" w:themeColor="text1"/>
                <w:kern w:val="24"/>
                <w:lang w:val="es-ES_tradnl" w:eastAsia="es-ES"/>
              </w:rPr>
              <w:t>TCR</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 xml:space="preserve">BD </w:t>
            </w:r>
            <w:proofErr w:type="spellStart"/>
            <w:r w:rsidRPr="00A53051">
              <w:rPr>
                <w:color w:val="000000" w:themeColor="text1"/>
                <w:kern w:val="24"/>
                <w:lang w:val="es-ES_tradnl" w:eastAsia="es-ES"/>
              </w:rPr>
              <w:t>Pharmingen</w:t>
            </w:r>
            <w:proofErr w:type="spellEnd"/>
            <w:r w:rsidRPr="00A53051">
              <w:rPr>
                <w:color w:val="000000" w:themeColor="text1"/>
                <w:kern w:val="24"/>
                <w:lang w:val="es-ES_tradnl" w:eastAsia="es-ES"/>
              </w:rPr>
              <w:t xml:space="preserve"> (B20.1)</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BV510 CD8</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rFonts w:cs="Calibri"/>
                <w:color w:val="000000" w:themeColor="text1"/>
                <w:kern w:val="24"/>
                <w:lang w:val="en-US" w:eastAsia="es-ES"/>
              </w:rPr>
              <w:t>Biolegend</w:t>
            </w:r>
            <w:proofErr w:type="spellEnd"/>
            <w:r w:rsidRPr="00A53051">
              <w:rPr>
                <w:rFonts w:cs="Calibri"/>
                <w:color w:val="000000" w:themeColor="text1"/>
                <w:kern w:val="24"/>
                <w:lang w:val="en-US" w:eastAsia="es-ES"/>
              </w:rPr>
              <w:t xml:space="preserve"> (53-6.7)</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BUV395 CD8</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 xml:space="preserve">BD </w:t>
            </w:r>
            <w:proofErr w:type="spellStart"/>
            <w:r w:rsidRPr="00A53051">
              <w:rPr>
                <w:color w:val="000000" w:themeColor="text1"/>
                <w:kern w:val="24"/>
                <w:lang w:val="es-ES_tradnl" w:eastAsia="es-ES"/>
              </w:rPr>
              <w:t>Horizon</w:t>
            </w:r>
            <w:proofErr w:type="spellEnd"/>
            <w:r w:rsidRPr="00A53051">
              <w:rPr>
                <w:color w:val="000000" w:themeColor="text1"/>
                <w:kern w:val="24"/>
                <w:lang w:val="es-ES_tradnl" w:eastAsia="es-ES"/>
              </w:rPr>
              <w:t xml:space="preserve"> (53-6.7)</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 xml:space="preserve">FITC </w:t>
            </w:r>
            <w:proofErr w:type="spellStart"/>
            <w:r w:rsidRPr="00A53051">
              <w:rPr>
                <w:rFonts w:cs="Calibri"/>
                <w:color w:val="000000" w:themeColor="text1"/>
                <w:kern w:val="24"/>
                <w:lang w:val="en-US" w:eastAsia="es-ES"/>
              </w:rPr>
              <w:t>IAb</w:t>
            </w:r>
            <w:proofErr w:type="spellEnd"/>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Pharmingen (AF6-120.1)</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 xml:space="preserve">Biotin </w:t>
            </w:r>
            <w:proofErr w:type="spellStart"/>
            <w:r w:rsidRPr="00A53051">
              <w:rPr>
                <w:rFonts w:cs="Calibri"/>
                <w:color w:val="000000" w:themeColor="text1"/>
                <w:kern w:val="24"/>
                <w:lang w:val="en-US" w:eastAsia="es-ES"/>
              </w:rPr>
              <w:t>IAb</w:t>
            </w:r>
            <w:proofErr w:type="spellEnd"/>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Pharmingen (KH74)</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PE Gr1</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rFonts w:cs="Calibri"/>
                <w:color w:val="000000" w:themeColor="text1"/>
                <w:kern w:val="24"/>
                <w:lang w:val="en-US" w:eastAsia="es-ES"/>
              </w:rPr>
              <w:t>Biolegend</w:t>
            </w:r>
            <w:proofErr w:type="spellEnd"/>
            <w:r w:rsidRPr="00A53051">
              <w:rPr>
                <w:rFonts w:cs="Calibri"/>
                <w:color w:val="000000" w:themeColor="text1"/>
                <w:kern w:val="24"/>
                <w:lang w:val="en-US" w:eastAsia="es-ES"/>
              </w:rPr>
              <w:t xml:space="preserve"> (RB6-8C5)</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BV421 F4/80</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rFonts w:cs="Calibri"/>
                <w:color w:val="000000" w:themeColor="text1"/>
                <w:kern w:val="24"/>
                <w:lang w:val="en-US" w:eastAsia="es-ES"/>
              </w:rPr>
              <w:t>Biolegend</w:t>
            </w:r>
            <w:proofErr w:type="spellEnd"/>
            <w:r w:rsidRPr="00A53051">
              <w:rPr>
                <w:rFonts w:cs="Calibri"/>
                <w:color w:val="000000" w:themeColor="text1"/>
                <w:kern w:val="24"/>
                <w:lang w:val="en-US" w:eastAsia="es-ES"/>
              </w:rPr>
              <w:t xml:space="preserve"> (BM8)</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PrCPCy5.5 CD103</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rFonts w:cs="Calibri"/>
                <w:color w:val="000000" w:themeColor="text1"/>
                <w:kern w:val="24"/>
                <w:lang w:val="en-US" w:eastAsia="es-ES"/>
              </w:rPr>
              <w:t>Biolegend</w:t>
            </w:r>
            <w:proofErr w:type="spellEnd"/>
            <w:r w:rsidRPr="00A53051">
              <w:rPr>
                <w:rFonts w:cs="Calibri"/>
                <w:color w:val="000000" w:themeColor="text1"/>
                <w:kern w:val="24"/>
                <w:lang w:val="en-US" w:eastAsia="es-ES"/>
              </w:rPr>
              <w:t xml:space="preserve"> (2E7)</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PE CD103</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rFonts w:cs="Calibri"/>
                <w:color w:val="000000" w:themeColor="text1"/>
                <w:kern w:val="24"/>
                <w:lang w:val="en-US" w:eastAsia="es-ES"/>
              </w:rPr>
              <w:t>Biolegend</w:t>
            </w:r>
            <w:proofErr w:type="spellEnd"/>
            <w:r w:rsidRPr="00A53051">
              <w:rPr>
                <w:rFonts w:cs="Calibri"/>
                <w:color w:val="000000" w:themeColor="text1"/>
                <w:kern w:val="24"/>
                <w:lang w:val="en-US" w:eastAsia="es-ES"/>
              </w:rPr>
              <w:t xml:space="preserve"> (2E7)</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rFonts w:cs="Calibri"/>
                <w:color w:val="000000" w:themeColor="text1"/>
                <w:kern w:val="24"/>
                <w:lang w:val="en-US" w:eastAsia="es-ES"/>
              </w:rPr>
              <w:t>APC XCR1</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rFonts w:cs="Calibri"/>
                <w:color w:val="000000" w:themeColor="text1"/>
                <w:kern w:val="24"/>
                <w:lang w:val="en-US" w:eastAsia="es-ES"/>
              </w:rPr>
              <w:t>Biolegend</w:t>
            </w:r>
            <w:proofErr w:type="spellEnd"/>
            <w:r w:rsidRPr="00A53051">
              <w:rPr>
                <w:rFonts w:cs="Calibri"/>
                <w:color w:val="000000" w:themeColor="text1"/>
                <w:kern w:val="24"/>
                <w:lang w:val="en-US" w:eastAsia="es-ES"/>
              </w:rPr>
              <w:t xml:space="preserve"> (ZET)</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APC CD137</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color w:val="000000" w:themeColor="text1"/>
                <w:kern w:val="24"/>
                <w:lang w:val="es-ES_tradnl" w:eastAsia="es-ES"/>
              </w:rPr>
              <w:t>Biolegend</w:t>
            </w:r>
            <w:proofErr w:type="spellEnd"/>
            <w:r w:rsidRPr="00A53051">
              <w:rPr>
                <w:color w:val="000000" w:themeColor="text1"/>
                <w:kern w:val="24"/>
                <w:lang w:val="es-ES_tradnl" w:eastAsia="es-ES"/>
              </w:rPr>
              <w:t xml:space="preserve"> (17B5)</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BV785 PD-1</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color w:val="000000" w:themeColor="text1"/>
                <w:kern w:val="24"/>
                <w:lang w:val="es-ES_tradnl" w:eastAsia="es-ES"/>
              </w:rPr>
              <w:t>Biolegend</w:t>
            </w:r>
            <w:proofErr w:type="spellEnd"/>
            <w:r w:rsidRPr="00A53051">
              <w:rPr>
                <w:color w:val="000000" w:themeColor="text1"/>
                <w:kern w:val="24"/>
                <w:lang w:val="es-ES_tradnl" w:eastAsia="es-ES"/>
              </w:rPr>
              <w:t xml:space="preserve"> (29F.1A12)</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BV650 LAG-3</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color w:val="000000" w:themeColor="text1"/>
                <w:kern w:val="24"/>
                <w:lang w:val="es-ES_tradnl" w:eastAsia="es-ES"/>
              </w:rPr>
              <w:t>Biolegend</w:t>
            </w:r>
            <w:proofErr w:type="spellEnd"/>
            <w:r w:rsidRPr="00A53051">
              <w:rPr>
                <w:color w:val="000000" w:themeColor="text1"/>
                <w:kern w:val="24"/>
                <w:lang w:val="es-ES_tradnl" w:eastAsia="es-ES"/>
              </w:rPr>
              <w:t xml:space="preserve"> (C9B7W)</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AF488 Ki67</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 xml:space="preserve">BD </w:t>
            </w:r>
            <w:proofErr w:type="spellStart"/>
            <w:r w:rsidRPr="00A53051">
              <w:rPr>
                <w:color w:val="000000" w:themeColor="text1"/>
                <w:kern w:val="24"/>
                <w:lang w:val="es-ES_tradnl" w:eastAsia="es-ES"/>
              </w:rPr>
              <w:t>Pharmingen</w:t>
            </w:r>
            <w:proofErr w:type="spellEnd"/>
            <w:r w:rsidRPr="00A53051">
              <w:rPr>
                <w:color w:val="000000" w:themeColor="text1"/>
                <w:kern w:val="24"/>
                <w:lang w:val="es-ES_tradnl" w:eastAsia="es-ES"/>
              </w:rPr>
              <w:t xml:space="preserve"> (B56)</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APCR700 CTLA-4</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 xml:space="preserve">BD </w:t>
            </w:r>
            <w:proofErr w:type="spellStart"/>
            <w:r w:rsidRPr="00A53051">
              <w:rPr>
                <w:color w:val="000000" w:themeColor="text1"/>
                <w:kern w:val="24"/>
                <w:lang w:val="es-ES_tradnl" w:eastAsia="es-ES"/>
              </w:rPr>
              <w:t>Horizon</w:t>
            </w:r>
            <w:proofErr w:type="spellEnd"/>
            <w:r w:rsidRPr="00A53051">
              <w:rPr>
                <w:color w:val="000000" w:themeColor="text1"/>
                <w:kern w:val="24"/>
                <w:lang w:val="es-ES_tradnl" w:eastAsia="es-ES"/>
              </w:rPr>
              <w:t xml:space="preserve"> (UC10-4F10-11)</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BV605 IFN-</w:t>
            </w:r>
            <w:r w:rsidRPr="00A53051">
              <w:rPr>
                <w:color w:val="000000" w:themeColor="text1"/>
                <w:kern w:val="24"/>
                <w:lang w:val="el-GR" w:eastAsia="es-ES"/>
              </w:rPr>
              <w:t>γ</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color w:val="000000" w:themeColor="text1"/>
                <w:kern w:val="24"/>
                <w:lang w:val="es-ES_tradnl" w:eastAsia="es-ES"/>
              </w:rPr>
              <w:t>Biolegend</w:t>
            </w:r>
            <w:proofErr w:type="spellEnd"/>
            <w:r w:rsidRPr="00A53051">
              <w:rPr>
                <w:color w:val="000000" w:themeColor="text1"/>
                <w:kern w:val="24"/>
                <w:lang w:val="es-ES_tradnl" w:eastAsia="es-ES"/>
              </w:rPr>
              <w:t xml:space="preserve"> (XMG1.2)</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PE IL-10</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color w:val="000000" w:themeColor="text1"/>
                <w:kern w:val="24"/>
                <w:lang w:val="es-ES_tradnl" w:eastAsia="es-ES"/>
              </w:rPr>
              <w:t>Biolegend</w:t>
            </w:r>
            <w:proofErr w:type="spellEnd"/>
            <w:r w:rsidRPr="00A53051">
              <w:rPr>
                <w:color w:val="000000" w:themeColor="text1"/>
                <w:kern w:val="24"/>
                <w:lang w:val="es-ES_tradnl" w:eastAsia="es-ES"/>
              </w:rPr>
              <w:t xml:space="preserve"> (JES5-16E3)</w:t>
            </w:r>
          </w:p>
        </w:tc>
      </w:tr>
      <w:tr w:rsidR="00A53051" w:rsidRPr="00A53051" w:rsidTr="00A53051">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r w:rsidRPr="00A53051">
              <w:rPr>
                <w:color w:val="000000" w:themeColor="text1"/>
                <w:kern w:val="24"/>
                <w:lang w:val="es-ES_tradnl" w:eastAsia="es-ES"/>
              </w:rPr>
              <w:t>APC IL-17</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3051" w:rsidRPr="00A53051" w:rsidRDefault="00A53051" w:rsidP="00A53051">
            <w:pPr>
              <w:spacing w:line="256" w:lineRule="auto"/>
              <w:jc w:val="both"/>
              <w:rPr>
                <w:rFonts w:ascii="Arial" w:eastAsia="Times New Roman" w:hAnsi="Arial" w:cs="Arial"/>
                <w:sz w:val="36"/>
                <w:szCs w:val="36"/>
                <w:lang w:eastAsia="es-ES"/>
              </w:rPr>
            </w:pPr>
            <w:proofErr w:type="spellStart"/>
            <w:r w:rsidRPr="00A53051">
              <w:rPr>
                <w:color w:val="000000" w:themeColor="text1"/>
                <w:kern w:val="24"/>
                <w:lang w:val="es-ES_tradnl" w:eastAsia="es-ES"/>
              </w:rPr>
              <w:t>eBiosciences</w:t>
            </w:r>
            <w:proofErr w:type="spellEnd"/>
            <w:r w:rsidRPr="00A53051">
              <w:rPr>
                <w:color w:val="000000" w:themeColor="text1"/>
                <w:kern w:val="24"/>
                <w:lang w:val="es-ES_tradnl" w:eastAsia="es-ES"/>
              </w:rPr>
              <w:t xml:space="preserve"> (eBio17B7)</w:t>
            </w:r>
          </w:p>
        </w:tc>
      </w:tr>
    </w:tbl>
    <w:p w:rsidR="00A53051" w:rsidRDefault="00A53051" w:rsidP="0020577A">
      <w:pPr>
        <w:spacing w:line="480" w:lineRule="auto"/>
        <w:jc w:val="both"/>
        <w:rPr>
          <w:rFonts w:cs="Calibri"/>
          <w:lang w:val="en-US"/>
        </w:rPr>
      </w:pPr>
    </w:p>
    <w:p w:rsidR="00A53051" w:rsidRPr="008759E3" w:rsidRDefault="00A53051" w:rsidP="0020577A">
      <w:pPr>
        <w:spacing w:line="480" w:lineRule="auto"/>
        <w:jc w:val="both"/>
        <w:rPr>
          <w:rFonts w:cs="Calibri"/>
          <w:lang w:val="en-US"/>
        </w:rPr>
      </w:pPr>
    </w:p>
    <w:p w:rsidR="0020577A" w:rsidRPr="008759E3" w:rsidRDefault="0020577A" w:rsidP="0020577A">
      <w:pPr>
        <w:spacing w:line="480" w:lineRule="auto"/>
        <w:jc w:val="both"/>
        <w:rPr>
          <w:rFonts w:cs="Calibri"/>
          <w:b/>
          <w:lang w:val="en-US"/>
        </w:rPr>
      </w:pPr>
      <w:r w:rsidRPr="008759E3">
        <w:rPr>
          <w:rFonts w:cs="Calibri"/>
          <w:b/>
          <w:lang w:val="en-US"/>
        </w:rPr>
        <w:t>Software and statistical analyses</w:t>
      </w:r>
    </w:p>
    <w:p w:rsidR="0020577A" w:rsidRDefault="0020577A" w:rsidP="0020577A">
      <w:pPr>
        <w:spacing w:line="480" w:lineRule="auto"/>
        <w:jc w:val="both"/>
        <w:rPr>
          <w:rFonts w:cs="Calibri"/>
          <w:lang w:val="en-US"/>
        </w:rPr>
      </w:pPr>
      <w:r w:rsidRPr="008759E3">
        <w:rPr>
          <w:rFonts w:cs="Calibri"/>
          <w:lang w:val="en-US"/>
        </w:rPr>
        <w:t xml:space="preserve">Flow cytometry data </w:t>
      </w:r>
      <w:r w:rsidRPr="0022742A">
        <w:rPr>
          <w:rFonts w:cs="Calibri"/>
          <w:noProof/>
          <w:lang w:val="en-US"/>
        </w:rPr>
        <w:t>were</w:t>
      </w:r>
      <w:r w:rsidRPr="008759E3">
        <w:rPr>
          <w:rFonts w:cs="Calibri"/>
          <w:lang w:val="en-US"/>
        </w:rPr>
        <w:t xml:space="preserve"> analyzed using </w:t>
      </w:r>
      <w:proofErr w:type="spellStart"/>
      <w:r w:rsidRPr="008759E3">
        <w:rPr>
          <w:rFonts w:cs="Calibri"/>
          <w:lang w:val="en-US"/>
        </w:rPr>
        <w:t>FlowJo</w:t>
      </w:r>
      <w:proofErr w:type="spellEnd"/>
      <w:r w:rsidRPr="008759E3">
        <w:rPr>
          <w:rFonts w:cs="Calibri"/>
          <w:lang w:val="en-US"/>
        </w:rPr>
        <w:t xml:space="preserve"> (BD Biosciences)</w:t>
      </w:r>
      <w:r>
        <w:rPr>
          <w:rFonts w:cs="Calibri"/>
          <w:lang w:val="en-US"/>
        </w:rPr>
        <w:t xml:space="preserve"> or </w:t>
      </w:r>
      <w:proofErr w:type="spellStart"/>
      <w:r>
        <w:rPr>
          <w:rFonts w:cs="Calibri"/>
          <w:lang w:val="en-US"/>
        </w:rPr>
        <w:t>Cytexpert</w:t>
      </w:r>
      <w:proofErr w:type="spellEnd"/>
      <w:r w:rsidRPr="00C66C5F">
        <w:rPr>
          <w:rFonts w:cs="Calibri"/>
          <w:lang w:val="en-US"/>
        </w:rPr>
        <w:t xml:space="preserve"> </w:t>
      </w:r>
      <w:r>
        <w:rPr>
          <w:rFonts w:cs="Calibri"/>
          <w:lang w:val="en-US"/>
        </w:rPr>
        <w:t>(Beckman Coulter) software</w:t>
      </w:r>
      <w:r w:rsidRPr="008759E3">
        <w:rPr>
          <w:rFonts w:cs="Calibri"/>
          <w:lang w:val="en-US"/>
        </w:rPr>
        <w:t xml:space="preserve">. Statistics on </w:t>
      </w:r>
      <w:r w:rsidRPr="0022742A">
        <w:rPr>
          <w:rFonts w:cs="Calibri"/>
          <w:noProof/>
          <w:lang w:val="en-US"/>
        </w:rPr>
        <w:t xml:space="preserve">tumor growth data </w:t>
      </w:r>
      <w:r w:rsidRPr="00282D02">
        <w:rPr>
          <w:rFonts w:cs="Calibri"/>
          <w:noProof/>
          <w:lang w:val="en-US"/>
        </w:rPr>
        <w:t>were analyzed with Prism software (GraphPa</w:t>
      </w:r>
      <w:r w:rsidRPr="000114E8">
        <w:rPr>
          <w:rFonts w:cs="Calibri"/>
          <w:noProof/>
          <w:lang w:val="en-US"/>
        </w:rPr>
        <w:t xml:space="preserve">d Software, </w:t>
      </w:r>
      <w:r>
        <w:rPr>
          <w:rFonts w:cs="Calibri"/>
          <w:lang w:val="en-US"/>
        </w:rPr>
        <w:t>La Jolla, CA</w:t>
      </w:r>
      <w:r w:rsidRPr="008759E3">
        <w:rPr>
          <w:rFonts w:cs="Calibri"/>
          <w:lang w:val="en-US"/>
        </w:rPr>
        <w:t>).</w:t>
      </w:r>
      <w:r w:rsidRPr="000114E8">
        <w:rPr>
          <w:rFonts w:cs="Calibri"/>
          <w:noProof/>
          <w:lang w:val="en-US"/>
        </w:rPr>
        <w:t xml:space="preserve"> Mean diameters of tumors over time were fitted using the formula </w:t>
      </w:r>
      <w:r w:rsidRPr="0022742A">
        <w:rPr>
          <w:rFonts w:cs="Calibri"/>
          <w:i/>
          <w:noProof/>
          <w:lang w:val="en-US"/>
        </w:rPr>
        <w:t xml:space="preserve">y = A x e </w:t>
      </w:r>
      <w:r w:rsidRPr="0022742A">
        <w:rPr>
          <w:rFonts w:cs="Calibri"/>
          <w:i/>
          <w:noProof/>
          <w:vertAlign w:val="superscript"/>
          <w:lang w:val="en-US"/>
        </w:rPr>
        <w:t>(t-t0)</w:t>
      </w:r>
      <w:r w:rsidRPr="0022742A">
        <w:rPr>
          <w:rFonts w:cs="Calibri"/>
          <w:i/>
          <w:noProof/>
          <w:lang w:val="en-US"/>
        </w:rPr>
        <w:t>/(1 + e</w:t>
      </w:r>
      <w:r w:rsidRPr="0022742A">
        <w:rPr>
          <w:rFonts w:cs="Calibri"/>
          <w:i/>
          <w:noProof/>
          <w:vertAlign w:val="superscript"/>
          <w:lang w:val="en-US"/>
        </w:rPr>
        <w:t>(t-t0)/B</w:t>
      </w:r>
      <w:r w:rsidRPr="0022742A">
        <w:rPr>
          <w:rFonts w:cs="Calibri"/>
          <w:i/>
          <w:noProof/>
          <w:lang w:val="en-US"/>
        </w:rPr>
        <w:t>)</w:t>
      </w:r>
      <w:r w:rsidRPr="0022742A">
        <w:rPr>
          <w:rFonts w:cs="Calibri"/>
          <w:noProof/>
          <w:lang w:val="en-US"/>
        </w:rPr>
        <w:t>, where t represents time, A the maximum size reached by the tumor, and B its growth rate. Treatments were compared using the extra sum-of-squares F test</w:t>
      </w:r>
      <w:r>
        <w:rPr>
          <w:rFonts w:cs="Calibri"/>
          <w:lang w:val="en-US"/>
        </w:rPr>
        <w:t xml:space="preserve"> </w:t>
      </w:r>
      <w:r>
        <w:rPr>
          <w:rFonts w:cs="Calibri"/>
          <w:lang w:val="en-US"/>
        </w:rPr>
        <w:lastRenderedPageBreak/>
        <w:fldChar w:fldCharType="begin" w:fldLock="1"/>
      </w:r>
      <w:r w:rsidR="009B7640">
        <w:rPr>
          <w:rFonts w:cs="Calibri"/>
          <w:lang w:val="en-US"/>
        </w:rPr>
        <w:instrText>ADDIN CSL_CITATION {"citationItems":[{"id":"ITEM-1","itemData":{"DOI":"10.1158/2159-8290.CD-15-0510","ISBN":"2159-8290 (Electronic) 2159-8274 (Linking)","ISSN":"2159-8290","PMID":"26493961","abstract":"UNLABELLED Weak and ineffective antitumor cytotoxic T lymphocyte (CTL) responses can be rescued by immunomodulatory mAbs targeting PD-1 or CD137. Using Batf3(-/-) mice, which are defective for cross-presentation of cell-associated antigens, we show that BATF3-dependent dendritic cells (DC) are essential for the response to therapy with anti-CD137 or anti-PD-1 mAbs. Batf3(-/-) mice failed to prime an endogenous CTL-mediated immune response toward tumor-associated antigens, including neoantigens. As a result, the immunomodulatory mAbs could not amplify any therapeutically functional immune response in these mice. Moreover, administration of systemic sFLT3L and local poly-ICLC enhanced DC-mediated cross-priming and synergized with anti-CD137- and anti-PD-1-mediated immunostimulation in tumor therapy against B16-ovalbumin-derived melanomas, whereas this function was lost in Batf3(-/-) mice. These experiments show that cross-priming of tumor antigens by FLT3L- and BATF3-dependent DCs is crucial to the efficacy of immunostimulatory mAbs and represents a very attractive point of intervention to enhance their clinical antitumor effects. SIGNIFICANCE Immunotherapy with immunostimulatory mAbs is currently achieving durable clinical responses in different types of cancer. We show that cross-priming of tumor antigens by BATF3-dependent DCs is a key limiting factor that can be exploited to enhance the antitumor efficacy of anti-PD-1 and anti-CD137 immunostimulatory mAbs.","author":[{"dropping-particle":"","family":"Sánchez-Paulete","given":"Alfonso R.","non-dropping-particle":"","parse-names":false,"suffix":""},{"dropping-particle":"","family":"Cueto","given":"Francisco J.","non-dropping-particle":"","parse-names":false,"suffix":""},{"dropping-particle":"","family":"Martínez-López","given":"María","non-dropping-particle":"","parse-names":false,"suffix":""},{"dropping-particle":"","family":"Labiano","given":"Sara","non-dropping-particle":"","parse-names":false,"suffix":""},{"dropping-particle":"","family":"Morales-Kastresana","given":"Aizea","non-dropping-particle":"","parse-names":false,"suffix":""},{"dropping-particle":"","family":"Rodríguez-Ruiz","given":"María E.","non-dropping-particle":"","parse-names":false,"suffix":""},{"dropping-particle":"","family":"Jure-Kunkel","given":"Maria","non-dropping-particle":"","parse-names":false,"suffix":""},{"dropping-particle":"","family":"Azpilikueta","given":"Arantza","non-dropping-particle":"","parse-names":false,"suffix":""},{"dropping-particle":"","family":"Aznar","given":"M. Angela","non-dropping-particle":"","parse-names":false,"suffix":""},{"dropping-particle":"","family":"Quetglas","given":"José I.","non-dropping-particle":"","parse-names":false,"suffix":""},{"dropping-particle":"","family":"Sancho","given":"David","non-dropping-particle":"","parse-names":false,"suffix":""},{"dropping-particle":"","family":"Melero","given":"Ignacio","non-dropping-particle":"","parse-names":false,"suffix":""}],"container-title":"Cancer discovery","id":"ITEM-1","issue":"1","issued":{"date-parts":[["2016","1","1"]]},"page":"71-9","title":"Cancer Immunotherapy with Immunomodulatory Anti-CD137 and Anti-PD-1 Monoclonal Antibodies Requires BATF3-Dependent Dendritic Cells.","type":"article-journal","volume":"6"},"uris":["http://www.mendeley.com/documents/?uuid=073199f4-5b25-471e-9823-027851a936cf"]}],"mendeley":{"formattedCitation":"(4)","plainTextFormattedCitation":"(4)","previouslyFormattedCitation":"(4)"},"properties":{"noteIndex":0},"schema":"https://github.com/citation-style-language/schema/raw/master/csl-citation.json"}</w:instrText>
      </w:r>
      <w:r>
        <w:rPr>
          <w:rFonts w:cs="Calibri"/>
          <w:lang w:val="en-US"/>
        </w:rPr>
        <w:fldChar w:fldCharType="separate"/>
      </w:r>
      <w:r w:rsidR="00DD54B7" w:rsidRPr="00DD54B7">
        <w:rPr>
          <w:rFonts w:cs="Calibri"/>
          <w:noProof/>
          <w:lang w:val="en-US"/>
        </w:rPr>
        <w:t>(4)</w:t>
      </w:r>
      <w:r>
        <w:rPr>
          <w:rFonts w:cs="Calibri"/>
          <w:lang w:val="en-US"/>
        </w:rPr>
        <w:fldChar w:fldCharType="end"/>
      </w:r>
      <w:r w:rsidRPr="008759E3">
        <w:rPr>
          <w:rFonts w:cs="Calibri"/>
          <w:lang w:val="en-US"/>
        </w:rPr>
        <w:t xml:space="preserve">. Tumor survival </w:t>
      </w:r>
      <w:r w:rsidRPr="0022742A">
        <w:rPr>
          <w:rFonts w:cs="Calibri"/>
          <w:noProof/>
          <w:lang w:val="en-US"/>
        </w:rPr>
        <w:t>was compared</w:t>
      </w:r>
      <w:r w:rsidRPr="008759E3">
        <w:rPr>
          <w:rFonts w:cs="Calibri"/>
          <w:lang w:val="en-US"/>
        </w:rPr>
        <w:t xml:space="preserve"> with log-rank (</w:t>
      </w:r>
      <w:r w:rsidRPr="0022742A">
        <w:rPr>
          <w:rFonts w:cs="Calibri"/>
          <w:noProof/>
          <w:lang w:val="en-US"/>
        </w:rPr>
        <w:t>Mantel</w:t>
      </w:r>
      <w:r>
        <w:rPr>
          <w:rFonts w:cs="Calibri"/>
          <w:lang w:val="en-US"/>
        </w:rPr>
        <w:t>-</w:t>
      </w:r>
      <w:r w:rsidRPr="0022742A">
        <w:rPr>
          <w:rFonts w:cs="Calibri"/>
          <w:noProof/>
          <w:lang w:val="en-US"/>
        </w:rPr>
        <w:t>Cox</w:t>
      </w:r>
      <w:r w:rsidRPr="008759E3">
        <w:rPr>
          <w:rFonts w:cs="Calibri"/>
          <w:lang w:val="en-US"/>
        </w:rPr>
        <w:t xml:space="preserve">) tests. </w:t>
      </w:r>
      <w:r>
        <w:rPr>
          <w:rFonts w:cs="Calibri"/>
          <w:lang w:val="en-US"/>
        </w:rPr>
        <w:t>Unless specified otherwise, a</w:t>
      </w:r>
      <w:r w:rsidRPr="008759E3">
        <w:rPr>
          <w:rFonts w:cs="Calibri"/>
          <w:lang w:val="en-US"/>
        </w:rPr>
        <w:t xml:space="preserve">ll other analyses </w:t>
      </w:r>
      <w:r>
        <w:rPr>
          <w:rFonts w:cs="Calibri"/>
          <w:lang w:val="en-US"/>
        </w:rPr>
        <w:t>between</w:t>
      </w:r>
      <w:r w:rsidRPr="008759E3">
        <w:rPr>
          <w:rFonts w:cs="Calibri"/>
          <w:lang w:val="en-US"/>
        </w:rPr>
        <w:t xml:space="preserve"> groups were performed using unpaired</w:t>
      </w:r>
      <w:r>
        <w:rPr>
          <w:rFonts w:cs="Calibri"/>
          <w:lang w:val="en-US"/>
        </w:rPr>
        <w:t xml:space="preserve"> Mann-Whitney tests</w:t>
      </w:r>
      <w:r w:rsidRPr="008759E3">
        <w:rPr>
          <w:rFonts w:cs="Calibri"/>
          <w:lang w:val="en-US"/>
        </w:rPr>
        <w:t>. Unless specified otherwise, graphs depict mean ± SEM.</w:t>
      </w:r>
    </w:p>
    <w:p w:rsidR="007E37B3" w:rsidRDefault="007E37B3">
      <w:pPr>
        <w:rPr>
          <w:lang w:val="en-US"/>
        </w:rPr>
      </w:pPr>
    </w:p>
    <w:p w:rsidR="00A53051" w:rsidRDefault="00A53051">
      <w:pPr>
        <w:rPr>
          <w:lang w:val="en-US"/>
        </w:rPr>
      </w:pPr>
    </w:p>
    <w:p w:rsidR="00DD54B7" w:rsidRPr="00A53051" w:rsidRDefault="00A53051">
      <w:pPr>
        <w:rPr>
          <w:b/>
          <w:lang w:val="en-US"/>
        </w:rPr>
      </w:pPr>
      <w:r w:rsidRPr="00A53051">
        <w:rPr>
          <w:b/>
          <w:lang w:val="en-US"/>
        </w:rPr>
        <w:t>REFERENCES</w:t>
      </w:r>
    </w:p>
    <w:p w:rsidR="00DD54B7" w:rsidRDefault="00DD54B7">
      <w:pPr>
        <w:rPr>
          <w:lang w:val="en-US"/>
        </w:rPr>
      </w:pPr>
    </w:p>
    <w:p w:rsidR="009B7640" w:rsidRPr="00A53051" w:rsidRDefault="00DD54B7" w:rsidP="009B7640">
      <w:pPr>
        <w:widowControl w:val="0"/>
        <w:autoSpaceDE w:val="0"/>
        <w:autoSpaceDN w:val="0"/>
        <w:adjustRightInd w:val="0"/>
        <w:spacing w:line="240" w:lineRule="auto"/>
        <w:ind w:left="640" w:hanging="640"/>
        <w:rPr>
          <w:rFonts w:cs="Calibri"/>
          <w:noProof/>
          <w:szCs w:val="24"/>
          <w:lang w:val="en-US"/>
        </w:rPr>
      </w:pPr>
      <w:r>
        <w:rPr>
          <w:lang w:val="en-US"/>
        </w:rPr>
        <w:fldChar w:fldCharType="begin" w:fldLock="1"/>
      </w:r>
      <w:r>
        <w:rPr>
          <w:lang w:val="en-US"/>
        </w:rPr>
        <w:instrText xml:space="preserve">ADDIN Mendeley Bibliography CSL_BIBLIOGRAPHY </w:instrText>
      </w:r>
      <w:r>
        <w:rPr>
          <w:lang w:val="en-US"/>
        </w:rPr>
        <w:fldChar w:fldCharType="separate"/>
      </w:r>
      <w:r w:rsidR="009B7640" w:rsidRPr="00A53051">
        <w:rPr>
          <w:rFonts w:cs="Calibri"/>
          <w:noProof/>
          <w:szCs w:val="24"/>
          <w:lang w:val="en-US"/>
        </w:rPr>
        <w:t xml:space="preserve">1. </w:t>
      </w:r>
      <w:r w:rsidR="009B7640" w:rsidRPr="00A53051">
        <w:rPr>
          <w:rFonts w:cs="Calibri"/>
          <w:noProof/>
          <w:szCs w:val="24"/>
          <w:lang w:val="en-US"/>
        </w:rPr>
        <w:tab/>
        <w:t xml:space="preserve">Rodriguez-Madoz JR, Prieto J, Smerdou C. Semliki forest virus vectors engineered to express higher IL-12 levels induce efficient elimination of murine colon adenocarcinomas. Mol Ther. 2005;12:153–63. </w:t>
      </w:r>
    </w:p>
    <w:p w:rsidR="009B7640" w:rsidRPr="00A53051" w:rsidRDefault="009B7640" w:rsidP="009B7640">
      <w:pPr>
        <w:widowControl w:val="0"/>
        <w:autoSpaceDE w:val="0"/>
        <w:autoSpaceDN w:val="0"/>
        <w:adjustRightInd w:val="0"/>
        <w:spacing w:line="240" w:lineRule="auto"/>
        <w:ind w:left="640" w:hanging="640"/>
        <w:rPr>
          <w:rFonts w:cs="Calibri"/>
          <w:noProof/>
          <w:szCs w:val="24"/>
          <w:lang w:val="en-US"/>
        </w:rPr>
      </w:pPr>
      <w:r w:rsidRPr="00A53051">
        <w:rPr>
          <w:rFonts w:cs="Calibri"/>
          <w:noProof/>
          <w:szCs w:val="24"/>
          <w:lang w:val="en-US"/>
        </w:rPr>
        <w:t xml:space="preserve">2. </w:t>
      </w:r>
      <w:r w:rsidRPr="00A53051">
        <w:rPr>
          <w:rFonts w:cs="Calibri"/>
          <w:noProof/>
          <w:szCs w:val="24"/>
          <w:lang w:val="en-US"/>
        </w:rPr>
        <w:tab/>
        <w:t>Quetglas JI, Fioravanti J, Ardaiz N, Medina-Echeverz J, Baraibar I, Prieto J, et al. A Semliki Forest virus vector engineered to express IFN</w:t>
      </w:r>
      <w:r w:rsidRPr="009B7640">
        <w:rPr>
          <w:rFonts w:cs="Calibri"/>
          <w:noProof/>
          <w:szCs w:val="24"/>
        </w:rPr>
        <w:t>α</w:t>
      </w:r>
      <w:r w:rsidRPr="00A53051">
        <w:rPr>
          <w:rFonts w:cs="Calibri"/>
          <w:noProof/>
          <w:szCs w:val="24"/>
          <w:lang w:val="en-US"/>
        </w:rPr>
        <w:t xml:space="preserve"> induces efficient elimination of established tumors. Gene Ther. Nature Publishing Group; 2012;19:271–8. </w:t>
      </w:r>
    </w:p>
    <w:p w:rsidR="009B7640" w:rsidRPr="009B7640" w:rsidRDefault="009B7640" w:rsidP="009B7640">
      <w:pPr>
        <w:widowControl w:val="0"/>
        <w:autoSpaceDE w:val="0"/>
        <w:autoSpaceDN w:val="0"/>
        <w:adjustRightInd w:val="0"/>
        <w:spacing w:line="240" w:lineRule="auto"/>
        <w:ind w:left="640" w:hanging="640"/>
        <w:rPr>
          <w:rFonts w:cs="Calibri"/>
          <w:noProof/>
          <w:szCs w:val="24"/>
        </w:rPr>
      </w:pPr>
      <w:r w:rsidRPr="00A53051">
        <w:rPr>
          <w:rFonts w:cs="Calibri"/>
          <w:noProof/>
          <w:szCs w:val="24"/>
          <w:lang w:val="en-US"/>
        </w:rPr>
        <w:t xml:space="preserve">3. </w:t>
      </w:r>
      <w:r w:rsidRPr="00A53051">
        <w:rPr>
          <w:rFonts w:cs="Calibri"/>
          <w:noProof/>
          <w:szCs w:val="24"/>
          <w:lang w:val="en-US"/>
        </w:rPr>
        <w:tab/>
        <w:t xml:space="preserve">Smerdou C, Liljeström P. Two-helper RNA system for production of recombinant Semliki forest virus particles. </w:t>
      </w:r>
      <w:r w:rsidRPr="009B7640">
        <w:rPr>
          <w:rFonts w:cs="Calibri"/>
          <w:noProof/>
          <w:szCs w:val="24"/>
        </w:rPr>
        <w:t xml:space="preserve">J Virol. 1999;73:1092–8. </w:t>
      </w:r>
    </w:p>
    <w:p w:rsidR="009B7640" w:rsidRPr="009B7640" w:rsidRDefault="009B7640" w:rsidP="009B7640">
      <w:pPr>
        <w:widowControl w:val="0"/>
        <w:autoSpaceDE w:val="0"/>
        <w:autoSpaceDN w:val="0"/>
        <w:adjustRightInd w:val="0"/>
        <w:spacing w:line="240" w:lineRule="auto"/>
        <w:ind w:left="640" w:hanging="640"/>
        <w:rPr>
          <w:rFonts w:cs="Calibri"/>
          <w:noProof/>
        </w:rPr>
      </w:pPr>
      <w:r w:rsidRPr="009B7640">
        <w:rPr>
          <w:rFonts w:cs="Calibri"/>
          <w:noProof/>
          <w:szCs w:val="24"/>
        </w:rPr>
        <w:t xml:space="preserve">4. </w:t>
      </w:r>
      <w:r w:rsidRPr="009B7640">
        <w:rPr>
          <w:rFonts w:cs="Calibri"/>
          <w:noProof/>
          <w:szCs w:val="24"/>
        </w:rPr>
        <w:tab/>
        <w:t xml:space="preserve">Sánchez-Paulete AR, Cueto FJ, Martínez-López M, Labiano S, Morales-Kastresana A, Rodríguez-Ruiz ME, et al. </w:t>
      </w:r>
      <w:r w:rsidRPr="00A53051">
        <w:rPr>
          <w:rFonts w:cs="Calibri"/>
          <w:noProof/>
          <w:szCs w:val="24"/>
          <w:lang w:val="en-US"/>
        </w:rPr>
        <w:t xml:space="preserve">Cancer Immunotherapy with Immunomodulatory Anti-CD137 and Anti-PD-1 Monoclonal Antibodies Requires BATF3-Dependent Dendritic Cells. </w:t>
      </w:r>
      <w:r w:rsidRPr="009B7640">
        <w:rPr>
          <w:rFonts w:cs="Calibri"/>
          <w:noProof/>
          <w:szCs w:val="24"/>
        </w:rPr>
        <w:t xml:space="preserve">Cancer Discov. 2016;6:71–9. </w:t>
      </w:r>
    </w:p>
    <w:p w:rsidR="00DD54B7" w:rsidRPr="0020577A" w:rsidRDefault="00DD54B7">
      <w:pPr>
        <w:rPr>
          <w:lang w:val="en-US"/>
        </w:rPr>
      </w:pPr>
      <w:r>
        <w:rPr>
          <w:lang w:val="en-US"/>
        </w:rPr>
        <w:fldChar w:fldCharType="end"/>
      </w:r>
    </w:p>
    <w:sectPr w:rsidR="00DD54B7" w:rsidRPr="002057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OT260e5629">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77A"/>
    <w:rsid w:val="0020577A"/>
    <w:rsid w:val="003C247C"/>
    <w:rsid w:val="004A25BC"/>
    <w:rsid w:val="007E37B3"/>
    <w:rsid w:val="009B7640"/>
    <w:rsid w:val="00A53051"/>
    <w:rsid w:val="00DD54B7"/>
    <w:rsid w:val="00E14706"/>
    <w:rsid w:val="00F54493"/>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EE8F"/>
  <w15:docId w15:val="{780A5129-9940-477B-9A5B-1D83FC75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77A"/>
    <w:pPr>
      <w:spacing w:after="160" w:line="259"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rzxr">
    <w:name w:val="lrzxr"/>
    <w:uiPriority w:val="99"/>
    <w:rsid w:val="0020577A"/>
  </w:style>
  <w:style w:type="paragraph" w:styleId="NormalWeb">
    <w:name w:val="Normal (Web)"/>
    <w:basedOn w:val="Normal"/>
    <w:uiPriority w:val="99"/>
    <w:semiHidden/>
    <w:unhideWhenUsed/>
    <w:rsid w:val="00A53051"/>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3698">
      <w:bodyDiv w:val="1"/>
      <w:marLeft w:val="0"/>
      <w:marRight w:val="0"/>
      <w:marTop w:val="0"/>
      <w:marBottom w:val="0"/>
      <w:divBdr>
        <w:top w:val="none" w:sz="0" w:space="0" w:color="auto"/>
        <w:left w:val="none" w:sz="0" w:space="0" w:color="auto"/>
        <w:bottom w:val="none" w:sz="0" w:space="0" w:color="auto"/>
        <w:right w:val="none" w:sz="0" w:space="0" w:color="auto"/>
      </w:divBdr>
    </w:div>
    <w:div w:id="82485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4D7EC-7291-4A77-81B0-FCBFE44B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3708</Words>
  <Characters>20395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Alfonso Rodríguez Sánchez-Paulete</cp:lastModifiedBy>
  <cp:revision>2</cp:revision>
  <dcterms:created xsi:type="dcterms:W3CDTF">2018-07-31T11:27:00Z</dcterms:created>
  <dcterms:modified xsi:type="dcterms:W3CDTF">2018-07-31T11:27:00Z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http://www.zotero.org/styles/cancer-cell</vt:lpwstr>
  </property>
  <property fmtid="{D5CDD505-2E9C-101B-9397-08002B2CF9AE}" pid="5" name="Mendeley Recent Style Name 1_1">
    <vt:lpwstr>Cancer Cell</vt:lpwstr>
  </property>
  <property fmtid="{D5CDD505-2E9C-101B-9397-08002B2CF9AE}" pid="6" name="Mendeley Recent Style Id 2_1">
    <vt:lpwstr>http://www.zotero.org/styles/cancer-research</vt:lpwstr>
  </property>
  <property fmtid="{D5CDD505-2E9C-101B-9397-08002B2CF9AE}" pid="7" name="Mendeley Recent Style Name 2_1">
    <vt:lpwstr>Cancer Research</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http://www.zotero.org/styles/european-journal-of-immunology</vt:lpwstr>
  </property>
  <property fmtid="{D5CDD505-2E9C-101B-9397-08002B2CF9AE}" pid="13" name="Mendeley Recent Style Name 5_1">
    <vt:lpwstr>European Journal of Immunology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17316149-3d5d-36f5-a2f4-327d3e04d3f4</vt:lpwstr>
  </property>
  <property fmtid="{D5CDD505-2E9C-101B-9397-08002B2CF9AE}" pid="24" name="Mendeley Citation Style_1">
    <vt:lpwstr>http://www.zotero.org/styles/cancer-research</vt:lpwstr>
  </property>
</Properties>
</file>