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page" w:horzAnchor="margin" w:tblpXSpec="center" w:tblpY="905"/>
        <w:tblW w:w="16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59"/>
        <w:gridCol w:w="993"/>
        <w:gridCol w:w="283"/>
        <w:gridCol w:w="1701"/>
        <w:gridCol w:w="1134"/>
        <w:gridCol w:w="236"/>
        <w:gridCol w:w="1607"/>
        <w:gridCol w:w="1134"/>
        <w:gridCol w:w="236"/>
        <w:gridCol w:w="1607"/>
        <w:gridCol w:w="1134"/>
        <w:gridCol w:w="236"/>
        <w:gridCol w:w="1748"/>
        <w:gridCol w:w="1134"/>
        <w:gridCol w:w="33"/>
      </w:tblGrid>
      <w:tr w:rsidR="00F91BF8" w:rsidRPr="009A2E74" w:rsidTr="001773EC">
        <w:trPr>
          <w:trHeight w:val="698"/>
        </w:trPr>
        <w:tc>
          <w:tcPr>
            <w:tcW w:w="16051" w:type="dxa"/>
            <w:gridSpan w:val="16"/>
            <w:tcBorders>
              <w:bottom w:val="single" w:sz="4" w:space="0" w:color="auto"/>
            </w:tcBorders>
          </w:tcPr>
          <w:p w:rsidR="004602CD" w:rsidRPr="002241D3" w:rsidRDefault="004602CD" w:rsidP="00C85F61">
            <w:pPr>
              <w:spacing w:line="360" w:lineRule="auto"/>
              <w:rPr>
                <w:rFonts w:ascii="Times New Roman" w:hAnsi="Times New Roman" w:cs="Times New Roman"/>
                <w:b/>
                <w:sz w:val="21"/>
                <w:szCs w:val="21"/>
                <w:lang w:val="en-US"/>
              </w:rPr>
            </w:pPr>
            <w:r w:rsidRPr="002241D3">
              <w:rPr>
                <w:rFonts w:ascii="Times New Roman" w:hAnsi="Times New Roman" w:cs="Times New Roman"/>
                <w:b/>
                <w:sz w:val="21"/>
                <w:szCs w:val="21"/>
                <w:lang w:val="en-US"/>
              </w:rPr>
              <w:t xml:space="preserve">Table </w:t>
            </w:r>
            <w:r w:rsidR="00041AB3" w:rsidRPr="002241D3">
              <w:rPr>
                <w:rFonts w:ascii="Times New Roman" w:hAnsi="Times New Roman" w:cs="Times New Roman"/>
                <w:b/>
                <w:sz w:val="21"/>
                <w:szCs w:val="21"/>
                <w:lang w:val="en-US"/>
              </w:rPr>
              <w:t>S</w:t>
            </w:r>
            <w:r w:rsidR="00DD12A5" w:rsidRPr="002241D3">
              <w:rPr>
                <w:rFonts w:ascii="Times New Roman" w:hAnsi="Times New Roman" w:cs="Times New Roman"/>
                <w:b/>
                <w:sz w:val="21"/>
                <w:szCs w:val="21"/>
                <w:lang w:val="en-US"/>
              </w:rPr>
              <w:t>8</w:t>
            </w:r>
            <w:r w:rsidRPr="002241D3">
              <w:rPr>
                <w:rFonts w:ascii="Times New Roman" w:hAnsi="Times New Roman" w:cs="Times New Roman"/>
                <w:b/>
                <w:sz w:val="21"/>
                <w:szCs w:val="21"/>
                <w:lang w:val="en-US"/>
              </w:rPr>
              <w:t xml:space="preserve">. </w:t>
            </w:r>
            <w:r w:rsidRPr="002241D3">
              <w:rPr>
                <w:rFonts w:ascii="Times New Roman" w:hAnsi="Times New Roman" w:cs="Times New Roman"/>
                <w:sz w:val="21"/>
                <w:szCs w:val="21"/>
                <w:lang w:val="en-US"/>
              </w:rPr>
              <w:t>Association between maternal age, infections during pregnancy, birth weight, and mode of delivery, respectively, and neonatal concentrations of inflammatory markers. The reported estimates correspond to percentage changes in the inflammatory markers with increasing maternal age, exposure to maternal infection</w:t>
            </w:r>
            <w:r w:rsidR="00DF038B" w:rsidRPr="002241D3">
              <w:rPr>
                <w:rFonts w:ascii="Times New Roman" w:hAnsi="Times New Roman" w:cs="Times New Roman"/>
                <w:sz w:val="21"/>
                <w:szCs w:val="21"/>
                <w:lang w:val="en-US"/>
              </w:rPr>
              <w:t xml:space="preserve"> or antimicrobial prescription </w:t>
            </w:r>
            <w:r w:rsidRPr="002241D3">
              <w:rPr>
                <w:rFonts w:ascii="Times New Roman" w:hAnsi="Times New Roman" w:cs="Times New Roman"/>
                <w:sz w:val="21"/>
                <w:szCs w:val="21"/>
                <w:lang w:val="en-US"/>
              </w:rPr>
              <w:t>during pregnancy vs. no infection</w:t>
            </w:r>
            <w:r w:rsidR="00DF038B" w:rsidRPr="002241D3">
              <w:rPr>
                <w:rFonts w:ascii="Times New Roman" w:hAnsi="Times New Roman" w:cs="Times New Roman"/>
                <w:sz w:val="21"/>
                <w:szCs w:val="21"/>
                <w:lang w:val="en-US"/>
              </w:rPr>
              <w:t>/prescription</w:t>
            </w:r>
            <w:r w:rsidRPr="002241D3">
              <w:rPr>
                <w:rFonts w:ascii="Times New Roman" w:hAnsi="Times New Roman" w:cs="Times New Roman"/>
                <w:sz w:val="21"/>
                <w:szCs w:val="21"/>
                <w:lang w:val="en-US"/>
              </w:rPr>
              <w:t xml:space="preserve">, increasing birth weight (in </w:t>
            </w:r>
            <w:r w:rsidR="006D05B0" w:rsidRPr="002241D3">
              <w:rPr>
                <w:rFonts w:ascii="Times New Roman" w:hAnsi="Times New Roman" w:cs="Times New Roman"/>
                <w:sz w:val="21"/>
                <w:szCs w:val="21"/>
                <w:lang w:val="en-US"/>
              </w:rPr>
              <w:t>500-g intervals</w:t>
            </w:r>
            <w:r w:rsidRPr="002241D3">
              <w:rPr>
                <w:rFonts w:ascii="Times New Roman" w:hAnsi="Times New Roman" w:cs="Times New Roman"/>
                <w:sz w:val="21"/>
                <w:szCs w:val="21"/>
                <w:lang w:val="en-US"/>
              </w:rPr>
              <w:t>), and among children born by cesarean section vs. vaginal delivery, respectively</w:t>
            </w:r>
            <w:bookmarkStart w:id="0" w:name="_GoBack"/>
            <w:bookmarkEnd w:id="0"/>
          </w:p>
        </w:tc>
      </w:tr>
      <w:tr w:rsidR="00FD0791" w:rsidRPr="009A2E74" w:rsidTr="00107A95">
        <w:trPr>
          <w:gridAfter w:val="1"/>
          <w:wAfter w:w="33" w:type="dxa"/>
          <w:trHeight w:val="607"/>
        </w:trPr>
        <w:tc>
          <w:tcPr>
            <w:tcW w:w="1276" w:type="dxa"/>
            <w:vAlign w:val="center"/>
          </w:tcPr>
          <w:p w:rsidR="004602CD" w:rsidRPr="002241D3" w:rsidRDefault="004602CD" w:rsidP="004602CD">
            <w:pPr>
              <w:rPr>
                <w:rFonts w:ascii="Times New Roman" w:hAnsi="Times New Roman" w:cs="Times New Roman"/>
                <w:sz w:val="20"/>
                <w:szCs w:val="20"/>
                <w:lang w:val="en-US"/>
              </w:rPr>
            </w:pPr>
          </w:p>
        </w:tc>
        <w:tc>
          <w:tcPr>
            <w:tcW w:w="2552" w:type="dxa"/>
            <w:gridSpan w:val="2"/>
            <w:tcBorders>
              <w:top w:val="single" w:sz="4" w:space="0" w:color="auto"/>
              <w:bottom w:val="single" w:sz="4" w:space="0" w:color="auto"/>
            </w:tcBorders>
            <w:vAlign w:val="center"/>
          </w:tcPr>
          <w:p w:rsidR="004602CD" w:rsidRPr="002241D3" w:rsidRDefault="004602CD" w:rsidP="004602CD">
            <w:pPr>
              <w:jc w:val="center"/>
              <w:rPr>
                <w:rFonts w:ascii="Times New Roman" w:hAnsi="Times New Roman" w:cs="Times New Roman"/>
                <w:b/>
                <w:sz w:val="20"/>
                <w:szCs w:val="20"/>
                <w:lang w:val="en-US"/>
              </w:rPr>
            </w:pPr>
            <w:r w:rsidRPr="002241D3">
              <w:rPr>
                <w:rFonts w:ascii="Times New Roman" w:hAnsi="Times New Roman" w:cs="Times New Roman"/>
                <w:b/>
                <w:sz w:val="20"/>
                <w:szCs w:val="20"/>
                <w:lang w:val="en-US"/>
              </w:rPr>
              <w:t>Maternal age</w:t>
            </w:r>
          </w:p>
        </w:tc>
        <w:tc>
          <w:tcPr>
            <w:tcW w:w="283" w:type="dxa"/>
            <w:tcBorders>
              <w:top w:val="single" w:sz="4" w:space="0" w:color="auto"/>
            </w:tcBorders>
            <w:vAlign w:val="center"/>
          </w:tcPr>
          <w:p w:rsidR="004602CD" w:rsidRPr="002241D3" w:rsidRDefault="004602CD" w:rsidP="004602CD">
            <w:pPr>
              <w:rPr>
                <w:rFonts w:ascii="Times New Roman" w:hAnsi="Times New Roman" w:cs="Times New Roman"/>
                <w:sz w:val="20"/>
                <w:szCs w:val="20"/>
                <w:lang w:val="en-US"/>
              </w:rPr>
            </w:pPr>
          </w:p>
        </w:tc>
        <w:tc>
          <w:tcPr>
            <w:tcW w:w="2835" w:type="dxa"/>
            <w:gridSpan w:val="2"/>
            <w:tcBorders>
              <w:top w:val="single" w:sz="4" w:space="0" w:color="auto"/>
              <w:bottom w:val="single" w:sz="4" w:space="0" w:color="auto"/>
            </w:tcBorders>
            <w:vAlign w:val="center"/>
          </w:tcPr>
          <w:p w:rsidR="004602CD" w:rsidRPr="002241D3" w:rsidRDefault="004602CD" w:rsidP="004602CD">
            <w:pPr>
              <w:jc w:val="center"/>
              <w:rPr>
                <w:rFonts w:ascii="Times New Roman" w:hAnsi="Times New Roman" w:cs="Times New Roman"/>
                <w:b/>
                <w:sz w:val="20"/>
                <w:szCs w:val="20"/>
                <w:lang w:val="en-US"/>
              </w:rPr>
            </w:pPr>
            <w:r w:rsidRPr="002241D3">
              <w:rPr>
                <w:rFonts w:ascii="Times New Roman" w:hAnsi="Times New Roman" w:cs="Times New Roman"/>
                <w:b/>
                <w:sz w:val="20"/>
                <w:szCs w:val="20"/>
                <w:lang w:val="en-US"/>
              </w:rPr>
              <w:t xml:space="preserve">Maternal hospital contact due to infection </w:t>
            </w:r>
          </w:p>
          <w:p w:rsidR="004602CD" w:rsidRPr="002241D3" w:rsidRDefault="004602CD" w:rsidP="004602CD">
            <w:pPr>
              <w:jc w:val="center"/>
              <w:rPr>
                <w:rFonts w:ascii="Times New Roman" w:hAnsi="Times New Roman" w:cs="Times New Roman"/>
                <w:b/>
                <w:sz w:val="20"/>
                <w:szCs w:val="20"/>
                <w:lang w:val="en-US"/>
              </w:rPr>
            </w:pPr>
            <w:r w:rsidRPr="002241D3">
              <w:rPr>
                <w:rFonts w:ascii="Times New Roman" w:hAnsi="Times New Roman" w:cs="Times New Roman"/>
                <w:b/>
                <w:sz w:val="20"/>
                <w:szCs w:val="20"/>
                <w:lang w:val="en-US"/>
              </w:rPr>
              <w:t>during pregnancy</w:t>
            </w:r>
          </w:p>
          <w:p w:rsidR="004602CD" w:rsidRPr="002241D3" w:rsidRDefault="004602CD" w:rsidP="004602CD">
            <w:pPr>
              <w:jc w:val="center"/>
              <w:rPr>
                <w:rFonts w:ascii="Times New Roman" w:hAnsi="Times New Roman" w:cs="Times New Roman"/>
                <w:b/>
                <w:sz w:val="20"/>
                <w:szCs w:val="20"/>
                <w:lang w:val="en-US"/>
              </w:rPr>
            </w:pPr>
            <w:r w:rsidRPr="002241D3">
              <w:rPr>
                <w:rFonts w:ascii="Times New Roman" w:hAnsi="Times New Roman" w:cs="Times New Roman"/>
                <w:b/>
                <w:sz w:val="20"/>
                <w:szCs w:val="20"/>
                <w:lang w:val="en-US"/>
              </w:rPr>
              <w:t>(yes vs. no)</w:t>
            </w:r>
            <w:r w:rsidR="00060FAC" w:rsidRPr="002241D3">
              <w:rPr>
                <w:rFonts w:ascii="Times New Roman" w:hAnsi="Times New Roman" w:cs="Times New Roman"/>
                <w:b/>
                <w:sz w:val="20"/>
                <w:szCs w:val="20"/>
                <w:vertAlign w:val="superscript"/>
                <w:lang w:val="en-US"/>
              </w:rPr>
              <w:t>e</w:t>
            </w:r>
            <w:r w:rsidRPr="002241D3">
              <w:rPr>
                <w:rFonts w:ascii="Times New Roman" w:hAnsi="Times New Roman" w:cs="Times New Roman"/>
                <w:b/>
                <w:sz w:val="20"/>
                <w:szCs w:val="20"/>
                <w:lang w:val="en-US"/>
              </w:rPr>
              <w:t xml:space="preserve"> </w:t>
            </w:r>
          </w:p>
        </w:tc>
        <w:tc>
          <w:tcPr>
            <w:tcW w:w="236" w:type="dxa"/>
            <w:tcBorders>
              <w:top w:val="single" w:sz="4" w:space="0" w:color="auto"/>
            </w:tcBorders>
            <w:vAlign w:val="center"/>
          </w:tcPr>
          <w:p w:rsidR="004602CD" w:rsidRPr="002241D3" w:rsidRDefault="004602CD" w:rsidP="004602CD">
            <w:pPr>
              <w:jc w:val="center"/>
              <w:rPr>
                <w:rFonts w:ascii="Times New Roman" w:hAnsi="Times New Roman" w:cs="Times New Roman"/>
                <w:b/>
                <w:i/>
                <w:sz w:val="20"/>
                <w:szCs w:val="20"/>
                <w:lang w:val="en-US"/>
              </w:rPr>
            </w:pPr>
          </w:p>
        </w:tc>
        <w:tc>
          <w:tcPr>
            <w:tcW w:w="2741" w:type="dxa"/>
            <w:gridSpan w:val="2"/>
            <w:tcBorders>
              <w:top w:val="single" w:sz="4" w:space="0" w:color="auto"/>
              <w:bottom w:val="single" w:sz="4" w:space="0" w:color="auto"/>
            </w:tcBorders>
            <w:vAlign w:val="center"/>
          </w:tcPr>
          <w:p w:rsidR="004602CD" w:rsidRPr="002241D3" w:rsidRDefault="004602CD" w:rsidP="004602CD">
            <w:pPr>
              <w:jc w:val="center"/>
              <w:rPr>
                <w:rFonts w:ascii="Times New Roman" w:hAnsi="Times New Roman" w:cs="Times New Roman"/>
                <w:b/>
                <w:sz w:val="20"/>
                <w:szCs w:val="20"/>
                <w:lang w:val="en-US"/>
              </w:rPr>
            </w:pPr>
            <w:r w:rsidRPr="002241D3">
              <w:rPr>
                <w:rFonts w:ascii="Times New Roman" w:hAnsi="Times New Roman" w:cs="Times New Roman"/>
                <w:b/>
                <w:sz w:val="20"/>
                <w:szCs w:val="20"/>
                <w:lang w:val="en-US"/>
              </w:rPr>
              <w:t xml:space="preserve">Maternal antimicrobial </w:t>
            </w:r>
            <w:r w:rsidR="00162A54" w:rsidRPr="002241D3">
              <w:rPr>
                <w:rFonts w:ascii="Times New Roman" w:hAnsi="Times New Roman" w:cs="Times New Roman"/>
                <w:b/>
                <w:sz w:val="20"/>
                <w:szCs w:val="20"/>
                <w:lang w:val="en-US"/>
              </w:rPr>
              <w:t>prescription</w:t>
            </w:r>
            <w:r w:rsidRPr="002241D3">
              <w:rPr>
                <w:rFonts w:ascii="Times New Roman" w:hAnsi="Times New Roman" w:cs="Times New Roman"/>
                <w:b/>
                <w:sz w:val="20"/>
                <w:szCs w:val="20"/>
                <w:lang w:val="en-US"/>
              </w:rPr>
              <w:t xml:space="preserve"> </w:t>
            </w:r>
          </w:p>
          <w:p w:rsidR="004602CD" w:rsidRPr="002241D3" w:rsidRDefault="004602CD" w:rsidP="004602CD">
            <w:pPr>
              <w:jc w:val="center"/>
              <w:rPr>
                <w:rFonts w:ascii="Times New Roman" w:hAnsi="Times New Roman" w:cs="Times New Roman"/>
                <w:b/>
                <w:sz w:val="20"/>
                <w:szCs w:val="20"/>
                <w:lang w:val="en-US"/>
              </w:rPr>
            </w:pPr>
            <w:r w:rsidRPr="002241D3">
              <w:rPr>
                <w:rFonts w:ascii="Times New Roman" w:hAnsi="Times New Roman" w:cs="Times New Roman"/>
                <w:b/>
                <w:sz w:val="20"/>
                <w:szCs w:val="20"/>
                <w:lang w:val="en-US"/>
              </w:rPr>
              <w:t>during pregnancy</w:t>
            </w:r>
          </w:p>
          <w:p w:rsidR="004602CD" w:rsidRPr="002241D3" w:rsidRDefault="004602CD" w:rsidP="004602CD">
            <w:pPr>
              <w:jc w:val="center"/>
              <w:rPr>
                <w:rFonts w:ascii="Times New Roman" w:hAnsi="Times New Roman" w:cs="Times New Roman"/>
                <w:b/>
                <w:i/>
                <w:sz w:val="20"/>
                <w:szCs w:val="20"/>
                <w:lang w:val="en-US"/>
              </w:rPr>
            </w:pPr>
            <w:r w:rsidRPr="002241D3">
              <w:rPr>
                <w:rFonts w:ascii="Times New Roman" w:hAnsi="Times New Roman" w:cs="Times New Roman"/>
                <w:b/>
                <w:sz w:val="20"/>
                <w:szCs w:val="20"/>
                <w:lang w:val="en-US"/>
              </w:rPr>
              <w:t>(yes vs. no)</w:t>
            </w:r>
            <w:r w:rsidR="00060FAC" w:rsidRPr="002241D3">
              <w:rPr>
                <w:rFonts w:ascii="Times New Roman" w:hAnsi="Times New Roman" w:cs="Times New Roman"/>
                <w:b/>
                <w:sz w:val="20"/>
                <w:szCs w:val="20"/>
                <w:vertAlign w:val="superscript"/>
                <w:lang w:val="en-US"/>
              </w:rPr>
              <w:t>e</w:t>
            </w:r>
          </w:p>
        </w:tc>
        <w:tc>
          <w:tcPr>
            <w:tcW w:w="236" w:type="dxa"/>
            <w:tcBorders>
              <w:top w:val="single" w:sz="4" w:space="0" w:color="auto"/>
            </w:tcBorders>
          </w:tcPr>
          <w:p w:rsidR="004602CD" w:rsidRPr="002241D3" w:rsidRDefault="004602CD" w:rsidP="004602CD">
            <w:pPr>
              <w:spacing w:line="360" w:lineRule="auto"/>
              <w:jc w:val="center"/>
              <w:rPr>
                <w:rFonts w:ascii="Times New Roman" w:hAnsi="Times New Roman" w:cs="Times New Roman"/>
                <w:b/>
                <w:sz w:val="20"/>
                <w:szCs w:val="20"/>
                <w:lang w:val="en-US"/>
              </w:rPr>
            </w:pPr>
          </w:p>
        </w:tc>
        <w:tc>
          <w:tcPr>
            <w:tcW w:w="2741" w:type="dxa"/>
            <w:gridSpan w:val="2"/>
            <w:tcBorders>
              <w:top w:val="single" w:sz="4" w:space="0" w:color="auto"/>
              <w:bottom w:val="single" w:sz="4" w:space="0" w:color="auto"/>
            </w:tcBorders>
            <w:vAlign w:val="center"/>
          </w:tcPr>
          <w:p w:rsidR="004602CD" w:rsidRPr="002241D3" w:rsidRDefault="004602CD" w:rsidP="004602CD">
            <w:pPr>
              <w:spacing w:line="360" w:lineRule="auto"/>
              <w:jc w:val="center"/>
              <w:rPr>
                <w:rFonts w:ascii="Times New Roman" w:hAnsi="Times New Roman" w:cs="Times New Roman"/>
                <w:b/>
                <w:sz w:val="20"/>
                <w:szCs w:val="20"/>
                <w:lang w:val="en-US"/>
              </w:rPr>
            </w:pPr>
            <w:r w:rsidRPr="002241D3">
              <w:rPr>
                <w:rFonts w:ascii="Times New Roman" w:hAnsi="Times New Roman" w:cs="Times New Roman"/>
                <w:b/>
                <w:sz w:val="20"/>
                <w:szCs w:val="20"/>
                <w:lang w:val="en-US"/>
              </w:rPr>
              <w:t>Birth weight</w:t>
            </w:r>
          </w:p>
        </w:tc>
        <w:tc>
          <w:tcPr>
            <w:tcW w:w="236" w:type="dxa"/>
            <w:tcBorders>
              <w:top w:val="single" w:sz="4" w:space="0" w:color="auto"/>
            </w:tcBorders>
            <w:vAlign w:val="center"/>
          </w:tcPr>
          <w:p w:rsidR="004602CD" w:rsidRPr="002241D3" w:rsidRDefault="004602CD" w:rsidP="004602CD">
            <w:pPr>
              <w:spacing w:line="360" w:lineRule="auto"/>
              <w:jc w:val="center"/>
              <w:rPr>
                <w:rFonts w:ascii="Times New Roman" w:hAnsi="Times New Roman" w:cs="Times New Roman"/>
                <w:b/>
                <w:sz w:val="20"/>
                <w:szCs w:val="20"/>
                <w:lang w:val="en-US"/>
              </w:rPr>
            </w:pPr>
          </w:p>
        </w:tc>
        <w:tc>
          <w:tcPr>
            <w:tcW w:w="2882" w:type="dxa"/>
            <w:gridSpan w:val="2"/>
            <w:tcBorders>
              <w:top w:val="single" w:sz="4" w:space="0" w:color="auto"/>
              <w:bottom w:val="single" w:sz="4" w:space="0" w:color="auto"/>
            </w:tcBorders>
            <w:vAlign w:val="center"/>
          </w:tcPr>
          <w:p w:rsidR="004602CD" w:rsidRPr="002241D3" w:rsidRDefault="004602CD" w:rsidP="004602CD">
            <w:pPr>
              <w:jc w:val="center"/>
              <w:rPr>
                <w:rFonts w:ascii="Times New Roman" w:hAnsi="Times New Roman" w:cs="Times New Roman"/>
                <w:b/>
                <w:sz w:val="20"/>
                <w:szCs w:val="20"/>
                <w:lang w:val="en-US"/>
              </w:rPr>
            </w:pPr>
            <w:r w:rsidRPr="002241D3">
              <w:rPr>
                <w:rFonts w:ascii="Times New Roman" w:hAnsi="Times New Roman" w:cs="Times New Roman"/>
                <w:b/>
                <w:sz w:val="20"/>
                <w:szCs w:val="20"/>
                <w:lang w:val="en-US"/>
              </w:rPr>
              <w:t xml:space="preserve">Mode of delivery </w:t>
            </w:r>
          </w:p>
          <w:p w:rsidR="004602CD" w:rsidRPr="002241D3" w:rsidRDefault="004602CD" w:rsidP="004602CD">
            <w:pPr>
              <w:jc w:val="center"/>
              <w:rPr>
                <w:rFonts w:ascii="Times New Roman" w:hAnsi="Times New Roman" w:cs="Times New Roman"/>
                <w:b/>
                <w:sz w:val="20"/>
                <w:szCs w:val="20"/>
                <w:lang w:val="en-US"/>
              </w:rPr>
            </w:pPr>
            <w:r w:rsidRPr="002241D3">
              <w:rPr>
                <w:rFonts w:ascii="Times New Roman" w:hAnsi="Times New Roman" w:cs="Times New Roman"/>
                <w:b/>
                <w:sz w:val="20"/>
                <w:szCs w:val="20"/>
                <w:lang w:val="en-US"/>
              </w:rPr>
              <w:t>(C-section vs. vaginal)</w:t>
            </w:r>
            <w:r w:rsidR="009E778A" w:rsidRPr="002241D3">
              <w:rPr>
                <w:rFonts w:ascii="Times New Roman" w:hAnsi="Times New Roman" w:cs="Times New Roman"/>
                <w:b/>
                <w:sz w:val="20"/>
                <w:szCs w:val="20"/>
                <w:vertAlign w:val="superscript"/>
                <w:lang w:val="en-US"/>
              </w:rPr>
              <w:t>e</w:t>
            </w:r>
          </w:p>
        </w:tc>
      </w:tr>
      <w:tr w:rsidR="001773EC" w:rsidRPr="009A2E74" w:rsidTr="00107A95">
        <w:trPr>
          <w:gridAfter w:val="1"/>
          <w:wAfter w:w="33" w:type="dxa"/>
          <w:trHeight w:val="588"/>
        </w:trPr>
        <w:tc>
          <w:tcPr>
            <w:tcW w:w="1276" w:type="dxa"/>
            <w:tcBorders>
              <w:bottom w:val="single" w:sz="4" w:space="0" w:color="auto"/>
            </w:tcBorders>
          </w:tcPr>
          <w:p w:rsidR="004602CD" w:rsidRPr="002241D3" w:rsidRDefault="004602CD" w:rsidP="004602CD">
            <w:pPr>
              <w:rPr>
                <w:rFonts w:ascii="Times New Roman" w:hAnsi="Times New Roman" w:cs="Times New Roman"/>
                <w:sz w:val="20"/>
                <w:szCs w:val="20"/>
                <w:lang w:val="en-US"/>
              </w:rPr>
            </w:pPr>
          </w:p>
        </w:tc>
        <w:tc>
          <w:tcPr>
            <w:tcW w:w="1559" w:type="dxa"/>
            <w:tcBorders>
              <w:top w:val="single" w:sz="4" w:space="0" w:color="auto"/>
              <w:bottom w:val="single" w:sz="4" w:space="0" w:color="auto"/>
            </w:tcBorders>
          </w:tcPr>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Percentage change</w:t>
            </w:r>
          </w:p>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(95% CI)</w:t>
            </w:r>
          </w:p>
        </w:tc>
        <w:tc>
          <w:tcPr>
            <w:tcW w:w="993" w:type="dxa"/>
            <w:tcBorders>
              <w:bottom w:val="single" w:sz="4" w:space="0" w:color="auto"/>
            </w:tcBorders>
          </w:tcPr>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p-</w:t>
            </w:r>
            <w:proofErr w:type="spellStart"/>
            <w:r w:rsidRPr="002241D3">
              <w:rPr>
                <w:rFonts w:ascii="Times New Roman" w:hAnsi="Times New Roman" w:cs="Times New Roman"/>
                <w:sz w:val="20"/>
                <w:szCs w:val="20"/>
                <w:lang w:val="en-US"/>
              </w:rPr>
              <w:t>value</w:t>
            </w:r>
            <w:r w:rsidRPr="002241D3">
              <w:rPr>
                <w:rFonts w:ascii="Times New Roman" w:hAnsi="Times New Roman" w:cs="Times New Roman"/>
                <w:sz w:val="20"/>
                <w:szCs w:val="20"/>
                <w:vertAlign w:val="superscript"/>
                <w:lang w:val="en-US"/>
              </w:rPr>
              <w:t>a</w:t>
            </w:r>
            <w:proofErr w:type="spellEnd"/>
          </w:p>
        </w:tc>
        <w:tc>
          <w:tcPr>
            <w:tcW w:w="283" w:type="dxa"/>
          </w:tcPr>
          <w:p w:rsidR="004602CD" w:rsidRPr="002241D3" w:rsidRDefault="004602CD" w:rsidP="004602CD">
            <w:pPr>
              <w:jc w:val="center"/>
              <w:rPr>
                <w:rFonts w:ascii="Times New Roman" w:hAnsi="Times New Roman" w:cs="Times New Roman"/>
                <w:sz w:val="20"/>
                <w:szCs w:val="20"/>
                <w:lang w:val="en-US"/>
              </w:rPr>
            </w:pPr>
          </w:p>
        </w:tc>
        <w:tc>
          <w:tcPr>
            <w:tcW w:w="1701" w:type="dxa"/>
            <w:tcBorders>
              <w:bottom w:val="single" w:sz="4" w:space="0" w:color="auto"/>
            </w:tcBorders>
          </w:tcPr>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Percentage change</w:t>
            </w:r>
          </w:p>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 xml:space="preserve"> (95% CI)</w:t>
            </w:r>
          </w:p>
        </w:tc>
        <w:tc>
          <w:tcPr>
            <w:tcW w:w="1134" w:type="dxa"/>
            <w:tcBorders>
              <w:bottom w:val="single" w:sz="4" w:space="0" w:color="auto"/>
            </w:tcBorders>
          </w:tcPr>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p-</w:t>
            </w:r>
            <w:proofErr w:type="spellStart"/>
            <w:r w:rsidRPr="002241D3">
              <w:rPr>
                <w:rFonts w:ascii="Times New Roman" w:hAnsi="Times New Roman" w:cs="Times New Roman"/>
                <w:sz w:val="20"/>
                <w:szCs w:val="20"/>
                <w:lang w:val="en-US"/>
              </w:rPr>
              <w:t>value</w:t>
            </w:r>
            <w:r w:rsidRPr="002241D3">
              <w:rPr>
                <w:rFonts w:ascii="Times New Roman" w:hAnsi="Times New Roman" w:cs="Times New Roman"/>
                <w:sz w:val="20"/>
                <w:szCs w:val="20"/>
                <w:vertAlign w:val="superscript"/>
                <w:lang w:val="en-US"/>
              </w:rPr>
              <w:t>a</w:t>
            </w:r>
            <w:proofErr w:type="spellEnd"/>
          </w:p>
        </w:tc>
        <w:tc>
          <w:tcPr>
            <w:tcW w:w="236" w:type="dxa"/>
          </w:tcPr>
          <w:p w:rsidR="004602CD" w:rsidRPr="002241D3" w:rsidRDefault="004602CD" w:rsidP="004602CD">
            <w:pPr>
              <w:jc w:val="center"/>
              <w:rPr>
                <w:rFonts w:ascii="Times New Roman" w:hAnsi="Times New Roman" w:cs="Times New Roman"/>
                <w:sz w:val="20"/>
                <w:szCs w:val="20"/>
                <w:lang w:val="en-US"/>
              </w:rPr>
            </w:pPr>
          </w:p>
        </w:tc>
        <w:tc>
          <w:tcPr>
            <w:tcW w:w="1607" w:type="dxa"/>
            <w:tcBorders>
              <w:top w:val="single" w:sz="4" w:space="0" w:color="auto"/>
              <w:bottom w:val="single" w:sz="4" w:space="0" w:color="auto"/>
            </w:tcBorders>
          </w:tcPr>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Percentage change</w:t>
            </w:r>
          </w:p>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 xml:space="preserve"> (95% CI)</w:t>
            </w:r>
          </w:p>
        </w:tc>
        <w:tc>
          <w:tcPr>
            <w:tcW w:w="1134" w:type="dxa"/>
            <w:tcBorders>
              <w:top w:val="single" w:sz="4" w:space="0" w:color="auto"/>
              <w:bottom w:val="single" w:sz="4" w:space="0" w:color="auto"/>
            </w:tcBorders>
          </w:tcPr>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p-</w:t>
            </w:r>
            <w:proofErr w:type="spellStart"/>
            <w:r w:rsidRPr="002241D3">
              <w:rPr>
                <w:rFonts w:ascii="Times New Roman" w:hAnsi="Times New Roman" w:cs="Times New Roman"/>
                <w:sz w:val="20"/>
                <w:szCs w:val="20"/>
                <w:lang w:val="en-US"/>
              </w:rPr>
              <w:t>value</w:t>
            </w:r>
            <w:r w:rsidRPr="002241D3">
              <w:rPr>
                <w:rFonts w:ascii="Times New Roman" w:hAnsi="Times New Roman" w:cs="Times New Roman"/>
                <w:sz w:val="20"/>
                <w:szCs w:val="20"/>
                <w:vertAlign w:val="superscript"/>
                <w:lang w:val="en-US"/>
              </w:rPr>
              <w:t>a</w:t>
            </w:r>
            <w:proofErr w:type="spellEnd"/>
          </w:p>
        </w:tc>
        <w:tc>
          <w:tcPr>
            <w:tcW w:w="236" w:type="dxa"/>
          </w:tcPr>
          <w:p w:rsidR="004602CD" w:rsidRPr="002241D3" w:rsidRDefault="004602CD" w:rsidP="004602CD">
            <w:pPr>
              <w:spacing w:line="360" w:lineRule="auto"/>
              <w:jc w:val="center"/>
              <w:rPr>
                <w:rFonts w:ascii="Times New Roman" w:hAnsi="Times New Roman" w:cs="Times New Roman"/>
                <w:sz w:val="20"/>
                <w:szCs w:val="20"/>
                <w:lang w:val="en-US"/>
              </w:rPr>
            </w:pPr>
          </w:p>
        </w:tc>
        <w:tc>
          <w:tcPr>
            <w:tcW w:w="1607" w:type="dxa"/>
            <w:tcBorders>
              <w:top w:val="single" w:sz="4" w:space="0" w:color="auto"/>
              <w:bottom w:val="single" w:sz="4" w:space="0" w:color="auto"/>
            </w:tcBorders>
          </w:tcPr>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Percentage change</w:t>
            </w:r>
          </w:p>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 xml:space="preserve"> (95% CI)</w:t>
            </w:r>
          </w:p>
        </w:tc>
        <w:tc>
          <w:tcPr>
            <w:tcW w:w="1134" w:type="dxa"/>
            <w:tcBorders>
              <w:top w:val="single" w:sz="4" w:space="0" w:color="auto"/>
              <w:bottom w:val="single" w:sz="4" w:space="0" w:color="auto"/>
            </w:tcBorders>
          </w:tcPr>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p-</w:t>
            </w:r>
            <w:proofErr w:type="spellStart"/>
            <w:r w:rsidRPr="002241D3">
              <w:rPr>
                <w:rFonts w:ascii="Times New Roman" w:hAnsi="Times New Roman" w:cs="Times New Roman"/>
                <w:sz w:val="20"/>
                <w:szCs w:val="20"/>
                <w:lang w:val="en-US"/>
              </w:rPr>
              <w:t>value</w:t>
            </w:r>
            <w:r w:rsidRPr="002241D3">
              <w:rPr>
                <w:rFonts w:ascii="Times New Roman" w:hAnsi="Times New Roman" w:cs="Times New Roman"/>
                <w:sz w:val="20"/>
                <w:szCs w:val="20"/>
                <w:vertAlign w:val="superscript"/>
                <w:lang w:val="en-US"/>
              </w:rPr>
              <w:t>a</w:t>
            </w:r>
            <w:proofErr w:type="spellEnd"/>
          </w:p>
        </w:tc>
        <w:tc>
          <w:tcPr>
            <w:tcW w:w="236" w:type="dxa"/>
          </w:tcPr>
          <w:p w:rsidR="004602CD" w:rsidRPr="002241D3" w:rsidRDefault="004602CD" w:rsidP="004602CD">
            <w:pPr>
              <w:jc w:val="center"/>
              <w:rPr>
                <w:rFonts w:ascii="Times New Roman" w:hAnsi="Times New Roman" w:cs="Times New Roman"/>
                <w:sz w:val="20"/>
                <w:szCs w:val="20"/>
                <w:lang w:val="en-US"/>
              </w:rPr>
            </w:pPr>
          </w:p>
        </w:tc>
        <w:tc>
          <w:tcPr>
            <w:tcW w:w="1748" w:type="dxa"/>
            <w:tcBorders>
              <w:top w:val="single" w:sz="4" w:space="0" w:color="auto"/>
              <w:bottom w:val="single" w:sz="4" w:space="0" w:color="auto"/>
            </w:tcBorders>
          </w:tcPr>
          <w:p w:rsidR="001773EC"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 xml:space="preserve">Percentage </w:t>
            </w:r>
          </w:p>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change</w:t>
            </w:r>
          </w:p>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 xml:space="preserve"> (95% CI)</w:t>
            </w:r>
          </w:p>
        </w:tc>
        <w:tc>
          <w:tcPr>
            <w:tcW w:w="1134" w:type="dxa"/>
            <w:tcBorders>
              <w:top w:val="single" w:sz="4" w:space="0" w:color="auto"/>
              <w:bottom w:val="single" w:sz="4" w:space="0" w:color="auto"/>
            </w:tcBorders>
          </w:tcPr>
          <w:p w:rsidR="004602CD" w:rsidRPr="002241D3" w:rsidRDefault="004602CD" w:rsidP="004602CD">
            <w:pPr>
              <w:jc w:val="center"/>
              <w:rPr>
                <w:rFonts w:ascii="Times New Roman" w:hAnsi="Times New Roman" w:cs="Times New Roman"/>
                <w:sz w:val="20"/>
                <w:szCs w:val="20"/>
                <w:lang w:val="en-US"/>
              </w:rPr>
            </w:pPr>
            <w:r w:rsidRPr="002241D3">
              <w:rPr>
                <w:rFonts w:ascii="Times New Roman" w:hAnsi="Times New Roman" w:cs="Times New Roman"/>
                <w:sz w:val="20"/>
                <w:szCs w:val="20"/>
                <w:lang w:val="en-US"/>
              </w:rPr>
              <w:t>p-</w:t>
            </w:r>
            <w:proofErr w:type="spellStart"/>
            <w:r w:rsidRPr="002241D3">
              <w:rPr>
                <w:rFonts w:ascii="Times New Roman" w:hAnsi="Times New Roman" w:cs="Times New Roman"/>
                <w:sz w:val="20"/>
                <w:szCs w:val="20"/>
                <w:lang w:val="en-US"/>
              </w:rPr>
              <w:t>value</w:t>
            </w:r>
            <w:r w:rsidRPr="002241D3">
              <w:rPr>
                <w:rFonts w:ascii="Times New Roman" w:hAnsi="Times New Roman" w:cs="Times New Roman"/>
                <w:sz w:val="20"/>
                <w:szCs w:val="20"/>
                <w:vertAlign w:val="superscript"/>
                <w:lang w:val="en-US"/>
              </w:rPr>
              <w:t>a</w:t>
            </w:r>
            <w:proofErr w:type="spellEnd"/>
          </w:p>
        </w:tc>
      </w:tr>
      <w:tr w:rsidR="001773EC" w:rsidRPr="009A2E74" w:rsidTr="00107A95">
        <w:trPr>
          <w:gridAfter w:val="1"/>
          <w:wAfter w:w="33" w:type="dxa"/>
          <w:cantSplit/>
          <w:trHeight w:val="113"/>
        </w:trPr>
        <w:tc>
          <w:tcPr>
            <w:tcW w:w="1276" w:type="dxa"/>
            <w:tcBorders>
              <w:top w:val="single" w:sz="4" w:space="0" w:color="auto"/>
            </w:tcBorders>
          </w:tcPr>
          <w:p w:rsidR="004602CD" w:rsidRPr="006F2C9D" w:rsidRDefault="004602CD" w:rsidP="004602CD">
            <w:pPr>
              <w:rPr>
                <w:rFonts w:ascii="Times New Roman" w:hAnsi="Times New Roman" w:cs="Times New Roman"/>
                <w:sz w:val="20"/>
                <w:szCs w:val="20"/>
                <w:lang w:val="en-US"/>
              </w:rPr>
            </w:pPr>
          </w:p>
        </w:tc>
        <w:tc>
          <w:tcPr>
            <w:tcW w:w="1559" w:type="dxa"/>
            <w:tcBorders>
              <w:top w:val="single" w:sz="4" w:space="0" w:color="auto"/>
            </w:tcBorders>
          </w:tcPr>
          <w:p w:rsidR="004602CD" w:rsidRPr="006F2C9D" w:rsidRDefault="004602CD" w:rsidP="004602CD">
            <w:pPr>
              <w:jc w:val="center"/>
              <w:rPr>
                <w:rFonts w:ascii="Times New Roman" w:hAnsi="Times New Roman" w:cs="Times New Roman"/>
                <w:color w:val="000000"/>
                <w:sz w:val="20"/>
                <w:szCs w:val="20"/>
                <w:lang w:val="en-US"/>
              </w:rPr>
            </w:pPr>
          </w:p>
        </w:tc>
        <w:tc>
          <w:tcPr>
            <w:tcW w:w="993" w:type="dxa"/>
            <w:tcBorders>
              <w:top w:val="single" w:sz="4" w:space="0" w:color="auto"/>
            </w:tcBorders>
          </w:tcPr>
          <w:p w:rsidR="004602CD" w:rsidRPr="006F2C9D" w:rsidRDefault="00F945D0"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0.14</w:t>
            </w:r>
          </w:p>
        </w:tc>
        <w:tc>
          <w:tcPr>
            <w:tcW w:w="283" w:type="dxa"/>
            <w:tcBorders>
              <w:left w:val="nil"/>
            </w:tcBorders>
          </w:tcPr>
          <w:p w:rsidR="004602CD" w:rsidRPr="006F2C9D" w:rsidRDefault="004602CD" w:rsidP="004602CD">
            <w:pPr>
              <w:jc w:val="center"/>
              <w:rPr>
                <w:rFonts w:ascii="Times New Roman" w:hAnsi="Times New Roman" w:cs="Times New Roman"/>
                <w:sz w:val="20"/>
                <w:szCs w:val="20"/>
                <w:lang w:val="en-US"/>
              </w:rPr>
            </w:pPr>
          </w:p>
        </w:tc>
        <w:tc>
          <w:tcPr>
            <w:tcW w:w="1701" w:type="dxa"/>
          </w:tcPr>
          <w:p w:rsidR="004602CD" w:rsidRPr="006F2C9D" w:rsidRDefault="004602CD" w:rsidP="004602CD">
            <w:pPr>
              <w:jc w:val="center"/>
              <w:rPr>
                <w:rFonts w:ascii="Times New Roman" w:hAnsi="Times New Roman" w:cs="Times New Roman"/>
                <w:color w:val="000000"/>
                <w:sz w:val="20"/>
                <w:szCs w:val="20"/>
                <w:lang w:val="en-US"/>
              </w:rPr>
            </w:pPr>
          </w:p>
        </w:tc>
        <w:tc>
          <w:tcPr>
            <w:tcW w:w="1134" w:type="dxa"/>
          </w:tcPr>
          <w:p w:rsidR="004602CD" w:rsidRPr="006F2C9D" w:rsidRDefault="0094066B"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0.21</w:t>
            </w:r>
          </w:p>
        </w:tc>
        <w:tc>
          <w:tcPr>
            <w:tcW w:w="236" w:type="dxa"/>
          </w:tcPr>
          <w:p w:rsidR="004602CD" w:rsidRPr="006F2C9D" w:rsidRDefault="004602CD" w:rsidP="004602CD">
            <w:pPr>
              <w:jc w:val="center"/>
              <w:rPr>
                <w:rFonts w:ascii="Times New Roman" w:hAnsi="Times New Roman" w:cs="Times New Roman"/>
                <w:sz w:val="20"/>
                <w:szCs w:val="20"/>
                <w:lang w:val="en-US"/>
              </w:rPr>
            </w:pPr>
          </w:p>
        </w:tc>
        <w:tc>
          <w:tcPr>
            <w:tcW w:w="1607" w:type="dxa"/>
          </w:tcPr>
          <w:p w:rsidR="004602CD" w:rsidRPr="006F2C9D" w:rsidRDefault="004602CD" w:rsidP="004602CD">
            <w:pPr>
              <w:jc w:val="center"/>
              <w:rPr>
                <w:rFonts w:ascii="Times New Roman" w:hAnsi="Times New Roman" w:cs="Times New Roman"/>
                <w:color w:val="000000"/>
                <w:sz w:val="20"/>
                <w:szCs w:val="20"/>
                <w:lang w:val="en-US"/>
              </w:rPr>
            </w:pPr>
          </w:p>
        </w:tc>
        <w:tc>
          <w:tcPr>
            <w:tcW w:w="1134" w:type="dxa"/>
          </w:tcPr>
          <w:p w:rsidR="004602CD" w:rsidRPr="006F2C9D" w:rsidRDefault="005F48FD"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0.85</w:t>
            </w:r>
          </w:p>
        </w:tc>
        <w:tc>
          <w:tcPr>
            <w:tcW w:w="236" w:type="dxa"/>
            <w:vAlign w:val="bottom"/>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607"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134" w:type="dxa"/>
          </w:tcPr>
          <w:p w:rsidR="004602CD" w:rsidRPr="006F2C9D" w:rsidRDefault="00FB3C16"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0.54</w:t>
            </w:r>
          </w:p>
        </w:tc>
        <w:tc>
          <w:tcPr>
            <w:tcW w:w="236"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748"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134" w:type="dxa"/>
          </w:tcPr>
          <w:p w:rsidR="004602CD" w:rsidRPr="006F2C9D" w:rsidRDefault="008A498E"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0.10</w:t>
            </w:r>
          </w:p>
        </w:tc>
      </w:tr>
      <w:tr w:rsidR="001773EC" w:rsidRPr="009A2E74" w:rsidTr="00107A95">
        <w:trPr>
          <w:gridAfter w:val="1"/>
          <w:wAfter w:w="33" w:type="dxa"/>
          <w:cantSplit/>
          <w:trHeight w:val="113"/>
        </w:trPr>
        <w:tc>
          <w:tcPr>
            <w:tcW w:w="1276" w:type="dxa"/>
          </w:tcPr>
          <w:p w:rsidR="004602CD" w:rsidRPr="006F2C9D" w:rsidRDefault="004602CD" w:rsidP="004602CD">
            <w:pPr>
              <w:rPr>
                <w:rFonts w:ascii="Times New Roman" w:hAnsi="Times New Roman" w:cs="Times New Roman"/>
                <w:sz w:val="20"/>
                <w:szCs w:val="20"/>
                <w:vertAlign w:val="superscript"/>
                <w:lang w:val="en-US"/>
              </w:rPr>
            </w:pPr>
            <w:r w:rsidRPr="006F2C9D">
              <w:rPr>
                <w:rFonts w:ascii="Times New Roman" w:hAnsi="Times New Roman" w:cs="Times New Roman"/>
                <w:sz w:val="20"/>
                <w:szCs w:val="20"/>
                <w:lang w:val="en-US"/>
              </w:rPr>
              <w:t>IL-6</w:t>
            </w:r>
            <w:r w:rsidR="00060FAC" w:rsidRPr="006F2C9D">
              <w:rPr>
                <w:rFonts w:ascii="Times New Roman" w:hAnsi="Times New Roman" w:cs="Times New Roman"/>
                <w:sz w:val="20"/>
                <w:szCs w:val="20"/>
                <w:vertAlign w:val="superscript"/>
                <w:lang w:val="en-US"/>
              </w:rPr>
              <w:t>b</w:t>
            </w:r>
          </w:p>
        </w:tc>
        <w:tc>
          <w:tcPr>
            <w:tcW w:w="1559" w:type="dxa"/>
          </w:tcPr>
          <w:p w:rsidR="004602CD" w:rsidRPr="006F2C9D" w:rsidRDefault="00094579"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1.4 (-1.0–3.9)</w:t>
            </w:r>
          </w:p>
        </w:tc>
        <w:tc>
          <w:tcPr>
            <w:tcW w:w="993" w:type="dxa"/>
          </w:tcPr>
          <w:p w:rsidR="004602CD" w:rsidRPr="006F2C9D" w:rsidRDefault="004602CD" w:rsidP="004602CD">
            <w:pPr>
              <w:jc w:val="center"/>
              <w:rPr>
                <w:rFonts w:ascii="Times New Roman" w:hAnsi="Times New Roman" w:cs="Times New Roman"/>
                <w:sz w:val="20"/>
                <w:szCs w:val="20"/>
                <w:lang w:val="en-US"/>
              </w:rPr>
            </w:pPr>
          </w:p>
        </w:tc>
        <w:tc>
          <w:tcPr>
            <w:tcW w:w="283" w:type="dxa"/>
            <w:tcBorders>
              <w:left w:val="nil"/>
            </w:tcBorders>
          </w:tcPr>
          <w:p w:rsidR="004602CD" w:rsidRPr="006F2C9D" w:rsidRDefault="004602CD" w:rsidP="004602CD">
            <w:pPr>
              <w:jc w:val="center"/>
              <w:rPr>
                <w:rFonts w:ascii="Times New Roman" w:hAnsi="Times New Roman" w:cs="Times New Roman"/>
                <w:sz w:val="20"/>
                <w:szCs w:val="20"/>
                <w:lang w:val="en-US"/>
              </w:rPr>
            </w:pPr>
          </w:p>
        </w:tc>
        <w:tc>
          <w:tcPr>
            <w:tcW w:w="1701" w:type="dxa"/>
          </w:tcPr>
          <w:p w:rsidR="004602CD" w:rsidRPr="006F2C9D" w:rsidRDefault="00F654A0"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-7.7 (-39.1–40.1)</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tcPr>
          <w:p w:rsidR="004602CD" w:rsidRPr="006F2C9D" w:rsidRDefault="004602CD" w:rsidP="004602CD">
            <w:pPr>
              <w:jc w:val="center"/>
              <w:rPr>
                <w:rFonts w:ascii="Times New Roman" w:hAnsi="Times New Roman" w:cs="Times New Roman"/>
                <w:sz w:val="20"/>
                <w:szCs w:val="20"/>
                <w:lang w:val="en-US"/>
              </w:rPr>
            </w:pPr>
          </w:p>
        </w:tc>
        <w:tc>
          <w:tcPr>
            <w:tcW w:w="1607" w:type="dxa"/>
          </w:tcPr>
          <w:p w:rsidR="004602CD" w:rsidRPr="006F2C9D" w:rsidRDefault="00B642F3"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8.4 (-12.7–34.6)</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vAlign w:val="bottom"/>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607" w:type="dxa"/>
          </w:tcPr>
          <w:p w:rsidR="004602CD" w:rsidRPr="006F2C9D" w:rsidRDefault="00A90D51"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5.3 (-16.4–32.6)</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236"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748" w:type="dxa"/>
          </w:tcPr>
          <w:p w:rsidR="004602CD" w:rsidRPr="006F2C9D" w:rsidRDefault="00C02F87"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12.6 (-22.6–63.8)</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r>
      <w:tr w:rsidR="001773EC" w:rsidRPr="009A2E74" w:rsidTr="00107A95">
        <w:trPr>
          <w:gridAfter w:val="1"/>
          <w:wAfter w:w="33" w:type="dxa"/>
          <w:cantSplit/>
          <w:trHeight w:val="113"/>
        </w:trPr>
        <w:tc>
          <w:tcPr>
            <w:tcW w:w="1276" w:type="dxa"/>
          </w:tcPr>
          <w:p w:rsidR="004602CD" w:rsidRPr="006F2C9D" w:rsidRDefault="004602CD" w:rsidP="004602CD">
            <w:pPr>
              <w:rPr>
                <w:rFonts w:ascii="Times New Roman" w:hAnsi="Times New Roman" w:cs="Times New Roman"/>
                <w:sz w:val="20"/>
                <w:szCs w:val="20"/>
                <w:lang w:val="en-US"/>
              </w:rPr>
            </w:pPr>
            <w:r w:rsidRPr="006F2C9D">
              <w:rPr>
                <w:rFonts w:ascii="Times New Roman" w:hAnsi="Times New Roman" w:cs="Times New Roman"/>
                <w:sz w:val="20"/>
                <w:szCs w:val="20"/>
                <w:lang w:val="en-US"/>
              </w:rPr>
              <w:t>sIL-6R</w:t>
            </w:r>
            <w:r w:rsidRPr="006F2C9D">
              <w:rPr>
                <w:rFonts w:ascii="Times New Roman" w:hAnsi="Times New Roman" w:cs="Times New Roman"/>
                <w:lang w:val="en-US"/>
              </w:rPr>
              <w:t>α</w:t>
            </w:r>
          </w:p>
        </w:tc>
        <w:tc>
          <w:tcPr>
            <w:tcW w:w="1559" w:type="dxa"/>
          </w:tcPr>
          <w:p w:rsidR="004602CD" w:rsidRPr="006F2C9D" w:rsidRDefault="00107D8F"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-1.1 (-2.0– -0.1)</w:t>
            </w:r>
          </w:p>
        </w:tc>
        <w:tc>
          <w:tcPr>
            <w:tcW w:w="993" w:type="dxa"/>
          </w:tcPr>
          <w:p w:rsidR="004602CD" w:rsidRPr="006F2C9D" w:rsidRDefault="004602CD" w:rsidP="004602CD">
            <w:pPr>
              <w:jc w:val="center"/>
              <w:rPr>
                <w:rFonts w:ascii="Times New Roman" w:hAnsi="Times New Roman" w:cs="Times New Roman"/>
                <w:sz w:val="20"/>
                <w:szCs w:val="20"/>
                <w:lang w:val="en-US"/>
              </w:rPr>
            </w:pPr>
          </w:p>
        </w:tc>
        <w:tc>
          <w:tcPr>
            <w:tcW w:w="283" w:type="dxa"/>
            <w:tcBorders>
              <w:left w:val="nil"/>
            </w:tcBorders>
          </w:tcPr>
          <w:p w:rsidR="004602CD" w:rsidRPr="006F2C9D" w:rsidRDefault="004602CD" w:rsidP="004602CD">
            <w:pPr>
              <w:jc w:val="center"/>
              <w:rPr>
                <w:rFonts w:ascii="Times New Roman" w:hAnsi="Times New Roman" w:cs="Times New Roman"/>
                <w:sz w:val="20"/>
                <w:szCs w:val="20"/>
                <w:lang w:val="en-US"/>
              </w:rPr>
            </w:pPr>
          </w:p>
        </w:tc>
        <w:tc>
          <w:tcPr>
            <w:tcW w:w="1701" w:type="dxa"/>
          </w:tcPr>
          <w:p w:rsidR="004602CD" w:rsidRPr="006F2C9D" w:rsidRDefault="002A1A2B"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0.9 (-14.7–19.3)</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tcPr>
          <w:p w:rsidR="004602CD" w:rsidRPr="006F2C9D" w:rsidRDefault="004602CD" w:rsidP="004602CD">
            <w:pPr>
              <w:jc w:val="center"/>
              <w:rPr>
                <w:rFonts w:ascii="Times New Roman" w:hAnsi="Times New Roman" w:cs="Times New Roman"/>
                <w:sz w:val="20"/>
                <w:szCs w:val="20"/>
                <w:lang w:val="en-US"/>
              </w:rPr>
            </w:pPr>
          </w:p>
        </w:tc>
        <w:tc>
          <w:tcPr>
            <w:tcW w:w="1607" w:type="dxa"/>
          </w:tcPr>
          <w:p w:rsidR="004602CD" w:rsidRPr="006F2C9D" w:rsidRDefault="0032549C"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0.4 (-8.0–9.6)</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vAlign w:val="bottom"/>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607" w:type="dxa"/>
          </w:tcPr>
          <w:p w:rsidR="004602CD" w:rsidRPr="006F2C9D" w:rsidRDefault="00CF3DA4"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-5.1 (-13.4–4.1)</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236"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748" w:type="dxa"/>
          </w:tcPr>
          <w:p w:rsidR="004602CD" w:rsidRPr="006F2C9D" w:rsidRDefault="00442392"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2.5 (-11.7–19.1)</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r>
      <w:tr w:rsidR="001773EC" w:rsidRPr="009A2E74" w:rsidTr="00107A95">
        <w:trPr>
          <w:gridAfter w:val="1"/>
          <w:wAfter w:w="33" w:type="dxa"/>
          <w:cantSplit/>
          <w:trHeight w:val="113"/>
        </w:trPr>
        <w:tc>
          <w:tcPr>
            <w:tcW w:w="1276" w:type="dxa"/>
          </w:tcPr>
          <w:p w:rsidR="004602CD" w:rsidRPr="006F2C9D" w:rsidRDefault="004602CD" w:rsidP="004602CD">
            <w:pPr>
              <w:rPr>
                <w:rFonts w:ascii="Times New Roman" w:hAnsi="Times New Roman" w:cs="Times New Roman"/>
                <w:sz w:val="20"/>
                <w:szCs w:val="20"/>
                <w:lang w:val="en-US"/>
              </w:rPr>
            </w:pPr>
            <w:r w:rsidRPr="006F2C9D">
              <w:rPr>
                <w:rFonts w:ascii="Times New Roman" w:hAnsi="Times New Roman" w:cs="Times New Roman"/>
                <w:sz w:val="20"/>
                <w:szCs w:val="20"/>
                <w:lang w:val="en-US"/>
              </w:rPr>
              <w:t>IL-8</w:t>
            </w:r>
          </w:p>
        </w:tc>
        <w:tc>
          <w:tcPr>
            <w:tcW w:w="1559" w:type="dxa"/>
          </w:tcPr>
          <w:p w:rsidR="004602CD" w:rsidRPr="006F2C9D" w:rsidRDefault="006C0355"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0.1 (-0.8–1.1)</w:t>
            </w:r>
          </w:p>
        </w:tc>
        <w:tc>
          <w:tcPr>
            <w:tcW w:w="993" w:type="dxa"/>
          </w:tcPr>
          <w:p w:rsidR="004602CD" w:rsidRPr="006F2C9D" w:rsidRDefault="004602CD" w:rsidP="004602CD">
            <w:pPr>
              <w:jc w:val="center"/>
              <w:rPr>
                <w:rFonts w:ascii="Times New Roman" w:hAnsi="Times New Roman" w:cs="Times New Roman"/>
                <w:sz w:val="20"/>
                <w:szCs w:val="20"/>
                <w:lang w:val="en-US"/>
              </w:rPr>
            </w:pPr>
          </w:p>
        </w:tc>
        <w:tc>
          <w:tcPr>
            <w:tcW w:w="283" w:type="dxa"/>
            <w:tcBorders>
              <w:left w:val="nil"/>
            </w:tcBorders>
          </w:tcPr>
          <w:p w:rsidR="004602CD" w:rsidRPr="006F2C9D" w:rsidRDefault="004602CD" w:rsidP="004602CD">
            <w:pPr>
              <w:jc w:val="center"/>
              <w:rPr>
                <w:rFonts w:ascii="Times New Roman" w:hAnsi="Times New Roman" w:cs="Times New Roman"/>
                <w:sz w:val="20"/>
                <w:szCs w:val="20"/>
                <w:lang w:val="en-US"/>
              </w:rPr>
            </w:pPr>
          </w:p>
        </w:tc>
        <w:tc>
          <w:tcPr>
            <w:tcW w:w="1701" w:type="dxa"/>
          </w:tcPr>
          <w:p w:rsidR="004602CD" w:rsidRPr="006F2C9D" w:rsidRDefault="00400086"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11.0 (-6.0–31.2)</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tcPr>
          <w:p w:rsidR="004602CD" w:rsidRPr="006F2C9D" w:rsidRDefault="004602CD" w:rsidP="004602CD">
            <w:pPr>
              <w:jc w:val="center"/>
              <w:rPr>
                <w:rFonts w:ascii="Times New Roman" w:hAnsi="Times New Roman" w:cs="Times New Roman"/>
                <w:sz w:val="20"/>
                <w:szCs w:val="20"/>
                <w:lang w:val="en-US"/>
              </w:rPr>
            </w:pPr>
          </w:p>
        </w:tc>
        <w:tc>
          <w:tcPr>
            <w:tcW w:w="1607" w:type="dxa"/>
          </w:tcPr>
          <w:p w:rsidR="004602CD" w:rsidRPr="006F2C9D" w:rsidRDefault="00DA0188"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1.2 (-7.2–10.5)</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vAlign w:val="bottom"/>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607" w:type="dxa"/>
          </w:tcPr>
          <w:p w:rsidR="004602CD" w:rsidRPr="006F2C9D" w:rsidRDefault="00123BF1"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1.8 (-7.1–11.6)</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236"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748" w:type="dxa"/>
          </w:tcPr>
          <w:p w:rsidR="004602CD" w:rsidRPr="006F2C9D" w:rsidRDefault="00A924CF"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14.3 (-1.5–32.6)</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r>
      <w:tr w:rsidR="001773EC" w:rsidRPr="009A2E74" w:rsidTr="00107A95">
        <w:trPr>
          <w:gridAfter w:val="1"/>
          <w:wAfter w:w="33" w:type="dxa"/>
          <w:cantSplit/>
          <w:trHeight w:val="113"/>
        </w:trPr>
        <w:tc>
          <w:tcPr>
            <w:tcW w:w="1276" w:type="dxa"/>
          </w:tcPr>
          <w:p w:rsidR="004602CD" w:rsidRPr="006F2C9D" w:rsidRDefault="004602CD" w:rsidP="004602CD">
            <w:pPr>
              <w:rPr>
                <w:rFonts w:ascii="Times New Roman" w:hAnsi="Times New Roman" w:cs="Times New Roman"/>
                <w:sz w:val="20"/>
                <w:szCs w:val="20"/>
                <w:lang w:val="en-US"/>
              </w:rPr>
            </w:pPr>
            <w:r w:rsidRPr="006F2C9D">
              <w:rPr>
                <w:rFonts w:ascii="Times New Roman" w:hAnsi="Times New Roman" w:cs="Times New Roman"/>
                <w:sz w:val="20"/>
                <w:szCs w:val="20"/>
                <w:lang w:val="en-US"/>
              </w:rPr>
              <w:t>IL-12</w:t>
            </w:r>
          </w:p>
        </w:tc>
        <w:tc>
          <w:tcPr>
            <w:tcW w:w="1559" w:type="dxa"/>
          </w:tcPr>
          <w:p w:rsidR="004602CD" w:rsidRPr="006F2C9D" w:rsidRDefault="006F764B"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0.7 (-0.2–1.5)</w:t>
            </w:r>
          </w:p>
        </w:tc>
        <w:tc>
          <w:tcPr>
            <w:tcW w:w="993" w:type="dxa"/>
          </w:tcPr>
          <w:p w:rsidR="004602CD" w:rsidRPr="006F2C9D" w:rsidRDefault="004602CD" w:rsidP="004602CD">
            <w:pPr>
              <w:jc w:val="center"/>
              <w:rPr>
                <w:rFonts w:ascii="Times New Roman" w:hAnsi="Times New Roman" w:cs="Times New Roman"/>
                <w:sz w:val="20"/>
                <w:szCs w:val="20"/>
                <w:lang w:val="en-US"/>
              </w:rPr>
            </w:pPr>
          </w:p>
        </w:tc>
        <w:tc>
          <w:tcPr>
            <w:tcW w:w="283" w:type="dxa"/>
          </w:tcPr>
          <w:p w:rsidR="004602CD" w:rsidRPr="006F2C9D" w:rsidRDefault="004602CD" w:rsidP="004602CD">
            <w:pPr>
              <w:jc w:val="center"/>
              <w:rPr>
                <w:rFonts w:ascii="Times New Roman" w:hAnsi="Times New Roman" w:cs="Times New Roman"/>
                <w:sz w:val="20"/>
                <w:szCs w:val="20"/>
                <w:lang w:val="en-US"/>
              </w:rPr>
            </w:pPr>
          </w:p>
        </w:tc>
        <w:tc>
          <w:tcPr>
            <w:tcW w:w="1701" w:type="dxa"/>
          </w:tcPr>
          <w:p w:rsidR="004602CD" w:rsidRPr="006F2C9D" w:rsidRDefault="0005010B"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8.9 (-5.9–25.9)</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tcPr>
          <w:p w:rsidR="004602CD" w:rsidRPr="006F2C9D" w:rsidRDefault="004602CD" w:rsidP="004602CD">
            <w:pPr>
              <w:jc w:val="center"/>
              <w:rPr>
                <w:rFonts w:ascii="Times New Roman" w:hAnsi="Times New Roman" w:cs="Times New Roman"/>
                <w:sz w:val="20"/>
                <w:szCs w:val="20"/>
                <w:lang w:val="en-US"/>
              </w:rPr>
            </w:pPr>
          </w:p>
        </w:tc>
        <w:tc>
          <w:tcPr>
            <w:tcW w:w="1607" w:type="dxa"/>
          </w:tcPr>
          <w:p w:rsidR="004602CD" w:rsidRPr="006F2C9D" w:rsidRDefault="008F2838"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1.7 (-5.8–9.7)</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vAlign w:val="bottom"/>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607" w:type="dxa"/>
          </w:tcPr>
          <w:p w:rsidR="004602CD" w:rsidRPr="006F2C9D" w:rsidRDefault="003C0CD0"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6.2 (-2.0–15.0)</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236"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748" w:type="dxa"/>
          </w:tcPr>
          <w:p w:rsidR="004602CD" w:rsidRPr="006F2C9D" w:rsidRDefault="00A924CF"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4.5 (-8.2–19.0)</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r>
      <w:tr w:rsidR="001773EC" w:rsidRPr="009A2E74" w:rsidTr="00107A95">
        <w:trPr>
          <w:gridAfter w:val="1"/>
          <w:wAfter w:w="33" w:type="dxa"/>
          <w:cantSplit/>
          <w:trHeight w:val="113"/>
        </w:trPr>
        <w:tc>
          <w:tcPr>
            <w:tcW w:w="1276" w:type="dxa"/>
          </w:tcPr>
          <w:p w:rsidR="004602CD" w:rsidRPr="006F2C9D" w:rsidRDefault="004602CD" w:rsidP="004602CD">
            <w:pPr>
              <w:rPr>
                <w:rFonts w:ascii="Times New Roman" w:hAnsi="Times New Roman" w:cs="Times New Roman"/>
                <w:sz w:val="20"/>
                <w:szCs w:val="20"/>
                <w:lang w:val="en-US"/>
              </w:rPr>
            </w:pPr>
            <w:r w:rsidRPr="006F2C9D">
              <w:rPr>
                <w:rFonts w:ascii="Times New Roman" w:hAnsi="Times New Roman" w:cs="Times New Roman"/>
                <w:sz w:val="20"/>
                <w:szCs w:val="20"/>
                <w:lang w:val="en-US"/>
              </w:rPr>
              <w:t>IL-17</w:t>
            </w:r>
            <w:r w:rsidR="00060FAC" w:rsidRPr="006F2C9D">
              <w:rPr>
                <w:rFonts w:ascii="Times New Roman" w:hAnsi="Times New Roman" w:cs="Times New Roman"/>
                <w:sz w:val="20"/>
                <w:szCs w:val="20"/>
                <w:vertAlign w:val="superscript"/>
                <w:lang w:val="en-US"/>
              </w:rPr>
              <w:t>c</w:t>
            </w:r>
          </w:p>
        </w:tc>
        <w:tc>
          <w:tcPr>
            <w:tcW w:w="1559" w:type="dxa"/>
          </w:tcPr>
          <w:p w:rsidR="004602CD" w:rsidRPr="006F2C9D" w:rsidRDefault="00057E82"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-0.7 (-2.5–1.2)</w:t>
            </w:r>
          </w:p>
        </w:tc>
        <w:tc>
          <w:tcPr>
            <w:tcW w:w="993" w:type="dxa"/>
          </w:tcPr>
          <w:p w:rsidR="004602CD" w:rsidRPr="006F2C9D" w:rsidRDefault="004602CD" w:rsidP="004602CD">
            <w:pPr>
              <w:jc w:val="center"/>
              <w:rPr>
                <w:rFonts w:ascii="Times New Roman" w:hAnsi="Times New Roman" w:cs="Times New Roman"/>
                <w:sz w:val="20"/>
                <w:szCs w:val="20"/>
                <w:lang w:val="en-US"/>
              </w:rPr>
            </w:pPr>
          </w:p>
        </w:tc>
        <w:tc>
          <w:tcPr>
            <w:tcW w:w="283" w:type="dxa"/>
          </w:tcPr>
          <w:p w:rsidR="004602CD" w:rsidRPr="006F2C9D" w:rsidRDefault="004602CD" w:rsidP="004602CD">
            <w:pPr>
              <w:jc w:val="center"/>
              <w:rPr>
                <w:rFonts w:ascii="Times New Roman" w:hAnsi="Times New Roman" w:cs="Times New Roman"/>
                <w:sz w:val="20"/>
                <w:szCs w:val="20"/>
                <w:lang w:val="en-US"/>
              </w:rPr>
            </w:pPr>
          </w:p>
        </w:tc>
        <w:tc>
          <w:tcPr>
            <w:tcW w:w="1701" w:type="dxa"/>
          </w:tcPr>
          <w:p w:rsidR="004602CD" w:rsidRPr="006F2C9D" w:rsidRDefault="00F67B5C"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5.2 (-26.4–50.6)</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tcPr>
          <w:p w:rsidR="004602CD" w:rsidRPr="006F2C9D" w:rsidRDefault="004602CD" w:rsidP="004602CD">
            <w:pPr>
              <w:jc w:val="center"/>
              <w:rPr>
                <w:rFonts w:ascii="Times New Roman" w:hAnsi="Times New Roman" w:cs="Times New Roman"/>
                <w:sz w:val="20"/>
                <w:szCs w:val="20"/>
                <w:lang w:val="en-US"/>
              </w:rPr>
            </w:pPr>
          </w:p>
        </w:tc>
        <w:tc>
          <w:tcPr>
            <w:tcW w:w="1607" w:type="dxa"/>
          </w:tcPr>
          <w:p w:rsidR="004602CD" w:rsidRPr="006F2C9D" w:rsidRDefault="0003347D" w:rsidP="004602CD">
            <w:pPr>
              <w:jc w:val="center"/>
              <w:rPr>
                <w:rFonts w:ascii="Times New Roman" w:hAnsi="Times New Roman" w:cs="Times New Roman"/>
                <w:color w:val="000000"/>
                <w:sz w:val="20"/>
                <w:szCs w:val="20"/>
                <w:lang w:val="en-US"/>
              </w:rPr>
            </w:pPr>
            <w:r w:rsidRPr="006F2C9D">
              <w:rPr>
                <w:rFonts w:ascii="Times New Roman" w:hAnsi="Times New Roman" w:cs="Times New Roman"/>
                <w:color w:val="000000"/>
                <w:sz w:val="20"/>
                <w:szCs w:val="20"/>
                <w:lang w:val="en-US"/>
              </w:rPr>
              <w:t>2.9 (-12.9–21.6)</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vAlign w:val="bottom"/>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607" w:type="dxa"/>
          </w:tcPr>
          <w:p w:rsidR="004602CD" w:rsidRPr="006F2C9D" w:rsidRDefault="003556DA"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-0.6 (-16.7–18.6)</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236"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748" w:type="dxa"/>
          </w:tcPr>
          <w:p w:rsidR="004602CD" w:rsidRPr="006F2C9D" w:rsidRDefault="00AB0B14"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1.8 (-23.8–35.8)</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r>
      <w:tr w:rsidR="001773EC" w:rsidRPr="009A2E74" w:rsidTr="00107A95">
        <w:trPr>
          <w:gridAfter w:val="1"/>
          <w:wAfter w:w="33" w:type="dxa"/>
          <w:cantSplit/>
          <w:trHeight w:val="113"/>
        </w:trPr>
        <w:tc>
          <w:tcPr>
            <w:tcW w:w="1276" w:type="dxa"/>
          </w:tcPr>
          <w:p w:rsidR="004602CD" w:rsidRPr="006F2C9D" w:rsidRDefault="004602CD" w:rsidP="004602CD">
            <w:pPr>
              <w:rPr>
                <w:rFonts w:ascii="Times New Roman" w:hAnsi="Times New Roman" w:cs="Times New Roman"/>
                <w:sz w:val="20"/>
                <w:szCs w:val="20"/>
                <w:lang w:val="en-US"/>
              </w:rPr>
            </w:pPr>
            <w:r w:rsidRPr="006F2C9D">
              <w:rPr>
                <w:rFonts w:ascii="Times New Roman" w:hAnsi="Times New Roman" w:cs="Times New Roman"/>
                <w:sz w:val="20"/>
                <w:szCs w:val="20"/>
                <w:lang w:val="en-US"/>
              </w:rPr>
              <w:t>IL-18</w:t>
            </w:r>
          </w:p>
        </w:tc>
        <w:tc>
          <w:tcPr>
            <w:tcW w:w="1559" w:type="dxa"/>
          </w:tcPr>
          <w:p w:rsidR="004602CD" w:rsidRPr="006F2C9D" w:rsidRDefault="003D1A2F"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-0.1 (-1.4–1.2)</w:t>
            </w:r>
          </w:p>
        </w:tc>
        <w:tc>
          <w:tcPr>
            <w:tcW w:w="993" w:type="dxa"/>
          </w:tcPr>
          <w:p w:rsidR="004602CD" w:rsidRPr="006F2C9D" w:rsidRDefault="004602CD" w:rsidP="004602CD">
            <w:pPr>
              <w:jc w:val="center"/>
              <w:rPr>
                <w:rFonts w:ascii="Times New Roman" w:hAnsi="Times New Roman" w:cs="Times New Roman"/>
                <w:sz w:val="20"/>
                <w:szCs w:val="20"/>
                <w:lang w:val="en-US"/>
              </w:rPr>
            </w:pPr>
          </w:p>
        </w:tc>
        <w:tc>
          <w:tcPr>
            <w:tcW w:w="283" w:type="dxa"/>
          </w:tcPr>
          <w:p w:rsidR="004602CD" w:rsidRPr="006F2C9D" w:rsidRDefault="004602CD" w:rsidP="004602CD">
            <w:pPr>
              <w:jc w:val="center"/>
              <w:rPr>
                <w:rFonts w:ascii="Times New Roman" w:hAnsi="Times New Roman" w:cs="Times New Roman"/>
                <w:sz w:val="20"/>
                <w:szCs w:val="20"/>
                <w:lang w:val="en-US"/>
              </w:rPr>
            </w:pPr>
          </w:p>
        </w:tc>
        <w:tc>
          <w:tcPr>
            <w:tcW w:w="1701" w:type="dxa"/>
          </w:tcPr>
          <w:p w:rsidR="004602CD" w:rsidRPr="006F2C9D" w:rsidRDefault="00EA4EDA"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-24.7 (-40.2–</w:t>
            </w:r>
            <w:r w:rsidR="0051351E" w:rsidRPr="006F2C9D">
              <w:rPr>
                <w:rFonts w:ascii="Times New Roman" w:hAnsi="Times New Roman" w:cs="Times New Roman"/>
                <w:sz w:val="20"/>
                <w:szCs w:val="20"/>
                <w:lang w:val="en-US"/>
              </w:rPr>
              <w:t xml:space="preserve"> </w:t>
            </w:r>
            <w:r w:rsidRPr="006F2C9D">
              <w:rPr>
                <w:rFonts w:ascii="Times New Roman" w:hAnsi="Times New Roman" w:cs="Times New Roman"/>
                <w:sz w:val="20"/>
                <w:szCs w:val="20"/>
                <w:lang w:val="en-US"/>
              </w:rPr>
              <w:t>-5.1)</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tcPr>
          <w:p w:rsidR="004602CD" w:rsidRPr="006F2C9D" w:rsidRDefault="004602CD" w:rsidP="004602CD">
            <w:pPr>
              <w:jc w:val="center"/>
              <w:rPr>
                <w:rFonts w:ascii="Times New Roman" w:hAnsi="Times New Roman" w:cs="Times New Roman"/>
                <w:sz w:val="20"/>
                <w:szCs w:val="20"/>
                <w:lang w:val="en-US"/>
              </w:rPr>
            </w:pPr>
          </w:p>
        </w:tc>
        <w:tc>
          <w:tcPr>
            <w:tcW w:w="1607" w:type="dxa"/>
          </w:tcPr>
          <w:p w:rsidR="004602CD" w:rsidRPr="006F2C9D" w:rsidRDefault="00D979C3"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0.1 (-11.4–13.1)</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vAlign w:val="bottom"/>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607" w:type="dxa"/>
          </w:tcPr>
          <w:p w:rsidR="004602CD" w:rsidRPr="006F2C9D" w:rsidRDefault="00466502"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6.9 (-6.0–21.5)</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236"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748" w:type="dxa"/>
          </w:tcPr>
          <w:p w:rsidR="004602CD" w:rsidRPr="006F2C9D" w:rsidRDefault="007A44D6"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9.1 (-11.4–34.4)</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r>
      <w:tr w:rsidR="001773EC" w:rsidRPr="009A2E74" w:rsidTr="00107A95">
        <w:trPr>
          <w:gridAfter w:val="1"/>
          <w:wAfter w:w="33" w:type="dxa"/>
          <w:cantSplit/>
          <w:trHeight w:val="113"/>
        </w:trPr>
        <w:tc>
          <w:tcPr>
            <w:tcW w:w="1276" w:type="dxa"/>
          </w:tcPr>
          <w:p w:rsidR="004602CD" w:rsidRPr="006F2C9D" w:rsidRDefault="004602CD" w:rsidP="004602CD">
            <w:pPr>
              <w:rPr>
                <w:rFonts w:ascii="Times New Roman" w:hAnsi="Times New Roman" w:cs="Times New Roman"/>
                <w:sz w:val="20"/>
                <w:szCs w:val="20"/>
                <w:lang w:val="en-US"/>
              </w:rPr>
            </w:pPr>
            <w:r w:rsidRPr="006F2C9D">
              <w:rPr>
                <w:rFonts w:ascii="Times New Roman" w:hAnsi="Times New Roman" w:cs="Times New Roman"/>
                <w:sz w:val="20"/>
                <w:szCs w:val="20"/>
                <w:lang w:val="en-US"/>
              </w:rPr>
              <w:t>TGF-β1</w:t>
            </w:r>
          </w:p>
        </w:tc>
        <w:tc>
          <w:tcPr>
            <w:tcW w:w="1559" w:type="dxa"/>
          </w:tcPr>
          <w:p w:rsidR="004602CD" w:rsidRPr="006F2C9D" w:rsidRDefault="00E148A8"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-0.6 (-1.5–0.3)</w:t>
            </w:r>
          </w:p>
        </w:tc>
        <w:tc>
          <w:tcPr>
            <w:tcW w:w="993" w:type="dxa"/>
          </w:tcPr>
          <w:p w:rsidR="004602CD" w:rsidRPr="006F2C9D" w:rsidRDefault="004602CD" w:rsidP="004602CD">
            <w:pPr>
              <w:jc w:val="center"/>
              <w:rPr>
                <w:rFonts w:ascii="Times New Roman" w:hAnsi="Times New Roman" w:cs="Times New Roman"/>
                <w:sz w:val="20"/>
                <w:szCs w:val="20"/>
                <w:lang w:val="en-US"/>
              </w:rPr>
            </w:pPr>
          </w:p>
        </w:tc>
        <w:tc>
          <w:tcPr>
            <w:tcW w:w="283" w:type="dxa"/>
          </w:tcPr>
          <w:p w:rsidR="004602CD" w:rsidRPr="006F2C9D" w:rsidRDefault="004602CD" w:rsidP="004602CD">
            <w:pPr>
              <w:jc w:val="center"/>
              <w:rPr>
                <w:rFonts w:ascii="Times New Roman" w:hAnsi="Times New Roman" w:cs="Times New Roman"/>
                <w:sz w:val="20"/>
                <w:szCs w:val="20"/>
                <w:lang w:val="en-US"/>
              </w:rPr>
            </w:pPr>
          </w:p>
        </w:tc>
        <w:tc>
          <w:tcPr>
            <w:tcW w:w="1701" w:type="dxa"/>
          </w:tcPr>
          <w:p w:rsidR="004602CD" w:rsidRPr="006F2C9D" w:rsidRDefault="00316E4C"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1.9 (-13.1–19.5)</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tcPr>
          <w:p w:rsidR="004602CD" w:rsidRPr="006F2C9D" w:rsidRDefault="004602CD" w:rsidP="004602CD">
            <w:pPr>
              <w:jc w:val="center"/>
              <w:rPr>
                <w:rFonts w:ascii="Times New Roman" w:hAnsi="Times New Roman" w:cs="Times New Roman"/>
                <w:sz w:val="20"/>
                <w:szCs w:val="20"/>
                <w:lang w:val="en-US"/>
              </w:rPr>
            </w:pPr>
          </w:p>
        </w:tc>
        <w:tc>
          <w:tcPr>
            <w:tcW w:w="1607" w:type="dxa"/>
          </w:tcPr>
          <w:p w:rsidR="004602CD" w:rsidRPr="006F2C9D" w:rsidRDefault="00A875B7"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0.2 (-7.8–9.0)</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vAlign w:val="bottom"/>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607" w:type="dxa"/>
          </w:tcPr>
          <w:p w:rsidR="004602CD" w:rsidRPr="006F2C9D" w:rsidRDefault="00197351"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0.1 (-8.3–9.3)</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236"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748" w:type="dxa"/>
          </w:tcPr>
          <w:p w:rsidR="004602CD" w:rsidRPr="006F2C9D" w:rsidRDefault="000A472E"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9.6 (-4.9–26.3)</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r>
      <w:tr w:rsidR="001773EC" w:rsidRPr="009A2E74" w:rsidTr="00DD2F96">
        <w:trPr>
          <w:gridAfter w:val="1"/>
          <w:wAfter w:w="33" w:type="dxa"/>
          <w:cantSplit/>
          <w:trHeight w:val="113"/>
        </w:trPr>
        <w:tc>
          <w:tcPr>
            <w:tcW w:w="1276" w:type="dxa"/>
          </w:tcPr>
          <w:p w:rsidR="004602CD" w:rsidRPr="006F2C9D" w:rsidRDefault="004602CD" w:rsidP="004602CD">
            <w:pPr>
              <w:rPr>
                <w:rFonts w:ascii="Times New Roman" w:hAnsi="Times New Roman" w:cs="Times New Roman"/>
                <w:sz w:val="20"/>
                <w:szCs w:val="20"/>
                <w:lang w:val="en-US"/>
              </w:rPr>
            </w:pPr>
            <w:r w:rsidRPr="006F2C9D">
              <w:rPr>
                <w:rFonts w:ascii="Times New Roman" w:hAnsi="Times New Roman" w:cs="Times New Roman"/>
                <w:sz w:val="20"/>
                <w:szCs w:val="20"/>
                <w:lang w:val="en-US"/>
              </w:rPr>
              <w:t>MCP-1</w:t>
            </w:r>
          </w:p>
        </w:tc>
        <w:tc>
          <w:tcPr>
            <w:tcW w:w="1559" w:type="dxa"/>
          </w:tcPr>
          <w:p w:rsidR="004602CD" w:rsidRPr="006F2C9D" w:rsidRDefault="00260821"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0.1 (-0.6–0.8)</w:t>
            </w:r>
          </w:p>
        </w:tc>
        <w:tc>
          <w:tcPr>
            <w:tcW w:w="993" w:type="dxa"/>
          </w:tcPr>
          <w:p w:rsidR="004602CD" w:rsidRPr="006F2C9D" w:rsidRDefault="004602CD" w:rsidP="004602CD">
            <w:pPr>
              <w:jc w:val="center"/>
              <w:rPr>
                <w:rFonts w:ascii="Times New Roman" w:hAnsi="Times New Roman" w:cs="Times New Roman"/>
                <w:sz w:val="20"/>
                <w:szCs w:val="20"/>
                <w:lang w:val="en-US"/>
              </w:rPr>
            </w:pPr>
          </w:p>
        </w:tc>
        <w:tc>
          <w:tcPr>
            <w:tcW w:w="283" w:type="dxa"/>
          </w:tcPr>
          <w:p w:rsidR="004602CD" w:rsidRPr="006F2C9D" w:rsidRDefault="004602CD" w:rsidP="004602CD">
            <w:pPr>
              <w:jc w:val="center"/>
              <w:rPr>
                <w:rFonts w:ascii="Times New Roman" w:hAnsi="Times New Roman" w:cs="Times New Roman"/>
                <w:sz w:val="20"/>
                <w:szCs w:val="20"/>
                <w:lang w:val="en-US"/>
              </w:rPr>
            </w:pPr>
          </w:p>
        </w:tc>
        <w:tc>
          <w:tcPr>
            <w:tcW w:w="1701" w:type="dxa"/>
          </w:tcPr>
          <w:p w:rsidR="004602CD" w:rsidRPr="006F2C9D" w:rsidRDefault="00406506"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0.8 (-11.1–14.2)</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tcPr>
          <w:p w:rsidR="004602CD" w:rsidRPr="006F2C9D" w:rsidRDefault="004602CD" w:rsidP="004602CD">
            <w:pPr>
              <w:jc w:val="center"/>
              <w:rPr>
                <w:rFonts w:ascii="Times New Roman" w:hAnsi="Times New Roman" w:cs="Times New Roman"/>
                <w:sz w:val="20"/>
                <w:szCs w:val="20"/>
                <w:lang w:val="en-US"/>
              </w:rPr>
            </w:pPr>
          </w:p>
        </w:tc>
        <w:tc>
          <w:tcPr>
            <w:tcW w:w="1607" w:type="dxa"/>
          </w:tcPr>
          <w:p w:rsidR="004602CD" w:rsidRPr="006F2C9D" w:rsidRDefault="00C13B17"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-0.4 (-6.7–6.4)</w:t>
            </w:r>
          </w:p>
        </w:tc>
        <w:tc>
          <w:tcPr>
            <w:tcW w:w="1134" w:type="dxa"/>
          </w:tcPr>
          <w:p w:rsidR="004602CD" w:rsidRPr="006F2C9D" w:rsidRDefault="004602CD" w:rsidP="004602CD">
            <w:pPr>
              <w:jc w:val="center"/>
              <w:rPr>
                <w:rFonts w:ascii="Times New Roman" w:hAnsi="Times New Roman" w:cs="Times New Roman"/>
                <w:sz w:val="20"/>
                <w:szCs w:val="20"/>
                <w:lang w:val="en-US"/>
              </w:rPr>
            </w:pPr>
          </w:p>
        </w:tc>
        <w:tc>
          <w:tcPr>
            <w:tcW w:w="236" w:type="dxa"/>
            <w:vAlign w:val="bottom"/>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607" w:type="dxa"/>
          </w:tcPr>
          <w:p w:rsidR="004602CD" w:rsidRPr="006F2C9D" w:rsidRDefault="009F1D45"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-1.7 (-8.3</w:t>
            </w:r>
            <w:r w:rsidR="00BE75CC" w:rsidRPr="006F2C9D">
              <w:rPr>
                <w:rFonts w:ascii="Times New Roman" w:hAnsi="Times New Roman" w:cs="Times New Roman"/>
                <w:sz w:val="20"/>
                <w:szCs w:val="20"/>
                <w:lang w:val="en-US"/>
              </w:rPr>
              <w:t>–5.3</w:t>
            </w:r>
            <w:r w:rsidRPr="006F2C9D">
              <w:rPr>
                <w:rFonts w:ascii="Times New Roman" w:hAnsi="Times New Roman" w:cs="Times New Roman"/>
                <w:sz w:val="20"/>
                <w:szCs w:val="20"/>
                <w:lang w:val="en-US"/>
              </w:rPr>
              <w:t>)</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236" w:type="dxa"/>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748" w:type="dxa"/>
          </w:tcPr>
          <w:p w:rsidR="004602CD" w:rsidRPr="006F2C9D" w:rsidRDefault="008D2465"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-7.0 (-16.8–4.0)</w:t>
            </w:r>
          </w:p>
        </w:tc>
        <w:tc>
          <w:tcPr>
            <w:tcW w:w="1134" w:type="dxa"/>
          </w:tcPr>
          <w:p w:rsidR="004602CD" w:rsidRPr="006F2C9D" w:rsidRDefault="004602CD" w:rsidP="004602CD">
            <w:pPr>
              <w:spacing w:line="360" w:lineRule="auto"/>
              <w:jc w:val="center"/>
              <w:rPr>
                <w:rFonts w:ascii="Times New Roman" w:hAnsi="Times New Roman" w:cs="Times New Roman"/>
                <w:sz w:val="20"/>
                <w:szCs w:val="20"/>
                <w:lang w:val="en-US"/>
              </w:rPr>
            </w:pPr>
          </w:p>
        </w:tc>
      </w:tr>
      <w:tr w:rsidR="001773EC" w:rsidRPr="009A2E74" w:rsidTr="00DD2F96">
        <w:trPr>
          <w:gridAfter w:val="1"/>
          <w:wAfter w:w="33" w:type="dxa"/>
          <w:cantSplit/>
          <w:trHeight w:val="113"/>
        </w:trPr>
        <w:tc>
          <w:tcPr>
            <w:tcW w:w="1276" w:type="dxa"/>
            <w:tcBorders>
              <w:bottom w:val="single" w:sz="8" w:space="0" w:color="auto"/>
            </w:tcBorders>
          </w:tcPr>
          <w:p w:rsidR="004602CD" w:rsidRPr="006F2C9D" w:rsidRDefault="004602CD" w:rsidP="004602CD">
            <w:pPr>
              <w:rPr>
                <w:rFonts w:ascii="Times New Roman" w:hAnsi="Times New Roman" w:cs="Times New Roman"/>
                <w:sz w:val="20"/>
                <w:szCs w:val="20"/>
                <w:lang w:val="en-US"/>
              </w:rPr>
            </w:pPr>
            <w:r w:rsidRPr="006F2C9D">
              <w:rPr>
                <w:rFonts w:ascii="Times New Roman" w:hAnsi="Times New Roman" w:cs="Times New Roman"/>
                <w:sz w:val="20"/>
                <w:szCs w:val="20"/>
                <w:lang w:val="en-US"/>
              </w:rPr>
              <w:t>CRP</w:t>
            </w:r>
          </w:p>
        </w:tc>
        <w:tc>
          <w:tcPr>
            <w:tcW w:w="1559" w:type="dxa"/>
            <w:tcBorders>
              <w:bottom w:val="single" w:sz="8" w:space="0" w:color="auto"/>
            </w:tcBorders>
          </w:tcPr>
          <w:p w:rsidR="004602CD" w:rsidRPr="006F2C9D" w:rsidRDefault="00BA380B"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-0.5 (-2.6–1.7)</w:t>
            </w:r>
          </w:p>
        </w:tc>
        <w:tc>
          <w:tcPr>
            <w:tcW w:w="993" w:type="dxa"/>
            <w:tcBorders>
              <w:bottom w:val="single" w:sz="8" w:space="0" w:color="auto"/>
            </w:tcBorders>
          </w:tcPr>
          <w:p w:rsidR="004602CD" w:rsidRPr="006F2C9D" w:rsidRDefault="004602CD" w:rsidP="004602CD">
            <w:pPr>
              <w:jc w:val="center"/>
              <w:rPr>
                <w:rFonts w:ascii="Times New Roman" w:hAnsi="Times New Roman" w:cs="Times New Roman"/>
                <w:sz w:val="20"/>
                <w:szCs w:val="20"/>
                <w:lang w:val="en-US"/>
              </w:rPr>
            </w:pPr>
          </w:p>
        </w:tc>
        <w:tc>
          <w:tcPr>
            <w:tcW w:w="283" w:type="dxa"/>
            <w:tcBorders>
              <w:bottom w:val="single" w:sz="8" w:space="0" w:color="auto"/>
            </w:tcBorders>
          </w:tcPr>
          <w:p w:rsidR="004602CD" w:rsidRPr="006F2C9D" w:rsidRDefault="004602CD" w:rsidP="004602CD">
            <w:pPr>
              <w:jc w:val="center"/>
              <w:rPr>
                <w:rFonts w:ascii="Times New Roman" w:hAnsi="Times New Roman" w:cs="Times New Roman"/>
                <w:sz w:val="20"/>
                <w:szCs w:val="20"/>
                <w:lang w:val="en-US"/>
              </w:rPr>
            </w:pPr>
          </w:p>
        </w:tc>
        <w:tc>
          <w:tcPr>
            <w:tcW w:w="1701" w:type="dxa"/>
            <w:tcBorders>
              <w:bottom w:val="single" w:sz="8" w:space="0" w:color="auto"/>
            </w:tcBorders>
          </w:tcPr>
          <w:p w:rsidR="004602CD" w:rsidRPr="006F2C9D" w:rsidRDefault="0054508A"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-12.9 (-40.4–27.3)</w:t>
            </w:r>
          </w:p>
        </w:tc>
        <w:tc>
          <w:tcPr>
            <w:tcW w:w="1134" w:type="dxa"/>
            <w:tcBorders>
              <w:bottom w:val="single" w:sz="8" w:space="0" w:color="auto"/>
            </w:tcBorders>
          </w:tcPr>
          <w:p w:rsidR="004602CD" w:rsidRPr="006F2C9D" w:rsidRDefault="004602CD" w:rsidP="004602CD">
            <w:pPr>
              <w:jc w:val="center"/>
              <w:rPr>
                <w:rFonts w:ascii="Times New Roman" w:hAnsi="Times New Roman" w:cs="Times New Roman"/>
                <w:sz w:val="20"/>
                <w:szCs w:val="20"/>
                <w:lang w:val="en-US"/>
              </w:rPr>
            </w:pPr>
          </w:p>
        </w:tc>
        <w:tc>
          <w:tcPr>
            <w:tcW w:w="236" w:type="dxa"/>
            <w:tcBorders>
              <w:bottom w:val="single" w:sz="8" w:space="0" w:color="auto"/>
            </w:tcBorders>
          </w:tcPr>
          <w:p w:rsidR="004602CD" w:rsidRPr="006F2C9D" w:rsidRDefault="004602CD" w:rsidP="004602CD">
            <w:pPr>
              <w:jc w:val="center"/>
              <w:rPr>
                <w:rFonts w:ascii="Times New Roman" w:hAnsi="Times New Roman" w:cs="Times New Roman"/>
                <w:sz w:val="20"/>
                <w:szCs w:val="20"/>
                <w:lang w:val="en-US"/>
              </w:rPr>
            </w:pPr>
          </w:p>
        </w:tc>
        <w:tc>
          <w:tcPr>
            <w:tcW w:w="1607" w:type="dxa"/>
            <w:tcBorders>
              <w:bottom w:val="single" w:sz="8" w:space="0" w:color="auto"/>
            </w:tcBorders>
          </w:tcPr>
          <w:p w:rsidR="004602CD" w:rsidRPr="006F2C9D" w:rsidRDefault="005B2E39" w:rsidP="004602CD">
            <w:pPr>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6.0 (-13.0–29.2)</w:t>
            </w:r>
          </w:p>
        </w:tc>
        <w:tc>
          <w:tcPr>
            <w:tcW w:w="1134" w:type="dxa"/>
            <w:tcBorders>
              <w:bottom w:val="single" w:sz="8" w:space="0" w:color="auto"/>
            </w:tcBorders>
          </w:tcPr>
          <w:p w:rsidR="004602CD" w:rsidRPr="006F2C9D" w:rsidRDefault="004602CD" w:rsidP="004602CD">
            <w:pPr>
              <w:jc w:val="center"/>
              <w:rPr>
                <w:rFonts w:ascii="Times New Roman" w:hAnsi="Times New Roman" w:cs="Times New Roman"/>
                <w:sz w:val="20"/>
                <w:szCs w:val="20"/>
                <w:lang w:val="en-US"/>
              </w:rPr>
            </w:pPr>
          </w:p>
        </w:tc>
        <w:tc>
          <w:tcPr>
            <w:tcW w:w="236" w:type="dxa"/>
            <w:tcBorders>
              <w:bottom w:val="single" w:sz="8" w:space="0" w:color="auto"/>
            </w:tcBorders>
            <w:vAlign w:val="bottom"/>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607" w:type="dxa"/>
            <w:tcBorders>
              <w:bottom w:val="single" w:sz="8" w:space="0" w:color="auto"/>
            </w:tcBorders>
          </w:tcPr>
          <w:p w:rsidR="004602CD" w:rsidRPr="006F2C9D" w:rsidRDefault="00662911"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29.7 (5.5–59.5)</w:t>
            </w:r>
          </w:p>
        </w:tc>
        <w:tc>
          <w:tcPr>
            <w:tcW w:w="1134" w:type="dxa"/>
            <w:tcBorders>
              <w:bottom w:val="single" w:sz="8" w:space="0" w:color="auto"/>
            </w:tcBorders>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236" w:type="dxa"/>
            <w:tcBorders>
              <w:bottom w:val="single" w:sz="8" w:space="0" w:color="auto"/>
            </w:tcBorders>
          </w:tcPr>
          <w:p w:rsidR="004602CD" w:rsidRPr="006F2C9D" w:rsidRDefault="004602CD" w:rsidP="004602CD">
            <w:pPr>
              <w:spacing w:line="360" w:lineRule="auto"/>
              <w:jc w:val="center"/>
              <w:rPr>
                <w:rFonts w:ascii="Times New Roman" w:hAnsi="Times New Roman" w:cs="Times New Roman"/>
                <w:sz w:val="20"/>
                <w:szCs w:val="20"/>
                <w:lang w:val="en-US"/>
              </w:rPr>
            </w:pPr>
          </w:p>
        </w:tc>
        <w:tc>
          <w:tcPr>
            <w:tcW w:w="1748" w:type="dxa"/>
            <w:tcBorders>
              <w:bottom w:val="single" w:sz="8" w:space="0" w:color="auto"/>
            </w:tcBorders>
          </w:tcPr>
          <w:p w:rsidR="004602CD" w:rsidRPr="006F2C9D" w:rsidRDefault="004C6F51" w:rsidP="004602CD">
            <w:pPr>
              <w:spacing w:line="360" w:lineRule="auto"/>
              <w:jc w:val="center"/>
              <w:rPr>
                <w:rFonts w:ascii="Times New Roman" w:hAnsi="Times New Roman" w:cs="Times New Roman"/>
                <w:sz w:val="20"/>
                <w:szCs w:val="20"/>
                <w:lang w:val="en-US"/>
              </w:rPr>
            </w:pPr>
            <w:r w:rsidRPr="006F2C9D">
              <w:rPr>
                <w:rFonts w:ascii="Times New Roman" w:hAnsi="Times New Roman" w:cs="Times New Roman"/>
                <w:sz w:val="20"/>
                <w:szCs w:val="20"/>
                <w:lang w:val="en-US"/>
              </w:rPr>
              <w:t>-24.6 (</w:t>
            </w:r>
            <w:r w:rsidR="002954F4" w:rsidRPr="006F2C9D">
              <w:rPr>
                <w:rFonts w:ascii="Times New Roman" w:hAnsi="Times New Roman" w:cs="Times New Roman"/>
                <w:sz w:val="20"/>
                <w:szCs w:val="20"/>
                <w:lang w:val="en-US"/>
              </w:rPr>
              <w:t>-46.2–5.5)</w:t>
            </w:r>
          </w:p>
        </w:tc>
        <w:tc>
          <w:tcPr>
            <w:tcW w:w="1134" w:type="dxa"/>
            <w:tcBorders>
              <w:bottom w:val="single" w:sz="8" w:space="0" w:color="auto"/>
            </w:tcBorders>
          </w:tcPr>
          <w:p w:rsidR="004602CD" w:rsidRPr="006F2C9D" w:rsidRDefault="004602CD" w:rsidP="004602CD">
            <w:pPr>
              <w:spacing w:line="360" w:lineRule="auto"/>
              <w:jc w:val="center"/>
              <w:rPr>
                <w:rFonts w:ascii="Times New Roman" w:hAnsi="Times New Roman" w:cs="Times New Roman"/>
                <w:sz w:val="20"/>
                <w:szCs w:val="20"/>
                <w:lang w:val="en-US"/>
              </w:rPr>
            </w:pPr>
          </w:p>
        </w:tc>
      </w:tr>
    </w:tbl>
    <w:p w:rsidR="00271FEA" w:rsidRPr="006F2C9D" w:rsidRDefault="00271FEA" w:rsidP="00271FEA">
      <w:pPr>
        <w:spacing w:after="0" w:line="360" w:lineRule="auto"/>
        <w:rPr>
          <w:rFonts w:ascii="Times New Roman" w:hAnsi="Times New Roman" w:cs="Times New Roman"/>
          <w:sz w:val="20"/>
          <w:szCs w:val="20"/>
          <w:lang w:val="en-US"/>
        </w:rPr>
      </w:pPr>
      <w:r w:rsidRPr="006F2C9D">
        <w:rPr>
          <w:rFonts w:ascii="Times New Roman" w:hAnsi="Times New Roman" w:cs="Times New Roman"/>
          <w:sz w:val="20"/>
          <w:szCs w:val="20"/>
          <w:lang w:val="en-US"/>
        </w:rPr>
        <w:t xml:space="preserve">CI, confidence interval; CRP, C-reactive protein; </w:t>
      </w:r>
      <w:r w:rsidR="00DF02CD" w:rsidRPr="006F2C9D">
        <w:rPr>
          <w:rFonts w:ascii="Times New Roman" w:hAnsi="Times New Roman" w:cs="Times New Roman"/>
          <w:sz w:val="20"/>
          <w:szCs w:val="20"/>
          <w:lang w:val="en-US"/>
        </w:rPr>
        <w:t xml:space="preserve">C-section, caesarean section; </w:t>
      </w:r>
      <w:r w:rsidRPr="006F2C9D">
        <w:rPr>
          <w:rFonts w:ascii="Times New Roman" w:hAnsi="Times New Roman" w:cs="Times New Roman"/>
          <w:sz w:val="20"/>
          <w:szCs w:val="20"/>
          <w:lang w:val="en-US"/>
        </w:rPr>
        <w:t>IL, interleukin; MCP, monocyte chemotactic protein; sIL-6R, IL-6 soluble receptor;</w:t>
      </w:r>
      <w:r w:rsidRPr="006F2C9D" w:rsidDel="008624A3">
        <w:rPr>
          <w:rFonts w:ascii="Times New Roman" w:hAnsi="Times New Roman" w:cs="Times New Roman"/>
          <w:sz w:val="20"/>
          <w:szCs w:val="20"/>
          <w:lang w:val="en-US"/>
        </w:rPr>
        <w:t xml:space="preserve"> </w:t>
      </w:r>
      <w:r w:rsidRPr="006F2C9D">
        <w:rPr>
          <w:rFonts w:ascii="Times New Roman" w:hAnsi="Times New Roman" w:cs="Times New Roman"/>
          <w:sz w:val="20"/>
          <w:szCs w:val="20"/>
          <w:lang w:val="en-US"/>
        </w:rPr>
        <w:t>TGF, transforming growth factor.</w:t>
      </w:r>
    </w:p>
    <w:p w:rsidR="00271FEA" w:rsidRPr="006F2C9D" w:rsidRDefault="00271FEA" w:rsidP="00271FEA">
      <w:pPr>
        <w:spacing w:after="0" w:line="360" w:lineRule="auto"/>
        <w:rPr>
          <w:rFonts w:ascii="Times New Roman" w:hAnsi="Times New Roman" w:cs="Times New Roman"/>
          <w:sz w:val="20"/>
          <w:szCs w:val="20"/>
          <w:lang w:val="en-US"/>
        </w:rPr>
      </w:pPr>
      <w:r w:rsidRPr="006F2C9D">
        <w:rPr>
          <w:rFonts w:ascii="Times New Roman" w:hAnsi="Times New Roman" w:cs="Times New Roman"/>
          <w:sz w:val="20"/>
          <w:szCs w:val="20"/>
          <w:lang w:val="en-US"/>
        </w:rPr>
        <w:t xml:space="preserve">Linear regression models with log-transformed concentrations of inflammatory markers as the outcomes, </w:t>
      </w:r>
      <w:r w:rsidR="0078220A" w:rsidRPr="006F2C9D">
        <w:rPr>
          <w:rFonts w:ascii="Times New Roman" w:hAnsi="Times New Roman" w:cs="Times New Roman"/>
          <w:sz w:val="20"/>
          <w:szCs w:val="20"/>
          <w:lang w:val="en-US"/>
        </w:rPr>
        <w:t>maternal age and birth weight</w:t>
      </w:r>
      <w:r w:rsidRPr="006F2C9D">
        <w:rPr>
          <w:rFonts w:ascii="Times New Roman" w:hAnsi="Times New Roman" w:cs="Times New Roman"/>
          <w:sz w:val="20"/>
          <w:szCs w:val="20"/>
          <w:lang w:val="en-US"/>
        </w:rPr>
        <w:t xml:space="preserve"> as continuous exposures, and </w:t>
      </w:r>
      <w:r w:rsidR="0078220A" w:rsidRPr="006F2C9D">
        <w:rPr>
          <w:rFonts w:ascii="Times New Roman" w:hAnsi="Times New Roman" w:cs="Times New Roman"/>
          <w:sz w:val="20"/>
          <w:szCs w:val="20"/>
          <w:lang w:val="en-US"/>
        </w:rPr>
        <w:t>mater</w:t>
      </w:r>
      <w:r w:rsidR="00211258" w:rsidRPr="006F2C9D">
        <w:rPr>
          <w:rFonts w:ascii="Times New Roman" w:hAnsi="Times New Roman" w:cs="Times New Roman"/>
          <w:sz w:val="20"/>
          <w:szCs w:val="20"/>
          <w:lang w:val="en-US"/>
        </w:rPr>
        <w:t>nal infection</w:t>
      </w:r>
      <w:r w:rsidR="0078220A" w:rsidRPr="006F2C9D">
        <w:rPr>
          <w:rFonts w:ascii="Times New Roman" w:hAnsi="Times New Roman" w:cs="Times New Roman"/>
          <w:sz w:val="20"/>
          <w:szCs w:val="20"/>
          <w:lang w:val="en-US"/>
        </w:rPr>
        <w:t xml:space="preserve"> during pregnancy and mode of delivery</w:t>
      </w:r>
      <w:r w:rsidRPr="006F2C9D">
        <w:rPr>
          <w:rFonts w:ascii="Times New Roman" w:hAnsi="Times New Roman" w:cs="Times New Roman"/>
          <w:sz w:val="20"/>
          <w:szCs w:val="20"/>
          <w:lang w:val="en-US"/>
        </w:rPr>
        <w:t xml:space="preserve"> as binary exposure</w:t>
      </w:r>
      <w:r w:rsidR="00211258" w:rsidRPr="006F2C9D">
        <w:rPr>
          <w:rFonts w:ascii="Times New Roman" w:hAnsi="Times New Roman" w:cs="Times New Roman"/>
          <w:sz w:val="20"/>
          <w:szCs w:val="20"/>
          <w:lang w:val="en-US"/>
        </w:rPr>
        <w:t>s</w:t>
      </w:r>
      <w:r w:rsidRPr="006F2C9D">
        <w:rPr>
          <w:rFonts w:ascii="Times New Roman" w:hAnsi="Times New Roman" w:cs="Times New Roman"/>
          <w:sz w:val="20"/>
          <w:szCs w:val="20"/>
          <w:lang w:val="en-US"/>
        </w:rPr>
        <w:t xml:space="preserve">, adjusted for birth year (continuous), patient/control status, and day after birth of neonatal blood spot sampling (continuous). </w:t>
      </w:r>
    </w:p>
    <w:p w:rsidR="003544F5" w:rsidRPr="006F2C9D" w:rsidRDefault="00271FEA" w:rsidP="003544F5">
      <w:pPr>
        <w:spacing w:after="0" w:line="360" w:lineRule="auto"/>
        <w:rPr>
          <w:rFonts w:ascii="Times New Roman" w:hAnsi="Times New Roman" w:cs="Times New Roman"/>
          <w:sz w:val="20"/>
          <w:szCs w:val="20"/>
          <w:lang w:val="en-US"/>
        </w:rPr>
      </w:pPr>
      <w:proofErr w:type="gramStart"/>
      <w:r w:rsidRPr="006F2C9D">
        <w:rPr>
          <w:rFonts w:ascii="Times New Roman" w:hAnsi="Times New Roman" w:cs="Times New Roman"/>
          <w:sz w:val="20"/>
          <w:szCs w:val="20"/>
          <w:vertAlign w:val="superscript"/>
          <w:lang w:val="en-US"/>
        </w:rPr>
        <w:t>a</w:t>
      </w:r>
      <w:proofErr w:type="gramEnd"/>
      <w:r w:rsidRPr="006F2C9D">
        <w:rPr>
          <w:rFonts w:ascii="Times New Roman" w:hAnsi="Times New Roman" w:cs="Times New Roman"/>
          <w:sz w:val="20"/>
          <w:szCs w:val="20"/>
          <w:lang w:val="en-US"/>
        </w:rPr>
        <w:t xml:space="preserve"> Multivariate analysis of variance p-value for joint tests, excluding children with any missing concentrations (n=53, leaving n=269 for analysis). </w:t>
      </w:r>
    </w:p>
    <w:p w:rsidR="00382BCE" w:rsidRPr="006F2C9D" w:rsidRDefault="00060FAC" w:rsidP="00382BCE">
      <w:pPr>
        <w:spacing w:after="0" w:line="360" w:lineRule="auto"/>
        <w:rPr>
          <w:rFonts w:ascii="Times New Roman" w:hAnsi="Times New Roman" w:cs="Times New Roman"/>
          <w:sz w:val="20"/>
          <w:szCs w:val="20"/>
          <w:lang w:val="en-US"/>
        </w:rPr>
      </w:pPr>
      <w:proofErr w:type="gramStart"/>
      <w:r w:rsidRPr="006F2C9D">
        <w:rPr>
          <w:rFonts w:ascii="Times New Roman" w:hAnsi="Times New Roman" w:cs="Times New Roman"/>
          <w:sz w:val="20"/>
          <w:szCs w:val="20"/>
          <w:vertAlign w:val="superscript"/>
          <w:lang w:val="en-US"/>
        </w:rPr>
        <w:t>b</w:t>
      </w:r>
      <w:proofErr w:type="gramEnd"/>
      <w:r w:rsidR="00382BCE" w:rsidRPr="006F2C9D">
        <w:rPr>
          <w:rFonts w:ascii="Times New Roman" w:hAnsi="Times New Roman" w:cs="Times New Roman"/>
          <w:sz w:val="20"/>
          <w:szCs w:val="20"/>
          <w:lang w:val="en-US"/>
        </w:rPr>
        <w:t xml:space="preserve"> Excluding children with missing IL-6 concentrations (n=24, leaving n=298 for analysis). </w:t>
      </w:r>
    </w:p>
    <w:p w:rsidR="00892D47" w:rsidRPr="006F2C9D" w:rsidRDefault="00060FAC" w:rsidP="006F29A0">
      <w:pPr>
        <w:spacing w:after="0" w:line="360" w:lineRule="auto"/>
        <w:rPr>
          <w:rFonts w:ascii="Times New Roman" w:hAnsi="Times New Roman" w:cs="Times New Roman"/>
          <w:sz w:val="20"/>
          <w:szCs w:val="20"/>
          <w:lang w:val="en-US"/>
        </w:rPr>
      </w:pPr>
      <w:proofErr w:type="gramStart"/>
      <w:r w:rsidRPr="006F2C9D">
        <w:rPr>
          <w:rFonts w:ascii="Times New Roman" w:hAnsi="Times New Roman" w:cs="Times New Roman"/>
          <w:sz w:val="20"/>
          <w:szCs w:val="20"/>
          <w:vertAlign w:val="superscript"/>
          <w:lang w:val="en-US"/>
        </w:rPr>
        <w:t>d</w:t>
      </w:r>
      <w:proofErr w:type="gramEnd"/>
      <w:r w:rsidR="00271FEA" w:rsidRPr="006F2C9D">
        <w:rPr>
          <w:rFonts w:ascii="Times New Roman" w:hAnsi="Times New Roman" w:cs="Times New Roman"/>
          <w:sz w:val="20"/>
          <w:szCs w:val="20"/>
          <w:lang w:val="en-US"/>
        </w:rPr>
        <w:t xml:space="preserve"> Excluding children with missing IL-17 concentrations (n=31, leaving n=291 for analysis).</w:t>
      </w:r>
    </w:p>
    <w:p w:rsidR="00060FAC" w:rsidRPr="006F2C9D" w:rsidRDefault="00060FAC" w:rsidP="00D003DF">
      <w:pPr>
        <w:spacing w:after="0" w:line="360" w:lineRule="auto"/>
        <w:rPr>
          <w:rFonts w:ascii="Times New Roman" w:hAnsi="Times New Roman" w:cs="Times New Roman"/>
          <w:lang w:val="en-US"/>
        </w:rPr>
      </w:pPr>
      <w:proofErr w:type="gramStart"/>
      <w:r w:rsidRPr="006F2C9D">
        <w:rPr>
          <w:rFonts w:ascii="Times New Roman" w:hAnsi="Times New Roman" w:cs="Times New Roman"/>
          <w:sz w:val="20"/>
          <w:szCs w:val="20"/>
          <w:vertAlign w:val="superscript"/>
          <w:lang w:val="en-US"/>
        </w:rPr>
        <w:t>e</w:t>
      </w:r>
      <w:r w:rsidRPr="006F2C9D">
        <w:rPr>
          <w:rFonts w:ascii="Times New Roman" w:hAnsi="Times New Roman" w:cs="Times New Roman"/>
          <w:sz w:val="20"/>
          <w:szCs w:val="20"/>
          <w:lang w:val="en-US"/>
        </w:rPr>
        <w:t xml:space="preserve"> </w:t>
      </w:r>
      <w:r w:rsidR="007F446F" w:rsidRPr="006F2C9D">
        <w:rPr>
          <w:rFonts w:ascii="Times New Roman" w:hAnsi="Times New Roman" w:cs="Times New Roman"/>
          <w:sz w:val="20"/>
          <w:szCs w:val="20"/>
          <w:lang w:val="en-US"/>
        </w:rPr>
        <w:t>The analyse</w:t>
      </w:r>
      <w:r w:rsidRPr="006F2C9D">
        <w:rPr>
          <w:rFonts w:ascii="Times New Roman" w:hAnsi="Times New Roman" w:cs="Times New Roman"/>
          <w:sz w:val="20"/>
          <w:szCs w:val="20"/>
          <w:lang w:val="en-US"/>
        </w:rPr>
        <w:t>s of maternal hospital contact due to infection</w:t>
      </w:r>
      <w:r w:rsidR="00BB222E" w:rsidRPr="006F2C9D">
        <w:rPr>
          <w:rFonts w:ascii="Times New Roman" w:hAnsi="Times New Roman" w:cs="Times New Roman"/>
          <w:sz w:val="20"/>
          <w:szCs w:val="20"/>
          <w:lang w:val="en-US"/>
        </w:rPr>
        <w:t xml:space="preserve">, </w:t>
      </w:r>
      <w:r w:rsidRPr="006F2C9D">
        <w:rPr>
          <w:rFonts w:ascii="Times New Roman" w:hAnsi="Times New Roman" w:cs="Times New Roman"/>
          <w:sz w:val="20"/>
          <w:szCs w:val="20"/>
          <w:lang w:val="en-US"/>
        </w:rPr>
        <w:t>antimicrobial prescriptions during pregnancy</w:t>
      </w:r>
      <w:r w:rsidR="00634DF4" w:rsidRPr="006F2C9D">
        <w:rPr>
          <w:rFonts w:ascii="Times New Roman" w:hAnsi="Times New Roman" w:cs="Times New Roman"/>
          <w:sz w:val="20"/>
          <w:szCs w:val="20"/>
          <w:lang w:val="en-US"/>
        </w:rPr>
        <w:t>,</w:t>
      </w:r>
      <w:r w:rsidRPr="006F2C9D">
        <w:rPr>
          <w:rFonts w:ascii="Times New Roman" w:hAnsi="Times New Roman" w:cs="Times New Roman"/>
          <w:sz w:val="20"/>
          <w:szCs w:val="20"/>
          <w:lang w:val="en-US"/>
        </w:rPr>
        <w:t xml:space="preserve"> </w:t>
      </w:r>
      <w:r w:rsidR="00BB222E" w:rsidRPr="006F2C9D">
        <w:rPr>
          <w:rFonts w:ascii="Times New Roman" w:hAnsi="Times New Roman" w:cs="Times New Roman"/>
          <w:sz w:val="20"/>
          <w:szCs w:val="20"/>
          <w:lang w:val="en-US"/>
        </w:rPr>
        <w:t xml:space="preserve">and </w:t>
      </w:r>
      <w:r w:rsidR="0098084C" w:rsidRPr="009A2E74">
        <w:rPr>
          <w:rFonts w:ascii="Times New Roman" w:hAnsi="Times New Roman" w:cs="Times New Roman"/>
          <w:sz w:val="20"/>
          <w:szCs w:val="20"/>
          <w:lang w:val="en-US"/>
        </w:rPr>
        <w:t>cesarean</w:t>
      </w:r>
      <w:r w:rsidR="00BB222E" w:rsidRPr="006F2C9D">
        <w:rPr>
          <w:rFonts w:ascii="Times New Roman" w:hAnsi="Times New Roman" w:cs="Times New Roman"/>
          <w:sz w:val="20"/>
          <w:szCs w:val="20"/>
          <w:lang w:val="en-US"/>
        </w:rPr>
        <w:t xml:space="preserve"> </w:t>
      </w:r>
      <w:r w:rsidR="0098084C" w:rsidRPr="006F2C9D">
        <w:rPr>
          <w:rFonts w:ascii="Times New Roman" w:hAnsi="Times New Roman" w:cs="Times New Roman"/>
          <w:sz w:val="20"/>
          <w:szCs w:val="20"/>
          <w:lang w:val="en-US"/>
        </w:rPr>
        <w:t xml:space="preserve">section </w:t>
      </w:r>
      <w:r w:rsidRPr="006F2C9D">
        <w:rPr>
          <w:rFonts w:ascii="Times New Roman" w:hAnsi="Times New Roman" w:cs="Times New Roman"/>
          <w:sz w:val="20"/>
          <w:szCs w:val="20"/>
          <w:lang w:val="en-US"/>
        </w:rPr>
        <w:t>included n=22</w:t>
      </w:r>
      <w:r w:rsidR="00BB222E" w:rsidRPr="006F2C9D">
        <w:rPr>
          <w:rFonts w:ascii="Times New Roman" w:hAnsi="Times New Roman" w:cs="Times New Roman"/>
          <w:sz w:val="20"/>
          <w:szCs w:val="20"/>
          <w:lang w:val="en-US"/>
        </w:rPr>
        <w:t xml:space="preserve">, </w:t>
      </w:r>
      <w:r w:rsidRPr="006F2C9D">
        <w:rPr>
          <w:rFonts w:ascii="Times New Roman" w:hAnsi="Times New Roman" w:cs="Times New Roman"/>
          <w:sz w:val="20"/>
          <w:szCs w:val="20"/>
          <w:lang w:val="en-US"/>
        </w:rPr>
        <w:t>n=116</w:t>
      </w:r>
      <w:r w:rsidR="005813A6">
        <w:rPr>
          <w:rFonts w:ascii="Times New Roman" w:hAnsi="Times New Roman" w:cs="Times New Roman"/>
          <w:sz w:val="20"/>
          <w:szCs w:val="20"/>
          <w:lang w:val="en-US"/>
        </w:rPr>
        <w:t>,</w:t>
      </w:r>
      <w:r w:rsidR="0098084C" w:rsidRPr="006F2C9D">
        <w:rPr>
          <w:rFonts w:ascii="Times New Roman" w:hAnsi="Times New Roman" w:cs="Times New Roman"/>
          <w:sz w:val="20"/>
          <w:szCs w:val="20"/>
          <w:lang w:val="en-US"/>
        </w:rPr>
        <w:t xml:space="preserve"> and n=28 </w:t>
      </w:r>
      <w:r w:rsidRPr="006F2C9D">
        <w:rPr>
          <w:rFonts w:ascii="Times New Roman" w:hAnsi="Times New Roman" w:cs="Times New Roman"/>
          <w:sz w:val="20"/>
          <w:szCs w:val="20"/>
          <w:lang w:val="en-US"/>
        </w:rPr>
        <w:t>events, respectively, in analysis of all other markers than IL-6 and IL-17; n=20</w:t>
      </w:r>
      <w:r w:rsidR="00E62D6A" w:rsidRPr="006F2C9D">
        <w:rPr>
          <w:rFonts w:ascii="Times New Roman" w:hAnsi="Times New Roman" w:cs="Times New Roman"/>
          <w:sz w:val="20"/>
          <w:szCs w:val="20"/>
          <w:lang w:val="en-US"/>
        </w:rPr>
        <w:t xml:space="preserve">, </w:t>
      </w:r>
      <w:r w:rsidRPr="006F2C9D">
        <w:rPr>
          <w:rFonts w:ascii="Times New Roman" w:hAnsi="Times New Roman" w:cs="Times New Roman"/>
          <w:sz w:val="20"/>
          <w:szCs w:val="20"/>
          <w:lang w:val="en-US"/>
        </w:rPr>
        <w:t>n=105</w:t>
      </w:r>
      <w:r w:rsidR="005813A6">
        <w:rPr>
          <w:rFonts w:ascii="Times New Roman" w:hAnsi="Times New Roman" w:cs="Times New Roman"/>
          <w:sz w:val="20"/>
          <w:szCs w:val="20"/>
          <w:lang w:val="en-US"/>
        </w:rPr>
        <w:t>,</w:t>
      </w:r>
      <w:r w:rsidRPr="006F2C9D">
        <w:rPr>
          <w:rFonts w:ascii="Times New Roman" w:hAnsi="Times New Roman" w:cs="Times New Roman"/>
          <w:sz w:val="20"/>
          <w:szCs w:val="20"/>
          <w:lang w:val="en-US"/>
        </w:rPr>
        <w:t xml:space="preserve"> </w:t>
      </w:r>
      <w:r w:rsidR="00E62D6A" w:rsidRPr="006F2C9D">
        <w:rPr>
          <w:rFonts w:ascii="Times New Roman" w:hAnsi="Times New Roman" w:cs="Times New Roman"/>
          <w:sz w:val="20"/>
          <w:szCs w:val="20"/>
          <w:lang w:val="en-US"/>
        </w:rPr>
        <w:t>and n=</w:t>
      </w:r>
      <w:r w:rsidR="00B87158" w:rsidRPr="006F2C9D">
        <w:rPr>
          <w:rFonts w:ascii="Times New Roman" w:hAnsi="Times New Roman" w:cs="Times New Roman"/>
          <w:sz w:val="20"/>
          <w:szCs w:val="20"/>
          <w:lang w:val="en-US"/>
        </w:rPr>
        <w:t xml:space="preserve">25 </w:t>
      </w:r>
      <w:r w:rsidRPr="006F2C9D">
        <w:rPr>
          <w:rFonts w:ascii="Times New Roman" w:hAnsi="Times New Roman" w:cs="Times New Roman"/>
          <w:sz w:val="20"/>
          <w:szCs w:val="20"/>
          <w:lang w:val="en-US"/>
        </w:rPr>
        <w:t>events, respectively, in analysis of IL-6; and n=16</w:t>
      </w:r>
      <w:r w:rsidR="00B87158" w:rsidRPr="006F2C9D">
        <w:rPr>
          <w:rFonts w:ascii="Times New Roman" w:hAnsi="Times New Roman" w:cs="Times New Roman"/>
          <w:sz w:val="20"/>
          <w:szCs w:val="20"/>
          <w:lang w:val="en-US"/>
        </w:rPr>
        <w:t xml:space="preserve">, </w:t>
      </w:r>
      <w:r w:rsidRPr="006F2C9D">
        <w:rPr>
          <w:rFonts w:ascii="Times New Roman" w:hAnsi="Times New Roman" w:cs="Times New Roman"/>
          <w:sz w:val="20"/>
          <w:szCs w:val="20"/>
          <w:lang w:val="en-US"/>
        </w:rPr>
        <w:t>n=107</w:t>
      </w:r>
      <w:r w:rsidR="005813A6">
        <w:rPr>
          <w:rFonts w:ascii="Times New Roman" w:hAnsi="Times New Roman" w:cs="Times New Roman"/>
          <w:sz w:val="20"/>
          <w:szCs w:val="20"/>
          <w:lang w:val="en-US"/>
        </w:rPr>
        <w:t>,</w:t>
      </w:r>
      <w:r w:rsidRPr="006F2C9D">
        <w:rPr>
          <w:rFonts w:ascii="Times New Roman" w:hAnsi="Times New Roman" w:cs="Times New Roman"/>
          <w:sz w:val="20"/>
          <w:szCs w:val="20"/>
          <w:lang w:val="en-US"/>
        </w:rPr>
        <w:t xml:space="preserve"> </w:t>
      </w:r>
      <w:r w:rsidR="00B87158" w:rsidRPr="006F2C9D">
        <w:rPr>
          <w:rFonts w:ascii="Times New Roman" w:hAnsi="Times New Roman" w:cs="Times New Roman"/>
          <w:sz w:val="20"/>
          <w:szCs w:val="20"/>
          <w:lang w:val="en-US"/>
        </w:rPr>
        <w:t xml:space="preserve">and n=25 </w:t>
      </w:r>
      <w:r w:rsidRPr="006F2C9D">
        <w:rPr>
          <w:rFonts w:ascii="Times New Roman" w:hAnsi="Times New Roman" w:cs="Times New Roman"/>
          <w:sz w:val="20"/>
          <w:szCs w:val="20"/>
          <w:lang w:val="en-US"/>
        </w:rPr>
        <w:t>events, respectively, in analysis of IL-17.</w:t>
      </w:r>
      <w:proofErr w:type="gramEnd"/>
    </w:p>
    <w:sectPr w:rsidR="00060FAC" w:rsidRPr="006F2C9D" w:rsidSect="00840416">
      <w:pgSz w:w="16838" w:h="11906" w:orient="landscape"/>
      <w:pgMar w:top="1134" w:right="170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BE2"/>
    <w:multiLevelType w:val="multilevel"/>
    <w:tmpl w:val="307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E1D2A"/>
    <w:multiLevelType w:val="multilevel"/>
    <w:tmpl w:val="1454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55274"/>
    <w:multiLevelType w:val="multilevel"/>
    <w:tmpl w:val="992CD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A17EE"/>
    <w:multiLevelType w:val="multilevel"/>
    <w:tmpl w:val="992CD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97911"/>
    <w:multiLevelType w:val="multilevel"/>
    <w:tmpl w:val="A35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82698"/>
    <w:multiLevelType w:val="multilevel"/>
    <w:tmpl w:val="8DBE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3C"/>
    <w:rsid w:val="00003F7B"/>
    <w:rsid w:val="00004A7C"/>
    <w:rsid w:val="00005BBC"/>
    <w:rsid w:val="00010124"/>
    <w:rsid w:val="00015FD2"/>
    <w:rsid w:val="00017860"/>
    <w:rsid w:val="00020D5F"/>
    <w:rsid w:val="0003347D"/>
    <w:rsid w:val="00041AB3"/>
    <w:rsid w:val="000422EC"/>
    <w:rsid w:val="000426DE"/>
    <w:rsid w:val="00047118"/>
    <w:rsid w:val="0005010B"/>
    <w:rsid w:val="000536B1"/>
    <w:rsid w:val="00054205"/>
    <w:rsid w:val="000546B3"/>
    <w:rsid w:val="000551AE"/>
    <w:rsid w:val="00055827"/>
    <w:rsid w:val="00057E82"/>
    <w:rsid w:val="00060FAC"/>
    <w:rsid w:val="000626C1"/>
    <w:rsid w:val="00063ABB"/>
    <w:rsid w:val="00065EDA"/>
    <w:rsid w:val="00070926"/>
    <w:rsid w:val="0007519E"/>
    <w:rsid w:val="00084212"/>
    <w:rsid w:val="00084562"/>
    <w:rsid w:val="00090F40"/>
    <w:rsid w:val="00094579"/>
    <w:rsid w:val="00094E25"/>
    <w:rsid w:val="000A342E"/>
    <w:rsid w:val="000A4481"/>
    <w:rsid w:val="000A472E"/>
    <w:rsid w:val="000A5750"/>
    <w:rsid w:val="000B1B05"/>
    <w:rsid w:val="000B3AA2"/>
    <w:rsid w:val="000B7CA6"/>
    <w:rsid w:val="000C0894"/>
    <w:rsid w:val="000C0E87"/>
    <w:rsid w:val="000C2CCE"/>
    <w:rsid w:val="000D6D40"/>
    <w:rsid w:val="000D7C98"/>
    <w:rsid w:val="000E0142"/>
    <w:rsid w:val="000E49EC"/>
    <w:rsid w:val="00103E48"/>
    <w:rsid w:val="00107A95"/>
    <w:rsid w:val="00107D8F"/>
    <w:rsid w:val="00111D7D"/>
    <w:rsid w:val="00112CF6"/>
    <w:rsid w:val="00113670"/>
    <w:rsid w:val="001139E8"/>
    <w:rsid w:val="00113C07"/>
    <w:rsid w:val="00120F69"/>
    <w:rsid w:val="00123BF1"/>
    <w:rsid w:val="001249F0"/>
    <w:rsid w:val="00132AFD"/>
    <w:rsid w:val="0013482B"/>
    <w:rsid w:val="00134A23"/>
    <w:rsid w:val="001371E5"/>
    <w:rsid w:val="00137A0B"/>
    <w:rsid w:val="00141746"/>
    <w:rsid w:val="001426DE"/>
    <w:rsid w:val="00144110"/>
    <w:rsid w:val="001471A0"/>
    <w:rsid w:val="00160040"/>
    <w:rsid w:val="00160E78"/>
    <w:rsid w:val="00162A54"/>
    <w:rsid w:val="0016352E"/>
    <w:rsid w:val="00170E58"/>
    <w:rsid w:val="00173129"/>
    <w:rsid w:val="00175B00"/>
    <w:rsid w:val="001773EC"/>
    <w:rsid w:val="0018034C"/>
    <w:rsid w:val="001833E0"/>
    <w:rsid w:val="0018531C"/>
    <w:rsid w:val="00185472"/>
    <w:rsid w:val="00190458"/>
    <w:rsid w:val="001915D7"/>
    <w:rsid w:val="001952CD"/>
    <w:rsid w:val="00196F5E"/>
    <w:rsid w:val="00197351"/>
    <w:rsid w:val="001B5A40"/>
    <w:rsid w:val="001C6DE3"/>
    <w:rsid w:val="001D105F"/>
    <w:rsid w:val="001D4E38"/>
    <w:rsid w:val="001E0774"/>
    <w:rsid w:val="001E12EB"/>
    <w:rsid w:val="001E6097"/>
    <w:rsid w:val="001F34A1"/>
    <w:rsid w:val="001F5BAF"/>
    <w:rsid w:val="001F7CE5"/>
    <w:rsid w:val="00200550"/>
    <w:rsid w:val="002010C8"/>
    <w:rsid w:val="002105C8"/>
    <w:rsid w:val="00210CBF"/>
    <w:rsid w:val="00211258"/>
    <w:rsid w:val="002121A9"/>
    <w:rsid w:val="00215851"/>
    <w:rsid w:val="0021667B"/>
    <w:rsid w:val="0022196F"/>
    <w:rsid w:val="0022253F"/>
    <w:rsid w:val="0022275D"/>
    <w:rsid w:val="002228BE"/>
    <w:rsid w:val="00222CD7"/>
    <w:rsid w:val="002241D3"/>
    <w:rsid w:val="00225230"/>
    <w:rsid w:val="00226089"/>
    <w:rsid w:val="00241D59"/>
    <w:rsid w:val="002420CC"/>
    <w:rsid w:val="002425D0"/>
    <w:rsid w:val="00245BE1"/>
    <w:rsid w:val="00246768"/>
    <w:rsid w:val="00247000"/>
    <w:rsid w:val="002501D2"/>
    <w:rsid w:val="002560C0"/>
    <w:rsid w:val="0025743E"/>
    <w:rsid w:val="00257AD8"/>
    <w:rsid w:val="00260821"/>
    <w:rsid w:val="002612A0"/>
    <w:rsid w:val="002638CF"/>
    <w:rsid w:val="002656B4"/>
    <w:rsid w:val="00266FFD"/>
    <w:rsid w:val="00271FEA"/>
    <w:rsid w:val="0027312A"/>
    <w:rsid w:val="0027592F"/>
    <w:rsid w:val="002833F6"/>
    <w:rsid w:val="00286087"/>
    <w:rsid w:val="00286AD7"/>
    <w:rsid w:val="00290FAB"/>
    <w:rsid w:val="002954F4"/>
    <w:rsid w:val="002A04E4"/>
    <w:rsid w:val="002A1750"/>
    <w:rsid w:val="002A1A2B"/>
    <w:rsid w:val="002A26F6"/>
    <w:rsid w:val="002A2805"/>
    <w:rsid w:val="002A35BB"/>
    <w:rsid w:val="002A3C4A"/>
    <w:rsid w:val="002B0396"/>
    <w:rsid w:val="002C0901"/>
    <w:rsid w:val="002C4395"/>
    <w:rsid w:val="002C48DB"/>
    <w:rsid w:val="002C5AE7"/>
    <w:rsid w:val="002C6722"/>
    <w:rsid w:val="002C7ADE"/>
    <w:rsid w:val="002D3C47"/>
    <w:rsid w:val="002D4C53"/>
    <w:rsid w:val="002D79CF"/>
    <w:rsid w:val="002E51F1"/>
    <w:rsid w:val="002F0327"/>
    <w:rsid w:val="002F0EC0"/>
    <w:rsid w:val="002F18B9"/>
    <w:rsid w:val="00300369"/>
    <w:rsid w:val="00302CA2"/>
    <w:rsid w:val="003036AD"/>
    <w:rsid w:val="00306671"/>
    <w:rsid w:val="003112C4"/>
    <w:rsid w:val="00316E4C"/>
    <w:rsid w:val="00320000"/>
    <w:rsid w:val="00325468"/>
    <w:rsid w:val="0032549C"/>
    <w:rsid w:val="00325B07"/>
    <w:rsid w:val="00327968"/>
    <w:rsid w:val="00330F95"/>
    <w:rsid w:val="00331230"/>
    <w:rsid w:val="00341D89"/>
    <w:rsid w:val="00341E4A"/>
    <w:rsid w:val="00343FC5"/>
    <w:rsid w:val="00345D53"/>
    <w:rsid w:val="003466BD"/>
    <w:rsid w:val="00350EE1"/>
    <w:rsid w:val="00352CE2"/>
    <w:rsid w:val="003544F5"/>
    <w:rsid w:val="003556DA"/>
    <w:rsid w:val="0036325B"/>
    <w:rsid w:val="003671E8"/>
    <w:rsid w:val="003705FF"/>
    <w:rsid w:val="00370605"/>
    <w:rsid w:val="00370D2D"/>
    <w:rsid w:val="00372022"/>
    <w:rsid w:val="00373CFC"/>
    <w:rsid w:val="00373D39"/>
    <w:rsid w:val="00376EEE"/>
    <w:rsid w:val="00381D41"/>
    <w:rsid w:val="00382BCE"/>
    <w:rsid w:val="00382F06"/>
    <w:rsid w:val="003867CE"/>
    <w:rsid w:val="00386D45"/>
    <w:rsid w:val="003879AF"/>
    <w:rsid w:val="003948DC"/>
    <w:rsid w:val="00394C42"/>
    <w:rsid w:val="00395820"/>
    <w:rsid w:val="003967DF"/>
    <w:rsid w:val="003A7E4E"/>
    <w:rsid w:val="003B2C61"/>
    <w:rsid w:val="003B4D3B"/>
    <w:rsid w:val="003B687F"/>
    <w:rsid w:val="003B7B3F"/>
    <w:rsid w:val="003C0CD0"/>
    <w:rsid w:val="003C25FE"/>
    <w:rsid w:val="003C5291"/>
    <w:rsid w:val="003C7988"/>
    <w:rsid w:val="003D119C"/>
    <w:rsid w:val="003D1A2F"/>
    <w:rsid w:val="003D24EB"/>
    <w:rsid w:val="003D6D94"/>
    <w:rsid w:val="003E3458"/>
    <w:rsid w:val="003E3CC9"/>
    <w:rsid w:val="003E45BF"/>
    <w:rsid w:val="003F19F2"/>
    <w:rsid w:val="003F734C"/>
    <w:rsid w:val="00400086"/>
    <w:rsid w:val="00406506"/>
    <w:rsid w:val="00413FAF"/>
    <w:rsid w:val="00415D35"/>
    <w:rsid w:val="0041679F"/>
    <w:rsid w:val="00426467"/>
    <w:rsid w:val="0042660B"/>
    <w:rsid w:val="00427070"/>
    <w:rsid w:val="00427959"/>
    <w:rsid w:val="00430E0F"/>
    <w:rsid w:val="00433FEF"/>
    <w:rsid w:val="00434C68"/>
    <w:rsid w:val="00442392"/>
    <w:rsid w:val="004423D4"/>
    <w:rsid w:val="004437FE"/>
    <w:rsid w:val="00445AA3"/>
    <w:rsid w:val="00446216"/>
    <w:rsid w:val="00452DDF"/>
    <w:rsid w:val="00452E68"/>
    <w:rsid w:val="004536FB"/>
    <w:rsid w:val="00453C1A"/>
    <w:rsid w:val="00454E04"/>
    <w:rsid w:val="00460281"/>
    <w:rsid w:val="004602CD"/>
    <w:rsid w:val="00462F98"/>
    <w:rsid w:val="004634CE"/>
    <w:rsid w:val="00466046"/>
    <w:rsid w:val="00466502"/>
    <w:rsid w:val="00466DB1"/>
    <w:rsid w:val="00472548"/>
    <w:rsid w:val="00475C72"/>
    <w:rsid w:val="00476EE4"/>
    <w:rsid w:val="0048190A"/>
    <w:rsid w:val="00486E20"/>
    <w:rsid w:val="00490000"/>
    <w:rsid w:val="00495476"/>
    <w:rsid w:val="004960E1"/>
    <w:rsid w:val="004A38AF"/>
    <w:rsid w:val="004A3F02"/>
    <w:rsid w:val="004A5372"/>
    <w:rsid w:val="004A66A4"/>
    <w:rsid w:val="004B1E49"/>
    <w:rsid w:val="004B3D40"/>
    <w:rsid w:val="004B4EB2"/>
    <w:rsid w:val="004B6D15"/>
    <w:rsid w:val="004C5473"/>
    <w:rsid w:val="004C5EBF"/>
    <w:rsid w:val="004C6F51"/>
    <w:rsid w:val="004D218A"/>
    <w:rsid w:val="004D6DA3"/>
    <w:rsid w:val="004D750C"/>
    <w:rsid w:val="004E007A"/>
    <w:rsid w:val="004E1CDE"/>
    <w:rsid w:val="004E3699"/>
    <w:rsid w:val="004E6FD7"/>
    <w:rsid w:val="004F4ADB"/>
    <w:rsid w:val="004F7BA7"/>
    <w:rsid w:val="00500D93"/>
    <w:rsid w:val="00505897"/>
    <w:rsid w:val="005069BF"/>
    <w:rsid w:val="00511BC7"/>
    <w:rsid w:val="0051351E"/>
    <w:rsid w:val="005174B3"/>
    <w:rsid w:val="005223E6"/>
    <w:rsid w:val="0053593D"/>
    <w:rsid w:val="00543952"/>
    <w:rsid w:val="005447A2"/>
    <w:rsid w:val="00544E61"/>
    <w:rsid w:val="0054508A"/>
    <w:rsid w:val="00546D7C"/>
    <w:rsid w:val="00557A47"/>
    <w:rsid w:val="00566B4E"/>
    <w:rsid w:val="00571716"/>
    <w:rsid w:val="00571E33"/>
    <w:rsid w:val="005762D7"/>
    <w:rsid w:val="005813A6"/>
    <w:rsid w:val="005926C7"/>
    <w:rsid w:val="00595876"/>
    <w:rsid w:val="005973C0"/>
    <w:rsid w:val="005B13CC"/>
    <w:rsid w:val="005B2E39"/>
    <w:rsid w:val="005B3A2C"/>
    <w:rsid w:val="005B3F32"/>
    <w:rsid w:val="005B4214"/>
    <w:rsid w:val="005B5A26"/>
    <w:rsid w:val="005C59B2"/>
    <w:rsid w:val="005C6302"/>
    <w:rsid w:val="005D58B7"/>
    <w:rsid w:val="005D73F0"/>
    <w:rsid w:val="005D7D9A"/>
    <w:rsid w:val="005E33D9"/>
    <w:rsid w:val="005F48FD"/>
    <w:rsid w:val="005F61E4"/>
    <w:rsid w:val="005F651A"/>
    <w:rsid w:val="00601425"/>
    <w:rsid w:val="006035A5"/>
    <w:rsid w:val="006038D9"/>
    <w:rsid w:val="00613AC6"/>
    <w:rsid w:val="00615425"/>
    <w:rsid w:val="00621A7E"/>
    <w:rsid w:val="00625258"/>
    <w:rsid w:val="006254F2"/>
    <w:rsid w:val="00625903"/>
    <w:rsid w:val="00634DF4"/>
    <w:rsid w:val="006357C5"/>
    <w:rsid w:val="00636D6B"/>
    <w:rsid w:val="006410BD"/>
    <w:rsid w:val="0064299F"/>
    <w:rsid w:val="0065157B"/>
    <w:rsid w:val="00657F88"/>
    <w:rsid w:val="00662911"/>
    <w:rsid w:val="00665AD8"/>
    <w:rsid w:val="006708AB"/>
    <w:rsid w:val="00670C95"/>
    <w:rsid w:val="00672E6F"/>
    <w:rsid w:val="00673B96"/>
    <w:rsid w:val="00674F3C"/>
    <w:rsid w:val="0068205B"/>
    <w:rsid w:val="00682F21"/>
    <w:rsid w:val="00683925"/>
    <w:rsid w:val="00683E61"/>
    <w:rsid w:val="0068468D"/>
    <w:rsid w:val="00686768"/>
    <w:rsid w:val="006875C6"/>
    <w:rsid w:val="006A11C3"/>
    <w:rsid w:val="006A124A"/>
    <w:rsid w:val="006A6328"/>
    <w:rsid w:val="006A63C0"/>
    <w:rsid w:val="006B1F48"/>
    <w:rsid w:val="006B2E98"/>
    <w:rsid w:val="006B5591"/>
    <w:rsid w:val="006B7C6A"/>
    <w:rsid w:val="006C0355"/>
    <w:rsid w:val="006C17C6"/>
    <w:rsid w:val="006C2CC4"/>
    <w:rsid w:val="006C6DE5"/>
    <w:rsid w:val="006D05B0"/>
    <w:rsid w:val="006D07B7"/>
    <w:rsid w:val="006D082D"/>
    <w:rsid w:val="006D7A9F"/>
    <w:rsid w:val="006D7EF7"/>
    <w:rsid w:val="006E05C1"/>
    <w:rsid w:val="006E0DB0"/>
    <w:rsid w:val="006E41FE"/>
    <w:rsid w:val="006E6D3C"/>
    <w:rsid w:val="006F29A0"/>
    <w:rsid w:val="006F2C9D"/>
    <w:rsid w:val="006F3005"/>
    <w:rsid w:val="006F5A92"/>
    <w:rsid w:val="006F764B"/>
    <w:rsid w:val="00701B94"/>
    <w:rsid w:val="00705003"/>
    <w:rsid w:val="007147F8"/>
    <w:rsid w:val="007221C1"/>
    <w:rsid w:val="00723709"/>
    <w:rsid w:val="007237DC"/>
    <w:rsid w:val="00723CE2"/>
    <w:rsid w:val="007256C0"/>
    <w:rsid w:val="00730EBE"/>
    <w:rsid w:val="0073192B"/>
    <w:rsid w:val="007343C6"/>
    <w:rsid w:val="007405B2"/>
    <w:rsid w:val="007506AE"/>
    <w:rsid w:val="00751C21"/>
    <w:rsid w:val="00761334"/>
    <w:rsid w:val="00767975"/>
    <w:rsid w:val="00772E75"/>
    <w:rsid w:val="0077448A"/>
    <w:rsid w:val="007745E1"/>
    <w:rsid w:val="00776823"/>
    <w:rsid w:val="00780671"/>
    <w:rsid w:val="00781096"/>
    <w:rsid w:val="0078220A"/>
    <w:rsid w:val="007850A1"/>
    <w:rsid w:val="0078731B"/>
    <w:rsid w:val="00792490"/>
    <w:rsid w:val="00793D22"/>
    <w:rsid w:val="00795195"/>
    <w:rsid w:val="007971A4"/>
    <w:rsid w:val="007A19B6"/>
    <w:rsid w:val="007A44D6"/>
    <w:rsid w:val="007A5EDC"/>
    <w:rsid w:val="007A7A1F"/>
    <w:rsid w:val="007B0112"/>
    <w:rsid w:val="007B36A4"/>
    <w:rsid w:val="007B4C6F"/>
    <w:rsid w:val="007B5D8C"/>
    <w:rsid w:val="007B7388"/>
    <w:rsid w:val="007B746C"/>
    <w:rsid w:val="007C2EE1"/>
    <w:rsid w:val="007D024C"/>
    <w:rsid w:val="007D5288"/>
    <w:rsid w:val="007D749A"/>
    <w:rsid w:val="007E36E7"/>
    <w:rsid w:val="007F2A2A"/>
    <w:rsid w:val="007F3D15"/>
    <w:rsid w:val="007F43D2"/>
    <w:rsid w:val="007F446F"/>
    <w:rsid w:val="00802606"/>
    <w:rsid w:val="00802BF3"/>
    <w:rsid w:val="008035D3"/>
    <w:rsid w:val="0080414D"/>
    <w:rsid w:val="00804EA4"/>
    <w:rsid w:val="008050B1"/>
    <w:rsid w:val="00805B8D"/>
    <w:rsid w:val="00810057"/>
    <w:rsid w:val="00811BB5"/>
    <w:rsid w:val="00817F6D"/>
    <w:rsid w:val="008201CA"/>
    <w:rsid w:val="00824078"/>
    <w:rsid w:val="008253A3"/>
    <w:rsid w:val="008335FE"/>
    <w:rsid w:val="00833FB1"/>
    <w:rsid w:val="00840416"/>
    <w:rsid w:val="0084200C"/>
    <w:rsid w:val="00842B96"/>
    <w:rsid w:val="0084386E"/>
    <w:rsid w:val="00844DB7"/>
    <w:rsid w:val="00844FB9"/>
    <w:rsid w:val="008461DD"/>
    <w:rsid w:val="00852806"/>
    <w:rsid w:val="00852C32"/>
    <w:rsid w:val="00852CD9"/>
    <w:rsid w:val="00862AC9"/>
    <w:rsid w:val="008710E0"/>
    <w:rsid w:val="00871720"/>
    <w:rsid w:val="00871DBE"/>
    <w:rsid w:val="00873A6B"/>
    <w:rsid w:val="008753B4"/>
    <w:rsid w:val="0088076E"/>
    <w:rsid w:val="008864F1"/>
    <w:rsid w:val="008871B1"/>
    <w:rsid w:val="00892D47"/>
    <w:rsid w:val="008972E1"/>
    <w:rsid w:val="008A010D"/>
    <w:rsid w:val="008A3421"/>
    <w:rsid w:val="008A498E"/>
    <w:rsid w:val="008A5CEB"/>
    <w:rsid w:val="008A702F"/>
    <w:rsid w:val="008B59F0"/>
    <w:rsid w:val="008B715B"/>
    <w:rsid w:val="008C2477"/>
    <w:rsid w:val="008C3AFA"/>
    <w:rsid w:val="008C5C0A"/>
    <w:rsid w:val="008C5E74"/>
    <w:rsid w:val="008D01D6"/>
    <w:rsid w:val="008D0F7A"/>
    <w:rsid w:val="008D1F68"/>
    <w:rsid w:val="008D2465"/>
    <w:rsid w:val="008E083E"/>
    <w:rsid w:val="008E0B4A"/>
    <w:rsid w:val="008E4884"/>
    <w:rsid w:val="008F05E4"/>
    <w:rsid w:val="008F2838"/>
    <w:rsid w:val="008F534F"/>
    <w:rsid w:val="008F595A"/>
    <w:rsid w:val="008F7B14"/>
    <w:rsid w:val="0090010A"/>
    <w:rsid w:val="00902172"/>
    <w:rsid w:val="00903E53"/>
    <w:rsid w:val="00903FF7"/>
    <w:rsid w:val="009057EB"/>
    <w:rsid w:val="0090589D"/>
    <w:rsid w:val="00905D59"/>
    <w:rsid w:val="00910940"/>
    <w:rsid w:val="00911E51"/>
    <w:rsid w:val="00912859"/>
    <w:rsid w:val="00912C73"/>
    <w:rsid w:val="00916D35"/>
    <w:rsid w:val="00917C9A"/>
    <w:rsid w:val="00923EB9"/>
    <w:rsid w:val="00925C6E"/>
    <w:rsid w:val="00925E95"/>
    <w:rsid w:val="00926AAB"/>
    <w:rsid w:val="00927076"/>
    <w:rsid w:val="00930E74"/>
    <w:rsid w:val="00931E6F"/>
    <w:rsid w:val="0093441C"/>
    <w:rsid w:val="009349F6"/>
    <w:rsid w:val="00936719"/>
    <w:rsid w:val="009375C6"/>
    <w:rsid w:val="00940032"/>
    <w:rsid w:val="0094066B"/>
    <w:rsid w:val="0094169B"/>
    <w:rsid w:val="00943EC3"/>
    <w:rsid w:val="00947591"/>
    <w:rsid w:val="00957FAB"/>
    <w:rsid w:val="00961021"/>
    <w:rsid w:val="00961E81"/>
    <w:rsid w:val="00964B5B"/>
    <w:rsid w:val="009729EF"/>
    <w:rsid w:val="00975F7B"/>
    <w:rsid w:val="00977874"/>
    <w:rsid w:val="0098084C"/>
    <w:rsid w:val="00981C1F"/>
    <w:rsid w:val="009830C9"/>
    <w:rsid w:val="0098571E"/>
    <w:rsid w:val="00986AFE"/>
    <w:rsid w:val="00992A22"/>
    <w:rsid w:val="0099399F"/>
    <w:rsid w:val="00997344"/>
    <w:rsid w:val="009A2E74"/>
    <w:rsid w:val="009A4900"/>
    <w:rsid w:val="009A4E4E"/>
    <w:rsid w:val="009B5A1E"/>
    <w:rsid w:val="009B6612"/>
    <w:rsid w:val="009C2F1D"/>
    <w:rsid w:val="009C30CB"/>
    <w:rsid w:val="009D17CF"/>
    <w:rsid w:val="009D2E56"/>
    <w:rsid w:val="009D2EFB"/>
    <w:rsid w:val="009D3F41"/>
    <w:rsid w:val="009D7ADF"/>
    <w:rsid w:val="009E0B54"/>
    <w:rsid w:val="009E4B21"/>
    <w:rsid w:val="009E72D8"/>
    <w:rsid w:val="009E778A"/>
    <w:rsid w:val="009F1D45"/>
    <w:rsid w:val="009F36E3"/>
    <w:rsid w:val="00A00D28"/>
    <w:rsid w:val="00A05DD0"/>
    <w:rsid w:val="00A11400"/>
    <w:rsid w:val="00A117F2"/>
    <w:rsid w:val="00A12B92"/>
    <w:rsid w:val="00A16FE1"/>
    <w:rsid w:val="00A205CA"/>
    <w:rsid w:val="00A23586"/>
    <w:rsid w:val="00A23B2D"/>
    <w:rsid w:val="00A33307"/>
    <w:rsid w:val="00A3671A"/>
    <w:rsid w:val="00A3687A"/>
    <w:rsid w:val="00A434A7"/>
    <w:rsid w:val="00A45260"/>
    <w:rsid w:val="00A51D82"/>
    <w:rsid w:val="00A528FA"/>
    <w:rsid w:val="00A54826"/>
    <w:rsid w:val="00A55742"/>
    <w:rsid w:val="00A5697F"/>
    <w:rsid w:val="00A575B9"/>
    <w:rsid w:val="00A6162E"/>
    <w:rsid w:val="00A621DC"/>
    <w:rsid w:val="00A67872"/>
    <w:rsid w:val="00A71D98"/>
    <w:rsid w:val="00A75341"/>
    <w:rsid w:val="00A830C6"/>
    <w:rsid w:val="00A844B2"/>
    <w:rsid w:val="00A858AE"/>
    <w:rsid w:val="00A8718E"/>
    <w:rsid w:val="00A875B7"/>
    <w:rsid w:val="00A90D51"/>
    <w:rsid w:val="00A924CF"/>
    <w:rsid w:val="00A93311"/>
    <w:rsid w:val="00A9425B"/>
    <w:rsid w:val="00A95065"/>
    <w:rsid w:val="00A95E79"/>
    <w:rsid w:val="00A97F1B"/>
    <w:rsid w:val="00AA0BD2"/>
    <w:rsid w:val="00AA61DA"/>
    <w:rsid w:val="00AA7E4D"/>
    <w:rsid w:val="00AB0B14"/>
    <w:rsid w:val="00AB2ED2"/>
    <w:rsid w:val="00AB693B"/>
    <w:rsid w:val="00AC06EF"/>
    <w:rsid w:val="00AC18C1"/>
    <w:rsid w:val="00AC3F91"/>
    <w:rsid w:val="00AC5BA5"/>
    <w:rsid w:val="00AC6657"/>
    <w:rsid w:val="00AD60A4"/>
    <w:rsid w:val="00AE3079"/>
    <w:rsid w:val="00AE339E"/>
    <w:rsid w:val="00AF256C"/>
    <w:rsid w:val="00AF2B58"/>
    <w:rsid w:val="00B014F1"/>
    <w:rsid w:val="00B035B1"/>
    <w:rsid w:val="00B06456"/>
    <w:rsid w:val="00B07936"/>
    <w:rsid w:val="00B126EA"/>
    <w:rsid w:val="00B13A08"/>
    <w:rsid w:val="00B20C25"/>
    <w:rsid w:val="00B21E08"/>
    <w:rsid w:val="00B3259D"/>
    <w:rsid w:val="00B32C42"/>
    <w:rsid w:val="00B33F5E"/>
    <w:rsid w:val="00B36386"/>
    <w:rsid w:val="00B36F22"/>
    <w:rsid w:val="00B4029F"/>
    <w:rsid w:val="00B43535"/>
    <w:rsid w:val="00B43BC4"/>
    <w:rsid w:val="00B47B11"/>
    <w:rsid w:val="00B51CED"/>
    <w:rsid w:val="00B53544"/>
    <w:rsid w:val="00B53E19"/>
    <w:rsid w:val="00B642F3"/>
    <w:rsid w:val="00B6464F"/>
    <w:rsid w:val="00B650F9"/>
    <w:rsid w:val="00B72B06"/>
    <w:rsid w:val="00B73D41"/>
    <w:rsid w:val="00B76C59"/>
    <w:rsid w:val="00B778A7"/>
    <w:rsid w:val="00B77CDA"/>
    <w:rsid w:val="00B80A9A"/>
    <w:rsid w:val="00B8248D"/>
    <w:rsid w:val="00B87158"/>
    <w:rsid w:val="00B918A1"/>
    <w:rsid w:val="00B945F3"/>
    <w:rsid w:val="00B97364"/>
    <w:rsid w:val="00BA0C8D"/>
    <w:rsid w:val="00BA1229"/>
    <w:rsid w:val="00BA380B"/>
    <w:rsid w:val="00BA3DC1"/>
    <w:rsid w:val="00BA4B3D"/>
    <w:rsid w:val="00BA6945"/>
    <w:rsid w:val="00BB222E"/>
    <w:rsid w:val="00BB2F19"/>
    <w:rsid w:val="00BB403B"/>
    <w:rsid w:val="00BB6B7B"/>
    <w:rsid w:val="00BB6DD8"/>
    <w:rsid w:val="00BB7C3C"/>
    <w:rsid w:val="00BC0040"/>
    <w:rsid w:val="00BC0AC3"/>
    <w:rsid w:val="00BC349A"/>
    <w:rsid w:val="00BC3DFE"/>
    <w:rsid w:val="00BD1C2F"/>
    <w:rsid w:val="00BD6B26"/>
    <w:rsid w:val="00BE1DB7"/>
    <w:rsid w:val="00BE4301"/>
    <w:rsid w:val="00BE6114"/>
    <w:rsid w:val="00BE6143"/>
    <w:rsid w:val="00BE75CC"/>
    <w:rsid w:val="00BF419E"/>
    <w:rsid w:val="00BF4425"/>
    <w:rsid w:val="00BF5D73"/>
    <w:rsid w:val="00BF69C8"/>
    <w:rsid w:val="00BF722E"/>
    <w:rsid w:val="00C02F87"/>
    <w:rsid w:val="00C035D0"/>
    <w:rsid w:val="00C0398E"/>
    <w:rsid w:val="00C06209"/>
    <w:rsid w:val="00C06B37"/>
    <w:rsid w:val="00C1152C"/>
    <w:rsid w:val="00C117D1"/>
    <w:rsid w:val="00C13B17"/>
    <w:rsid w:val="00C1508F"/>
    <w:rsid w:val="00C22649"/>
    <w:rsid w:val="00C258D0"/>
    <w:rsid w:val="00C30A1E"/>
    <w:rsid w:val="00C326DF"/>
    <w:rsid w:val="00C328B0"/>
    <w:rsid w:val="00C334AE"/>
    <w:rsid w:val="00C33C9B"/>
    <w:rsid w:val="00C347B8"/>
    <w:rsid w:val="00C3506E"/>
    <w:rsid w:val="00C37279"/>
    <w:rsid w:val="00C37F56"/>
    <w:rsid w:val="00C402C3"/>
    <w:rsid w:val="00C4368A"/>
    <w:rsid w:val="00C452B5"/>
    <w:rsid w:val="00C51AEE"/>
    <w:rsid w:val="00C52EFF"/>
    <w:rsid w:val="00C550CD"/>
    <w:rsid w:val="00C57B2D"/>
    <w:rsid w:val="00C61D00"/>
    <w:rsid w:val="00C62E5F"/>
    <w:rsid w:val="00C7628E"/>
    <w:rsid w:val="00C815EF"/>
    <w:rsid w:val="00C85F61"/>
    <w:rsid w:val="00C94448"/>
    <w:rsid w:val="00C94E3C"/>
    <w:rsid w:val="00C95179"/>
    <w:rsid w:val="00CA1CDE"/>
    <w:rsid w:val="00CA6721"/>
    <w:rsid w:val="00CA6DFE"/>
    <w:rsid w:val="00CB0144"/>
    <w:rsid w:val="00CB34FB"/>
    <w:rsid w:val="00CB468B"/>
    <w:rsid w:val="00CB4F20"/>
    <w:rsid w:val="00CB57B7"/>
    <w:rsid w:val="00CC08E8"/>
    <w:rsid w:val="00CC092D"/>
    <w:rsid w:val="00CC0E25"/>
    <w:rsid w:val="00CC18FF"/>
    <w:rsid w:val="00CC63BC"/>
    <w:rsid w:val="00CC6C9D"/>
    <w:rsid w:val="00CC7B18"/>
    <w:rsid w:val="00CD2E94"/>
    <w:rsid w:val="00CD7ECE"/>
    <w:rsid w:val="00CE4E41"/>
    <w:rsid w:val="00CF0A96"/>
    <w:rsid w:val="00CF13F5"/>
    <w:rsid w:val="00CF3DA4"/>
    <w:rsid w:val="00CF6A66"/>
    <w:rsid w:val="00D003DF"/>
    <w:rsid w:val="00D02E38"/>
    <w:rsid w:val="00D03134"/>
    <w:rsid w:val="00D03A33"/>
    <w:rsid w:val="00D04B91"/>
    <w:rsid w:val="00D069CF"/>
    <w:rsid w:val="00D11DDC"/>
    <w:rsid w:val="00D1497F"/>
    <w:rsid w:val="00D14DE0"/>
    <w:rsid w:val="00D24F3A"/>
    <w:rsid w:val="00D302A5"/>
    <w:rsid w:val="00D33B51"/>
    <w:rsid w:val="00D36D8C"/>
    <w:rsid w:val="00D41C1C"/>
    <w:rsid w:val="00D41E7B"/>
    <w:rsid w:val="00D45D11"/>
    <w:rsid w:val="00D521E7"/>
    <w:rsid w:val="00D570F5"/>
    <w:rsid w:val="00D57D19"/>
    <w:rsid w:val="00D60313"/>
    <w:rsid w:val="00D60E5C"/>
    <w:rsid w:val="00D63F91"/>
    <w:rsid w:val="00D67C5C"/>
    <w:rsid w:val="00D71606"/>
    <w:rsid w:val="00D75172"/>
    <w:rsid w:val="00D80A24"/>
    <w:rsid w:val="00D850A7"/>
    <w:rsid w:val="00D86245"/>
    <w:rsid w:val="00D87D67"/>
    <w:rsid w:val="00D93639"/>
    <w:rsid w:val="00D93EC3"/>
    <w:rsid w:val="00D979C3"/>
    <w:rsid w:val="00DA0188"/>
    <w:rsid w:val="00DA55E3"/>
    <w:rsid w:val="00DA74DB"/>
    <w:rsid w:val="00DB14BD"/>
    <w:rsid w:val="00DC1768"/>
    <w:rsid w:val="00DC19C6"/>
    <w:rsid w:val="00DC4650"/>
    <w:rsid w:val="00DC4E1D"/>
    <w:rsid w:val="00DC611F"/>
    <w:rsid w:val="00DD12A5"/>
    <w:rsid w:val="00DD13AF"/>
    <w:rsid w:val="00DD25BA"/>
    <w:rsid w:val="00DD2F96"/>
    <w:rsid w:val="00DD5309"/>
    <w:rsid w:val="00DD6C35"/>
    <w:rsid w:val="00DE4B2B"/>
    <w:rsid w:val="00DE67CC"/>
    <w:rsid w:val="00DE74DE"/>
    <w:rsid w:val="00DF02CD"/>
    <w:rsid w:val="00DF038B"/>
    <w:rsid w:val="00DF1338"/>
    <w:rsid w:val="00DF303E"/>
    <w:rsid w:val="00DF39EA"/>
    <w:rsid w:val="00DF4FB9"/>
    <w:rsid w:val="00DF59FB"/>
    <w:rsid w:val="00DF5BD0"/>
    <w:rsid w:val="00DF6836"/>
    <w:rsid w:val="00E0032A"/>
    <w:rsid w:val="00E00556"/>
    <w:rsid w:val="00E04B0A"/>
    <w:rsid w:val="00E04DE3"/>
    <w:rsid w:val="00E100BD"/>
    <w:rsid w:val="00E148A8"/>
    <w:rsid w:val="00E16CB6"/>
    <w:rsid w:val="00E2486B"/>
    <w:rsid w:val="00E252A8"/>
    <w:rsid w:val="00E26BCF"/>
    <w:rsid w:val="00E2700D"/>
    <w:rsid w:val="00E27679"/>
    <w:rsid w:val="00E300AA"/>
    <w:rsid w:val="00E32E4F"/>
    <w:rsid w:val="00E36D5A"/>
    <w:rsid w:val="00E60859"/>
    <w:rsid w:val="00E6282E"/>
    <w:rsid w:val="00E62D6A"/>
    <w:rsid w:val="00E66C9B"/>
    <w:rsid w:val="00E77BA6"/>
    <w:rsid w:val="00E81E7B"/>
    <w:rsid w:val="00E8624C"/>
    <w:rsid w:val="00E9607D"/>
    <w:rsid w:val="00E9643E"/>
    <w:rsid w:val="00E96695"/>
    <w:rsid w:val="00EA167F"/>
    <w:rsid w:val="00EA4EDA"/>
    <w:rsid w:val="00EA4F22"/>
    <w:rsid w:val="00EA771E"/>
    <w:rsid w:val="00EA7B68"/>
    <w:rsid w:val="00EC1557"/>
    <w:rsid w:val="00EC15C3"/>
    <w:rsid w:val="00EC453E"/>
    <w:rsid w:val="00EC5FF5"/>
    <w:rsid w:val="00EC7340"/>
    <w:rsid w:val="00ED0BCC"/>
    <w:rsid w:val="00ED26EA"/>
    <w:rsid w:val="00EE48FD"/>
    <w:rsid w:val="00EF03DA"/>
    <w:rsid w:val="00EF1012"/>
    <w:rsid w:val="00EF120A"/>
    <w:rsid w:val="00EF1D5D"/>
    <w:rsid w:val="00EF3BC6"/>
    <w:rsid w:val="00EF51C4"/>
    <w:rsid w:val="00EF5E73"/>
    <w:rsid w:val="00EF6EB8"/>
    <w:rsid w:val="00EF7F20"/>
    <w:rsid w:val="00F0576B"/>
    <w:rsid w:val="00F05CD3"/>
    <w:rsid w:val="00F17A7E"/>
    <w:rsid w:val="00F220F8"/>
    <w:rsid w:val="00F27807"/>
    <w:rsid w:val="00F330AC"/>
    <w:rsid w:val="00F4471D"/>
    <w:rsid w:val="00F4633A"/>
    <w:rsid w:val="00F47EDC"/>
    <w:rsid w:val="00F50932"/>
    <w:rsid w:val="00F53315"/>
    <w:rsid w:val="00F60385"/>
    <w:rsid w:val="00F6159E"/>
    <w:rsid w:val="00F654A0"/>
    <w:rsid w:val="00F65C64"/>
    <w:rsid w:val="00F663BA"/>
    <w:rsid w:val="00F67B5C"/>
    <w:rsid w:val="00F7258D"/>
    <w:rsid w:val="00F727C1"/>
    <w:rsid w:val="00F73DFD"/>
    <w:rsid w:val="00F75205"/>
    <w:rsid w:val="00F77CCD"/>
    <w:rsid w:val="00F82759"/>
    <w:rsid w:val="00F83487"/>
    <w:rsid w:val="00F8666D"/>
    <w:rsid w:val="00F86CDB"/>
    <w:rsid w:val="00F87B36"/>
    <w:rsid w:val="00F87BFE"/>
    <w:rsid w:val="00F90B0C"/>
    <w:rsid w:val="00F91BF8"/>
    <w:rsid w:val="00F9433F"/>
    <w:rsid w:val="00F945D0"/>
    <w:rsid w:val="00FA381B"/>
    <w:rsid w:val="00FB061A"/>
    <w:rsid w:val="00FB2D25"/>
    <w:rsid w:val="00FB3400"/>
    <w:rsid w:val="00FB3C16"/>
    <w:rsid w:val="00FB45C0"/>
    <w:rsid w:val="00FB5816"/>
    <w:rsid w:val="00FB7E71"/>
    <w:rsid w:val="00FC3CA6"/>
    <w:rsid w:val="00FD0791"/>
    <w:rsid w:val="00FD280E"/>
    <w:rsid w:val="00FD4E09"/>
    <w:rsid w:val="00FE1ED3"/>
    <w:rsid w:val="00FE5689"/>
    <w:rsid w:val="00FF0048"/>
    <w:rsid w:val="00FF0311"/>
    <w:rsid w:val="00FF100B"/>
    <w:rsid w:val="00FF2CFA"/>
    <w:rsid w:val="00FF4327"/>
    <w:rsid w:val="00FF57C3"/>
    <w:rsid w:val="00FF6D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D7547-9ED8-41E4-B0DA-FCBA543F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E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6A6328"/>
    <w:rPr>
      <w:color w:val="0000FF"/>
      <w:u w:val="single"/>
    </w:rPr>
  </w:style>
  <w:style w:type="paragraph" w:styleId="Listeafsnit">
    <w:name w:val="List Paragraph"/>
    <w:basedOn w:val="Normal"/>
    <w:uiPriority w:val="34"/>
    <w:qFormat/>
    <w:rsid w:val="006A6328"/>
    <w:pPr>
      <w:spacing w:after="0" w:line="240" w:lineRule="auto"/>
      <w:ind w:left="720"/>
      <w:contextualSpacing/>
    </w:pPr>
    <w:rPr>
      <w:rFonts w:ascii="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05D5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5D59"/>
    <w:rPr>
      <w:rFonts w:ascii="Segoe UI" w:hAnsi="Segoe UI" w:cs="Segoe UI"/>
      <w:sz w:val="18"/>
      <w:szCs w:val="18"/>
    </w:rPr>
  </w:style>
  <w:style w:type="paragraph" w:customStyle="1" w:styleId="Default">
    <w:name w:val="Default"/>
    <w:rsid w:val="00B36386"/>
    <w:pPr>
      <w:autoSpaceDE w:val="0"/>
      <w:autoSpaceDN w:val="0"/>
      <w:adjustRightInd w:val="0"/>
      <w:spacing w:after="0" w:line="240" w:lineRule="auto"/>
    </w:pPr>
    <w:rPr>
      <w:rFonts w:ascii="Times New Roman" w:hAnsi="Times New Roman" w:cs="Times New Roman"/>
      <w:color w:val="000000"/>
      <w:sz w:val="24"/>
      <w:szCs w:val="24"/>
    </w:rPr>
  </w:style>
  <w:style w:type="paragraph" w:styleId="Korrektur">
    <w:name w:val="Revision"/>
    <w:hidden/>
    <w:uiPriority w:val="99"/>
    <w:semiHidden/>
    <w:rsid w:val="00224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E2A0-5A2F-4E20-9950-357C6305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Statens Serum Institut</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Holst</dc:creator>
  <cp:keywords/>
  <dc:description/>
  <cp:lastModifiedBy>Signe Holst</cp:lastModifiedBy>
  <cp:revision>14</cp:revision>
  <cp:lastPrinted>2018-05-23T12:17:00Z</cp:lastPrinted>
  <dcterms:created xsi:type="dcterms:W3CDTF">2018-06-18T12:22:00Z</dcterms:created>
  <dcterms:modified xsi:type="dcterms:W3CDTF">2018-06-20T14:04:00Z</dcterms:modified>
</cp:coreProperties>
</file>