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C27" w:rsidRPr="008B4A04" w:rsidRDefault="00971C27" w:rsidP="00971C27">
      <w:pPr>
        <w:spacing w:line="480" w:lineRule="auto"/>
        <w:jc w:val="both"/>
        <w:rPr>
          <w:rFonts w:ascii="Century Gothic" w:hAnsi="Century Gothic"/>
          <w:b/>
          <w:lang w:val="en-US"/>
        </w:rPr>
      </w:pPr>
      <w:r w:rsidRPr="008B4A04">
        <w:rPr>
          <w:rFonts w:ascii="Century Gothic" w:hAnsi="Century Gothic"/>
          <w:b/>
          <w:lang w:val="en-US"/>
        </w:rPr>
        <w:t>Supplementary Figure Legends</w:t>
      </w:r>
    </w:p>
    <w:p w:rsidR="00B32301" w:rsidRPr="008B4A04" w:rsidRDefault="00B32301" w:rsidP="00971C27">
      <w:pPr>
        <w:spacing w:line="480" w:lineRule="auto"/>
        <w:jc w:val="both"/>
        <w:rPr>
          <w:rFonts w:ascii="Century Gothic" w:hAnsi="Century Gothic" w:cs="Arial"/>
          <w:b/>
          <w:sz w:val="20"/>
          <w:szCs w:val="20"/>
          <w:lang w:val="en-US"/>
        </w:rPr>
      </w:pPr>
    </w:p>
    <w:p w:rsidR="00971C27" w:rsidRDefault="00971C27" w:rsidP="00971C27">
      <w:pPr>
        <w:spacing w:line="480" w:lineRule="auto"/>
        <w:jc w:val="both"/>
        <w:rPr>
          <w:rFonts w:ascii="Century Gothic" w:hAnsi="Century Gothic" w:cs="Arial"/>
          <w:sz w:val="20"/>
          <w:szCs w:val="20"/>
          <w:lang w:val="en-US"/>
        </w:rPr>
      </w:pPr>
      <w:r w:rsidRPr="008B4A04">
        <w:rPr>
          <w:rFonts w:ascii="Century Gothic" w:hAnsi="Century Gothic" w:cs="Arial"/>
          <w:b/>
          <w:sz w:val="20"/>
          <w:szCs w:val="20"/>
          <w:lang w:val="en-US"/>
        </w:rPr>
        <w:t>Supplementary Figure 1. Characterization of canine mesenchymal stem cells and their susceptibility to canine adenoviral infection and replication.</w:t>
      </w:r>
      <w:r w:rsidRPr="008B4A04">
        <w:rPr>
          <w:rFonts w:ascii="Century Gothic" w:hAnsi="Century Gothic" w:cs="Arial"/>
          <w:sz w:val="20"/>
          <w:szCs w:val="20"/>
          <w:lang w:val="en-US"/>
        </w:rPr>
        <w:t xml:space="preserve"> </w:t>
      </w:r>
      <w:r w:rsidRPr="008B4A04">
        <w:rPr>
          <w:rFonts w:ascii="Century Gothic" w:hAnsi="Century Gothic" w:cs="Arial"/>
          <w:b/>
          <w:sz w:val="20"/>
          <w:szCs w:val="20"/>
          <w:lang w:val="en-US"/>
        </w:rPr>
        <w:t>(a)</w:t>
      </w:r>
      <w:r w:rsidRPr="008B4A04">
        <w:rPr>
          <w:rFonts w:ascii="Century Gothic" w:hAnsi="Century Gothic" w:cs="Arial"/>
          <w:sz w:val="20"/>
          <w:szCs w:val="20"/>
          <w:lang w:val="en-US"/>
        </w:rPr>
        <w:t xml:space="preserve"> Cell surface markers expression were analyzed by flow cytometry. Empty histograms: isotype controls; grey histograms, marker expression. </w:t>
      </w:r>
      <w:r w:rsidRPr="008B4A04">
        <w:rPr>
          <w:rFonts w:ascii="Century Gothic" w:hAnsi="Century Gothic" w:cs="Arial"/>
          <w:b/>
          <w:sz w:val="20"/>
          <w:szCs w:val="20"/>
          <w:lang w:val="en-US"/>
        </w:rPr>
        <w:t>(b)</w:t>
      </w:r>
      <w:r w:rsidRPr="008B4A04">
        <w:rPr>
          <w:rFonts w:ascii="Century Gothic" w:hAnsi="Century Gothic" w:cs="Arial"/>
          <w:sz w:val="20"/>
          <w:szCs w:val="20"/>
          <w:lang w:val="en-US"/>
        </w:rPr>
        <w:t xml:space="preserve"> Representative images of cells from six different cell donors showing positive </w:t>
      </w:r>
      <w:proofErr w:type="spellStart"/>
      <w:r w:rsidRPr="008B4A04">
        <w:rPr>
          <w:rFonts w:ascii="Century Gothic" w:hAnsi="Century Gothic" w:cs="Arial"/>
          <w:sz w:val="20"/>
          <w:szCs w:val="20"/>
          <w:lang w:val="en-US"/>
        </w:rPr>
        <w:t>adipogenic</w:t>
      </w:r>
      <w:proofErr w:type="spellEnd"/>
      <w:r w:rsidRPr="008B4A04">
        <w:rPr>
          <w:rFonts w:ascii="Century Gothic" w:hAnsi="Century Gothic" w:cs="Arial"/>
          <w:sz w:val="20"/>
          <w:szCs w:val="20"/>
          <w:lang w:val="en-US"/>
        </w:rPr>
        <w:t xml:space="preserve"> (upper), osteogenic (middle) and </w:t>
      </w:r>
      <w:proofErr w:type="spellStart"/>
      <w:r w:rsidRPr="008B4A04">
        <w:rPr>
          <w:rFonts w:ascii="Century Gothic" w:hAnsi="Century Gothic" w:cs="Arial"/>
          <w:sz w:val="20"/>
          <w:szCs w:val="20"/>
          <w:lang w:val="en-US"/>
        </w:rPr>
        <w:t>chondrogenic</w:t>
      </w:r>
      <w:proofErr w:type="spellEnd"/>
      <w:r w:rsidRPr="008B4A04">
        <w:rPr>
          <w:rFonts w:ascii="Century Gothic" w:hAnsi="Century Gothic" w:cs="Arial"/>
          <w:sz w:val="20"/>
          <w:szCs w:val="20"/>
          <w:lang w:val="en-US"/>
        </w:rPr>
        <w:t xml:space="preserve"> (lower) </w:t>
      </w:r>
      <w:proofErr w:type="spellStart"/>
      <w:r w:rsidRPr="008B4A04">
        <w:rPr>
          <w:rFonts w:ascii="Century Gothic" w:hAnsi="Century Gothic" w:cs="Arial"/>
          <w:sz w:val="20"/>
          <w:szCs w:val="20"/>
          <w:lang w:val="en-US"/>
        </w:rPr>
        <w:t>dMSC</w:t>
      </w:r>
      <w:proofErr w:type="spellEnd"/>
      <w:r w:rsidRPr="008B4A04">
        <w:rPr>
          <w:rFonts w:ascii="Century Gothic" w:hAnsi="Century Gothic" w:cs="Arial"/>
          <w:sz w:val="20"/>
          <w:szCs w:val="20"/>
          <w:lang w:val="en-US"/>
        </w:rPr>
        <w:t xml:space="preserve"> differentiation. Scale bar: 50µm (</w:t>
      </w:r>
      <w:proofErr w:type="spellStart"/>
      <w:r w:rsidRPr="008B4A04">
        <w:rPr>
          <w:rFonts w:ascii="Century Gothic" w:hAnsi="Century Gothic" w:cs="Arial"/>
          <w:sz w:val="20"/>
          <w:szCs w:val="20"/>
          <w:lang w:val="en-US"/>
        </w:rPr>
        <w:t>adipogenic</w:t>
      </w:r>
      <w:proofErr w:type="spellEnd"/>
      <w:r w:rsidRPr="008B4A04">
        <w:rPr>
          <w:rFonts w:ascii="Century Gothic" w:hAnsi="Century Gothic" w:cs="Arial"/>
          <w:sz w:val="20"/>
          <w:szCs w:val="20"/>
          <w:lang w:val="en-US"/>
        </w:rPr>
        <w:t xml:space="preserve"> and osteogenic) and 200 µm (</w:t>
      </w:r>
      <w:proofErr w:type="spellStart"/>
      <w:r w:rsidRPr="008B4A04">
        <w:rPr>
          <w:rFonts w:ascii="Century Gothic" w:hAnsi="Century Gothic" w:cs="Arial"/>
          <w:sz w:val="20"/>
          <w:szCs w:val="20"/>
          <w:lang w:val="en-US"/>
        </w:rPr>
        <w:t>chondrogenic</w:t>
      </w:r>
      <w:proofErr w:type="spellEnd"/>
      <w:r w:rsidRPr="008B4A04">
        <w:rPr>
          <w:rFonts w:ascii="Century Gothic" w:hAnsi="Century Gothic" w:cs="Arial"/>
          <w:sz w:val="20"/>
          <w:szCs w:val="20"/>
          <w:lang w:val="en-US"/>
        </w:rPr>
        <w:t xml:space="preserve">). </w:t>
      </w:r>
      <w:r w:rsidRPr="008B4A04">
        <w:rPr>
          <w:rFonts w:ascii="Century Gothic" w:hAnsi="Century Gothic"/>
          <w:b/>
          <w:sz w:val="20"/>
          <w:szCs w:val="20"/>
          <w:lang w:val="en-US"/>
        </w:rPr>
        <w:t>(c)</w:t>
      </w:r>
      <w:r w:rsidRPr="008B4A04">
        <w:rPr>
          <w:rFonts w:ascii="Century Gothic" w:hAnsi="Century Gothic"/>
          <w:sz w:val="20"/>
          <w:szCs w:val="20"/>
          <w:lang w:val="en-US"/>
        </w:rPr>
        <w:t xml:space="preserve"> </w:t>
      </w:r>
      <w:proofErr w:type="gramStart"/>
      <w:r w:rsidRPr="008B4A04">
        <w:rPr>
          <w:rFonts w:ascii="Century Gothic" w:hAnsi="Century Gothic"/>
          <w:sz w:val="20"/>
          <w:szCs w:val="20"/>
          <w:lang w:val="en-US"/>
        </w:rPr>
        <w:t>dMSC</w:t>
      </w:r>
      <w:proofErr w:type="gramEnd"/>
      <w:r w:rsidRPr="008B4A04">
        <w:rPr>
          <w:rFonts w:ascii="Century Gothic" w:hAnsi="Century Gothic"/>
          <w:sz w:val="20"/>
          <w:szCs w:val="20"/>
          <w:lang w:val="en-US"/>
        </w:rPr>
        <w:t xml:space="preserve"> were infected with ICOCAV17 and, after 24h, were </w:t>
      </w:r>
      <w:proofErr w:type="spellStart"/>
      <w:r w:rsidRPr="008B4A04">
        <w:rPr>
          <w:rFonts w:ascii="Century Gothic" w:hAnsi="Century Gothic"/>
          <w:sz w:val="20"/>
          <w:szCs w:val="20"/>
          <w:lang w:val="en-US"/>
        </w:rPr>
        <w:t>immunostained</w:t>
      </w:r>
      <w:proofErr w:type="spellEnd"/>
      <w:r w:rsidRPr="008B4A04">
        <w:rPr>
          <w:rFonts w:ascii="Century Gothic" w:hAnsi="Century Gothic"/>
          <w:sz w:val="20"/>
          <w:szCs w:val="20"/>
          <w:lang w:val="en-US"/>
        </w:rPr>
        <w:t xml:space="preserve"> for adenovirus detection. Percentage of positive cells are shown. Bars show the mean of positive cells.</w:t>
      </w:r>
      <w:r w:rsidRPr="008B4A04">
        <w:rPr>
          <w:rFonts w:ascii="Century Gothic" w:hAnsi="Century Gothic" w:cs="Arial"/>
          <w:b/>
          <w:sz w:val="20"/>
          <w:szCs w:val="20"/>
          <w:lang w:val="en-US"/>
        </w:rPr>
        <w:t xml:space="preserve"> (d)</w:t>
      </w:r>
      <w:r w:rsidRPr="008B4A04">
        <w:rPr>
          <w:rFonts w:ascii="Century Gothic" w:hAnsi="Century Gothic"/>
          <w:sz w:val="20"/>
          <w:szCs w:val="20"/>
          <w:lang w:val="en-US"/>
        </w:rPr>
        <w:t xml:space="preserve"> </w:t>
      </w:r>
      <w:r w:rsidRPr="008B4A04">
        <w:rPr>
          <w:rFonts w:ascii="Century Gothic" w:hAnsi="Century Gothic" w:cs="Arial"/>
          <w:sz w:val="20"/>
          <w:szCs w:val="20"/>
          <w:lang w:val="en-US"/>
        </w:rPr>
        <w:t xml:space="preserve">Comparative cytotoxicity of canine CAV2 and CAVRGD viruses replicating in dMSCs. Data from 8 days after infection are shown. Mean ± SD are plotted (n=3). </w:t>
      </w:r>
      <w:r w:rsidRPr="008B4A04">
        <w:rPr>
          <w:rFonts w:ascii="Century Gothic" w:hAnsi="Century Gothic" w:cs="Arial"/>
          <w:b/>
          <w:sz w:val="20"/>
          <w:szCs w:val="20"/>
          <w:lang w:val="en-US"/>
        </w:rPr>
        <w:t>(e)</w:t>
      </w:r>
      <w:r w:rsidRPr="008B4A04">
        <w:rPr>
          <w:rFonts w:ascii="Century Gothic" w:hAnsi="Century Gothic" w:cs="Arial"/>
          <w:sz w:val="20"/>
          <w:szCs w:val="20"/>
          <w:lang w:val="en-US"/>
        </w:rPr>
        <w:t xml:space="preserve"> Viral production after CAV2 and CAVRGD infection of dMSC. </w:t>
      </w:r>
    </w:p>
    <w:p w:rsidR="00A122AF" w:rsidRPr="008B4A04" w:rsidRDefault="00A122AF" w:rsidP="00971C27">
      <w:pPr>
        <w:spacing w:line="480" w:lineRule="auto"/>
        <w:jc w:val="both"/>
        <w:rPr>
          <w:rFonts w:ascii="Century Gothic" w:hAnsi="Century Gothic"/>
          <w:b/>
          <w:sz w:val="20"/>
          <w:szCs w:val="20"/>
          <w:lang w:val="en-US"/>
        </w:rPr>
      </w:pPr>
      <w:bookmarkStart w:id="0" w:name="_GoBack"/>
      <w:bookmarkEnd w:id="0"/>
    </w:p>
    <w:p w:rsidR="00971C27" w:rsidRPr="008B4A04" w:rsidRDefault="00901FD2" w:rsidP="00971C27">
      <w:pPr>
        <w:spacing w:line="480" w:lineRule="auto"/>
        <w:jc w:val="both"/>
        <w:rPr>
          <w:rFonts w:ascii="Century Gothic" w:hAnsi="Century Gothic" w:cs="Arial"/>
          <w:sz w:val="20"/>
          <w:szCs w:val="20"/>
          <w:lang w:val="en-US"/>
        </w:rPr>
      </w:pPr>
      <w:r w:rsidRPr="008B4A04">
        <w:rPr>
          <w:rFonts w:ascii="Century Gothic" w:hAnsi="Century Gothic" w:cs="Arial"/>
          <w:b/>
          <w:sz w:val="20"/>
          <w:szCs w:val="20"/>
          <w:lang w:val="en-US"/>
        </w:rPr>
        <w:t>Supplementary Figure 2</w:t>
      </w:r>
      <w:r w:rsidR="00971C27" w:rsidRPr="008B4A04">
        <w:rPr>
          <w:rFonts w:ascii="Century Gothic" w:hAnsi="Century Gothic" w:cs="Arial"/>
          <w:b/>
          <w:sz w:val="20"/>
          <w:szCs w:val="20"/>
          <w:lang w:val="en-US"/>
        </w:rPr>
        <w:t>.</w:t>
      </w:r>
      <w:r w:rsidR="00971C27" w:rsidRPr="008B4A04">
        <w:rPr>
          <w:lang w:val="en-US"/>
        </w:rPr>
        <w:t xml:space="preserve"> </w:t>
      </w:r>
      <w:r w:rsidR="00971C27" w:rsidRPr="008B4A04">
        <w:rPr>
          <w:rFonts w:ascii="Century Gothic" w:hAnsi="Century Gothic" w:cs="Arial"/>
          <w:b/>
          <w:sz w:val="20"/>
          <w:szCs w:val="20"/>
          <w:lang w:val="en-US"/>
        </w:rPr>
        <w:t xml:space="preserve">Clinical and </w:t>
      </w:r>
      <w:proofErr w:type="spellStart"/>
      <w:r w:rsidR="00971C27" w:rsidRPr="008B4A04">
        <w:rPr>
          <w:rFonts w:ascii="Century Gothic" w:hAnsi="Century Gothic" w:cs="Arial"/>
          <w:b/>
          <w:sz w:val="20"/>
          <w:szCs w:val="20"/>
          <w:lang w:val="en-US"/>
        </w:rPr>
        <w:t>anatomo</w:t>
      </w:r>
      <w:proofErr w:type="spellEnd"/>
      <w:r w:rsidR="00971C27" w:rsidRPr="008B4A04">
        <w:rPr>
          <w:rFonts w:ascii="Century Gothic" w:hAnsi="Century Gothic" w:cs="Arial"/>
          <w:b/>
          <w:sz w:val="20"/>
          <w:szCs w:val="20"/>
          <w:lang w:val="en-US"/>
        </w:rPr>
        <w:t>-pathological results in canine patients treated with dCelyvir.</w:t>
      </w:r>
      <w:r w:rsidR="00971C27" w:rsidRPr="008B4A04">
        <w:rPr>
          <w:rFonts w:ascii="Century Gothic" w:hAnsi="Century Gothic" w:cs="Arial"/>
          <w:sz w:val="20"/>
          <w:szCs w:val="20"/>
          <w:lang w:val="en-US"/>
        </w:rPr>
        <w:t xml:space="preserve"> </w:t>
      </w:r>
      <w:r w:rsidR="00971C27" w:rsidRPr="008B4A04">
        <w:rPr>
          <w:rFonts w:ascii="Century Gothic" w:hAnsi="Century Gothic" w:cs="Arial"/>
          <w:b/>
          <w:sz w:val="20"/>
          <w:szCs w:val="20"/>
          <w:lang w:val="en-US"/>
        </w:rPr>
        <w:t>(a)</w:t>
      </w:r>
      <w:r w:rsidR="00971C27" w:rsidRPr="008B4A04">
        <w:rPr>
          <w:rFonts w:ascii="Century Gothic" w:hAnsi="Century Gothic" w:cs="Arial"/>
          <w:sz w:val="20"/>
          <w:szCs w:val="20"/>
          <w:lang w:val="en-US"/>
        </w:rPr>
        <w:t xml:space="preserve"> X-ray images from UAX-23 patient showing clinical responses on a lung metastasis. Arrow shows metastasis. </w:t>
      </w:r>
      <w:r w:rsidR="00971C27" w:rsidRPr="008B4A04">
        <w:rPr>
          <w:rFonts w:ascii="Century Gothic" w:hAnsi="Century Gothic" w:cs="Arial"/>
          <w:b/>
          <w:sz w:val="20"/>
          <w:szCs w:val="20"/>
          <w:lang w:val="en-US"/>
        </w:rPr>
        <w:t>(b)</w:t>
      </w:r>
      <w:r w:rsidR="00971C27" w:rsidRPr="008B4A04">
        <w:rPr>
          <w:rFonts w:ascii="Century Gothic" w:hAnsi="Century Gothic" w:cs="Arial"/>
          <w:sz w:val="20"/>
          <w:szCs w:val="20"/>
          <w:lang w:val="en-US"/>
        </w:rPr>
        <w:t xml:space="preserve"> </w:t>
      </w:r>
      <w:proofErr w:type="spellStart"/>
      <w:r w:rsidR="00971C27" w:rsidRPr="008B4A04">
        <w:rPr>
          <w:rFonts w:ascii="Century Gothic" w:hAnsi="Century Gothic" w:cs="Arial"/>
          <w:sz w:val="20"/>
          <w:szCs w:val="20"/>
          <w:lang w:val="en-US"/>
        </w:rPr>
        <w:t>Hematoxilin</w:t>
      </w:r>
      <w:proofErr w:type="spellEnd"/>
      <w:r w:rsidR="00971C27" w:rsidRPr="008B4A04">
        <w:rPr>
          <w:rFonts w:ascii="Century Gothic" w:hAnsi="Century Gothic" w:cs="Arial"/>
          <w:sz w:val="20"/>
          <w:szCs w:val="20"/>
          <w:lang w:val="en-US"/>
        </w:rPr>
        <w:t xml:space="preserve">-Eosin staining and immunohistochemistry on tumor biopsies. Scale bar: 200 µm (HE), 100 µm (immunohistochemistry). Representative images from 20 cases analyzed. </w:t>
      </w:r>
      <w:r w:rsidR="00971C27" w:rsidRPr="008B4A04">
        <w:rPr>
          <w:rFonts w:ascii="Century Gothic" w:hAnsi="Century Gothic" w:cs="Arial"/>
          <w:b/>
          <w:sz w:val="20"/>
          <w:szCs w:val="20"/>
          <w:lang w:val="en-US"/>
        </w:rPr>
        <w:t>(c)</w:t>
      </w:r>
      <w:r w:rsidR="00971C27" w:rsidRPr="008B4A04">
        <w:rPr>
          <w:rFonts w:ascii="Century Gothic" w:hAnsi="Century Gothic" w:cs="Arial"/>
          <w:sz w:val="20"/>
          <w:szCs w:val="20"/>
          <w:lang w:val="en-US"/>
        </w:rPr>
        <w:t xml:space="preserve"> </w:t>
      </w:r>
      <w:proofErr w:type="spellStart"/>
      <w:r w:rsidR="00971C27" w:rsidRPr="008B4A04">
        <w:rPr>
          <w:rFonts w:ascii="Century Gothic" w:hAnsi="Century Gothic" w:cs="Arial"/>
          <w:sz w:val="20"/>
          <w:szCs w:val="20"/>
          <w:lang w:val="en-US"/>
        </w:rPr>
        <w:t>Semiquantitative</w:t>
      </w:r>
      <w:proofErr w:type="spellEnd"/>
      <w:r w:rsidR="00971C27" w:rsidRPr="008B4A04">
        <w:rPr>
          <w:rFonts w:ascii="Century Gothic" w:hAnsi="Century Gothic" w:cs="Arial"/>
          <w:sz w:val="20"/>
          <w:szCs w:val="20"/>
          <w:lang w:val="en-US"/>
        </w:rPr>
        <w:t xml:space="preserve"> evaluation by </w:t>
      </w:r>
      <w:proofErr w:type="spellStart"/>
      <w:r w:rsidR="00971C27" w:rsidRPr="008B4A04">
        <w:rPr>
          <w:rFonts w:ascii="Century Gothic" w:hAnsi="Century Gothic" w:cs="Arial"/>
          <w:sz w:val="20"/>
          <w:szCs w:val="20"/>
          <w:lang w:val="en-US"/>
        </w:rPr>
        <w:t>anatomopathologists</w:t>
      </w:r>
      <w:proofErr w:type="spellEnd"/>
      <w:r w:rsidR="00971C27" w:rsidRPr="008B4A04">
        <w:rPr>
          <w:rFonts w:ascii="Century Gothic" w:hAnsi="Century Gothic" w:cs="Arial"/>
          <w:sz w:val="20"/>
          <w:szCs w:val="20"/>
          <w:lang w:val="en-US"/>
        </w:rPr>
        <w:t xml:space="preserve"> of </w:t>
      </w:r>
      <w:proofErr w:type="spellStart"/>
      <w:r w:rsidR="00971C27" w:rsidRPr="008B4A04">
        <w:rPr>
          <w:rFonts w:ascii="Century Gothic" w:hAnsi="Century Gothic" w:cs="Arial"/>
          <w:sz w:val="20"/>
          <w:szCs w:val="20"/>
          <w:lang w:val="en-US"/>
        </w:rPr>
        <w:t>intratumoral</w:t>
      </w:r>
      <w:proofErr w:type="spellEnd"/>
      <w:r w:rsidR="00971C27" w:rsidRPr="008B4A04">
        <w:rPr>
          <w:rFonts w:ascii="Century Gothic" w:hAnsi="Century Gothic" w:cs="Arial"/>
          <w:sz w:val="20"/>
          <w:szCs w:val="20"/>
          <w:lang w:val="en-US"/>
        </w:rPr>
        <w:t xml:space="preserve"> immune cells infiltration. Barr represent mean + SEM. Arbitrary units were assigned by </w:t>
      </w:r>
      <w:proofErr w:type="spellStart"/>
      <w:r w:rsidR="00971C27" w:rsidRPr="008B4A04">
        <w:rPr>
          <w:rFonts w:ascii="Century Gothic" w:hAnsi="Century Gothic" w:cs="Arial"/>
          <w:sz w:val="20"/>
          <w:szCs w:val="20"/>
          <w:lang w:val="en-US"/>
        </w:rPr>
        <w:t>anatomopathologists</w:t>
      </w:r>
      <w:proofErr w:type="spellEnd"/>
      <w:r w:rsidR="00971C27" w:rsidRPr="008B4A04">
        <w:rPr>
          <w:rFonts w:ascii="Century Gothic" w:hAnsi="Century Gothic" w:cs="Arial"/>
          <w:sz w:val="20"/>
          <w:szCs w:val="20"/>
          <w:lang w:val="en-US"/>
        </w:rPr>
        <w:t xml:space="preserve">: 0 absence, 1 presence, 2 medium and 3 abundant. Paired T-test was performed (n=20) without significant differences. </w:t>
      </w:r>
      <w:r w:rsidR="00971C27" w:rsidRPr="008B4A04">
        <w:rPr>
          <w:rFonts w:ascii="Century Gothic" w:hAnsi="Century Gothic" w:cs="Arial"/>
          <w:b/>
          <w:sz w:val="20"/>
          <w:szCs w:val="20"/>
          <w:lang w:val="en-US"/>
        </w:rPr>
        <w:t>(d)</w:t>
      </w:r>
      <w:r w:rsidR="00971C27" w:rsidRPr="008B4A04">
        <w:rPr>
          <w:rFonts w:ascii="Century Gothic" w:hAnsi="Century Gothic" w:cs="Arial"/>
          <w:sz w:val="20"/>
          <w:szCs w:val="20"/>
          <w:lang w:val="en-US"/>
        </w:rPr>
        <w:t xml:space="preserve"> Representative images show MAC387</w:t>
      </w:r>
      <w:r w:rsidR="00971C27" w:rsidRPr="008B4A04">
        <w:rPr>
          <w:rFonts w:ascii="Century Gothic" w:hAnsi="Century Gothic" w:cs="Arial"/>
          <w:sz w:val="20"/>
          <w:szCs w:val="20"/>
          <w:vertAlign w:val="superscript"/>
          <w:lang w:val="en-US"/>
        </w:rPr>
        <w:t>+</w:t>
      </w:r>
      <w:r w:rsidR="00971C27" w:rsidRPr="008B4A04">
        <w:rPr>
          <w:rFonts w:ascii="Century Gothic" w:hAnsi="Century Gothic" w:cs="Arial"/>
          <w:sz w:val="20"/>
          <w:szCs w:val="20"/>
          <w:lang w:val="en-US"/>
        </w:rPr>
        <w:t xml:space="preserve"> cells extravasation from blood vessel to tumor after dCelyvir treatment. Scale bar: 100 µm (left), 50 µm (middle), and 25 µm (right). </w:t>
      </w:r>
    </w:p>
    <w:p w:rsidR="00971C27" w:rsidRPr="008B4A04" w:rsidRDefault="00971C27" w:rsidP="00971C27">
      <w:pPr>
        <w:spacing w:line="480" w:lineRule="auto"/>
        <w:jc w:val="both"/>
        <w:rPr>
          <w:rFonts w:ascii="Century Gothic" w:hAnsi="Century Gothic" w:cs="Arial"/>
          <w:b/>
          <w:sz w:val="20"/>
          <w:szCs w:val="20"/>
          <w:lang w:val="en-US"/>
        </w:rPr>
      </w:pPr>
    </w:p>
    <w:p w:rsidR="00BD3003" w:rsidRPr="008B4A04" w:rsidRDefault="00971C27" w:rsidP="00971C27">
      <w:pPr>
        <w:spacing w:line="480" w:lineRule="auto"/>
        <w:jc w:val="both"/>
        <w:rPr>
          <w:lang w:val="en-US"/>
        </w:rPr>
      </w:pPr>
      <w:r w:rsidRPr="008B4A04">
        <w:rPr>
          <w:rFonts w:ascii="Century Gothic" w:hAnsi="Century Gothic" w:cs="Arial"/>
          <w:b/>
          <w:sz w:val="20"/>
          <w:szCs w:val="20"/>
          <w:lang w:val="en-US"/>
        </w:rPr>
        <w:lastRenderedPageBreak/>
        <w:t xml:space="preserve">Supplementary Figure </w:t>
      </w:r>
      <w:r w:rsidR="00901FD2" w:rsidRPr="008B4A04">
        <w:rPr>
          <w:rFonts w:ascii="Century Gothic" w:hAnsi="Century Gothic" w:cs="Arial"/>
          <w:b/>
          <w:sz w:val="20"/>
          <w:szCs w:val="20"/>
          <w:lang w:val="en-US"/>
        </w:rPr>
        <w:t>3</w:t>
      </w:r>
      <w:r w:rsidRPr="008B4A04">
        <w:rPr>
          <w:rFonts w:ascii="Century Gothic" w:hAnsi="Century Gothic" w:cs="Arial"/>
          <w:b/>
          <w:sz w:val="20"/>
          <w:szCs w:val="20"/>
          <w:lang w:val="en-US"/>
        </w:rPr>
        <w:t>. Hyaluronic acid detection on canine biopsies</w:t>
      </w:r>
      <w:r w:rsidRPr="008B4A04">
        <w:rPr>
          <w:rFonts w:ascii="Century Gothic" w:hAnsi="Century Gothic" w:cs="Arial"/>
          <w:sz w:val="20"/>
          <w:szCs w:val="20"/>
          <w:lang w:val="en-US"/>
        </w:rPr>
        <w:t xml:space="preserve">. </w:t>
      </w:r>
      <w:proofErr w:type="spellStart"/>
      <w:r w:rsidRPr="008B4A04">
        <w:rPr>
          <w:rFonts w:ascii="Century Gothic" w:hAnsi="Century Gothic" w:cs="Arial"/>
          <w:sz w:val="20"/>
          <w:szCs w:val="20"/>
          <w:lang w:val="en-US"/>
        </w:rPr>
        <w:t>Hyaluronan</w:t>
      </w:r>
      <w:proofErr w:type="spellEnd"/>
      <w:r w:rsidRPr="008B4A04">
        <w:rPr>
          <w:rFonts w:ascii="Century Gothic" w:hAnsi="Century Gothic" w:cs="Arial"/>
          <w:sz w:val="20"/>
          <w:szCs w:val="20"/>
          <w:lang w:val="en-US"/>
        </w:rPr>
        <w:t xml:space="preserve"> Acid Binding Protein (HABP) was used for Hyaluronic acid detection. Representative images of different areas of biopsies pre and post-treatment are shown. Scale bar: 50µm.</w:t>
      </w:r>
      <w:r w:rsidR="00553BF5" w:rsidRPr="008B4A04">
        <w:rPr>
          <w:lang w:val="en-US"/>
        </w:rPr>
        <w:t xml:space="preserve"> </w:t>
      </w:r>
    </w:p>
    <w:p w:rsidR="00BD3003" w:rsidRPr="008B4A04" w:rsidRDefault="00BD3003" w:rsidP="00971C27">
      <w:pPr>
        <w:spacing w:line="480" w:lineRule="auto"/>
        <w:jc w:val="both"/>
        <w:rPr>
          <w:rFonts w:ascii="Century Gothic" w:hAnsi="Century Gothic" w:cs="Arial"/>
          <w:b/>
          <w:sz w:val="20"/>
          <w:szCs w:val="20"/>
          <w:lang w:val="en-US"/>
        </w:rPr>
      </w:pPr>
    </w:p>
    <w:p w:rsidR="00971C27" w:rsidRPr="008B4A04" w:rsidRDefault="00BD3003" w:rsidP="00971C27">
      <w:pPr>
        <w:spacing w:line="480" w:lineRule="auto"/>
        <w:jc w:val="both"/>
        <w:rPr>
          <w:rFonts w:ascii="Century Gothic" w:hAnsi="Century Gothic" w:cs="Arial"/>
          <w:sz w:val="20"/>
          <w:szCs w:val="20"/>
          <w:lang w:val="en-US"/>
        </w:rPr>
      </w:pPr>
      <w:r w:rsidRPr="008B4A04">
        <w:rPr>
          <w:rFonts w:ascii="Century Gothic" w:hAnsi="Century Gothic" w:cs="Arial"/>
          <w:b/>
          <w:sz w:val="20"/>
          <w:szCs w:val="20"/>
          <w:lang w:val="en-US"/>
        </w:rPr>
        <w:t>Supplementary F</w:t>
      </w:r>
      <w:r w:rsidR="00901FD2" w:rsidRPr="008B4A04">
        <w:rPr>
          <w:rFonts w:ascii="Century Gothic" w:hAnsi="Century Gothic" w:cs="Arial"/>
          <w:b/>
          <w:sz w:val="20"/>
          <w:szCs w:val="20"/>
          <w:lang w:val="en-US"/>
        </w:rPr>
        <w:t>igure 4</w:t>
      </w:r>
      <w:r w:rsidR="00971C27" w:rsidRPr="008B4A04">
        <w:rPr>
          <w:rFonts w:ascii="Century Gothic" w:hAnsi="Century Gothic" w:cs="Arial"/>
          <w:b/>
          <w:sz w:val="20"/>
          <w:szCs w:val="20"/>
          <w:lang w:val="en-US"/>
        </w:rPr>
        <w:t>.</w:t>
      </w:r>
      <w:r w:rsidR="00971C27" w:rsidRPr="008B4A04">
        <w:rPr>
          <w:rFonts w:ascii="Century Gothic" w:hAnsi="Century Gothic" w:cs="Arial"/>
          <w:sz w:val="20"/>
          <w:szCs w:val="20"/>
          <w:lang w:val="en-US"/>
        </w:rPr>
        <w:t xml:space="preserve"> </w:t>
      </w:r>
      <w:r w:rsidR="00971C27" w:rsidRPr="008B4A04">
        <w:rPr>
          <w:rFonts w:ascii="Century Gothic" w:hAnsi="Century Gothic" w:cs="Arial"/>
          <w:b/>
          <w:sz w:val="20"/>
          <w:szCs w:val="20"/>
          <w:lang w:val="en-US"/>
        </w:rPr>
        <w:t>Flow cytometry gating strategy of immune subpopulation analysis in dog-derived peripheral blood. (a)</w:t>
      </w:r>
      <w:r w:rsidR="00971C27" w:rsidRPr="008B4A04">
        <w:rPr>
          <w:rFonts w:ascii="Century Gothic" w:hAnsi="Century Gothic" w:cs="Arial"/>
          <w:sz w:val="20"/>
          <w:szCs w:val="20"/>
          <w:lang w:val="en-US"/>
        </w:rPr>
        <w:t xml:space="preserve"> Strategy of T lymphocytes gating: CD4</w:t>
      </w:r>
      <w:r w:rsidR="00971C27" w:rsidRPr="008B4A04">
        <w:rPr>
          <w:rFonts w:ascii="Century Gothic" w:hAnsi="Century Gothic" w:cs="Arial"/>
          <w:sz w:val="20"/>
          <w:szCs w:val="20"/>
          <w:vertAlign w:val="superscript"/>
          <w:lang w:val="en-US"/>
        </w:rPr>
        <w:t>+</w:t>
      </w:r>
      <w:r w:rsidR="00971C27" w:rsidRPr="008B4A04">
        <w:rPr>
          <w:rFonts w:ascii="Century Gothic" w:hAnsi="Century Gothic" w:cs="Arial"/>
          <w:sz w:val="20"/>
          <w:szCs w:val="20"/>
          <w:lang w:val="en-US"/>
        </w:rPr>
        <w:t xml:space="preserve"> and CD8</w:t>
      </w:r>
      <w:r w:rsidR="00971C27" w:rsidRPr="008B4A04">
        <w:rPr>
          <w:rFonts w:ascii="Century Gothic" w:hAnsi="Century Gothic" w:cs="Arial"/>
          <w:sz w:val="20"/>
          <w:szCs w:val="20"/>
          <w:vertAlign w:val="superscript"/>
          <w:lang w:val="en-US"/>
        </w:rPr>
        <w:t>+</w:t>
      </w:r>
      <w:r w:rsidR="00971C27" w:rsidRPr="008B4A04">
        <w:rPr>
          <w:rFonts w:ascii="Century Gothic" w:hAnsi="Century Gothic" w:cs="Arial"/>
          <w:sz w:val="20"/>
          <w:szCs w:val="20"/>
          <w:lang w:val="en-US"/>
        </w:rPr>
        <w:t xml:space="preserve"> cells</w:t>
      </w:r>
      <w:r w:rsidR="00971C27" w:rsidRPr="008B4A04">
        <w:rPr>
          <w:rFonts w:ascii="Century Gothic" w:hAnsi="Century Gothic" w:cs="Arial"/>
          <w:b/>
          <w:sz w:val="20"/>
          <w:szCs w:val="20"/>
          <w:lang w:val="en-US"/>
        </w:rPr>
        <w:t xml:space="preserve"> </w:t>
      </w:r>
      <w:r w:rsidR="00971C27" w:rsidRPr="008B4A04">
        <w:rPr>
          <w:rFonts w:ascii="Century Gothic" w:hAnsi="Century Gothic" w:cs="Arial"/>
          <w:sz w:val="20"/>
          <w:szCs w:val="20"/>
          <w:lang w:val="en-US"/>
        </w:rPr>
        <w:t>analysis from</w:t>
      </w:r>
      <w:r w:rsidR="00971C27" w:rsidRPr="008B4A04">
        <w:rPr>
          <w:rFonts w:ascii="Century Gothic" w:hAnsi="Century Gothic" w:cs="Arial"/>
          <w:b/>
          <w:sz w:val="20"/>
          <w:szCs w:val="20"/>
          <w:lang w:val="en-US"/>
        </w:rPr>
        <w:t xml:space="preserve"> </w:t>
      </w:r>
      <w:r w:rsidR="00971C27" w:rsidRPr="008B4A04">
        <w:rPr>
          <w:rFonts w:ascii="Century Gothic" w:hAnsi="Century Gothic" w:cs="Arial"/>
          <w:sz w:val="20"/>
          <w:szCs w:val="20"/>
          <w:lang w:val="en-US"/>
        </w:rPr>
        <w:t>CD3</w:t>
      </w:r>
      <w:r w:rsidR="00971C27" w:rsidRPr="008B4A04">
        <w:rPr>
          <w:rFonts w:ascii="Century Gothic" w:hAnsi="Century Gothic" w:cs="Arial"/>
          <w:sz w:val="20"/>
          <w:szCs w:val="20"/>
          <w:vertAlign w:val="superscript"/>
          <w:lang w:val="en-US"/>
        </w:rPr>
        <w:t>+</w:t>
      </w:r>
      <w:r w:rsidR="00971C27" w:rsidRPr="008B4A04">
        <w:rPr>
          <w:rFonts w:ascii="Century Gothic" w:hAnsi="Century Gothic" w:cs="Arial"/>
          <w:sz w:val="20"/>
          <w:szCs w:val="20"/>
          <w:lang w:val="en-US"/>
        </w:rPr>
        <w:t>SSC</w:t>
      </w:r>
      <w:r w:rsidR="00971C27" w:rsidRPr="008B4A04">
        <w:rPr>
          <w:rFonts w:ascii="Century Gothic" w:hAnsi="Century Gothic" w:cs="Arial"/>
          <w:sz w:val="20"/>
          <w:szCs w:val="20"/>
          <w:vertAlign w:val="superscript"/>
          <w:lang w:val="en-US"/>
        </w:rPr>
        <w:t>low</w:t>
      </w:r>
      <w:r w:rsidR="00971C27" w:rsidRPr="008B4A04">
        <w:rPr>
          <w:rFonts w:ascii="Century Gothic" w:hAnsi="Century Gothic" w:cs="Arial"/>
          <w:sz w:val="20"/>
          <w:szCs w:val="20"/>
          <w:lang w:val="en-US"/>
        </w:rPr>
        <w:t xml:space="preserve"> subpopulation. </w:t>
      </w:r>
      <w:r w:rsidR="00971C27" w:rsidRPr="008B4A04">
        <w:rPr>
          <w:rFonts w:ascii="Century Gothic" w:hAnsi="Century Gothic" w:cs="Arial"/>
          <w:b/>
          <w:sz w:val="20"/>
          <w:szCs w:val="20"/>
          <w:lang w:val="en-US"/>
        </w:rPr>
        <w:t>(b)</w:t>
      </w:r>
      <w:r w:rsidR="00971C27" w:rsidRPr="008B4A04">
        <w:rPr>
          <w:rFonts w:ascii="Century Gothic" w:hAnsi="Century Gothic" w:cs="Arial"/>
          <w:sz w:val="20"/>
          <w:szCs w:val="20"/>
          <w:lang w:val="en-US"/>
        </w:rPr>
        <w:t xml:space="preserve"> Strategy of macrophages gating: CD14</w:t>
      </w:r>
      <w:r w:rsidR="00971C27" w:rsidRPr="008B4A04">
        <w:rPr>
          <w:rFonts w:ascii="Century Gothic" w:hAnsi="Century Gothic" w:cs="Arial"/>
          <w:sz w:val="20"/>
          <w:szCs w:val="20"/>
          <w:vertAlign w:val="superscript"/>
          <w:lang w:val="en-US"/>
        </w:rPr>
        <w:t>+</w:t>
      </w:r>
      <w:r w:rsidR="00971C27" w:rsidRPr="008B4A04">
        <w:rPr>
          <w:rFonts w:ascii="Century Gothic" w:hAnsi="Century Gothic" w:cs="Arial"/>
          <w:sz w:val="20"/>
          <w:szCs w:val="20"/>
          <w:lang w:val="en-US"/>
        </w:rPr>
        <w:t>MHCII</w:t>
      </w:r>
      <w:r w:rsidR="00971C27" w:rsidRPr="008B4A04">
        <w:rPr>
          <w:rFonts w:ascii="Century Gothic" w:hAnsi="Century Gothic" w:cs="Arial"/>
          <w:sz w:val="20"/>
          <w:szCs w:val="20"/>
          <w:vertAlign w:val="superscript"/>
          <w:lang w:val="en-US"/>
        </w:rPr>
        <w:t>+</w:t>
      </w:r>
      <w:r w:rsidR="00971C27" w:rsidRPr="008B4A04">
        <w:rPr>
          <w:rFonts w:ascii="Century Gothic" w:hAnsi="Century Gothic" w:cs="Arial"/>
          <w:sz w:val="20"/>
          <w:szCs w:val="20"/>
          <w:lang w:val="en-US"/>
        </w:rPr>
        <w:t xml:space="preserve"> cells </w:t>
      </w:r>
      <w:r w:rsidR="00971C27" w:rsidRPr="008B4A04">
        <w:rPr>
          <w:rFonts w:ascii="Century Gothic" w:hAnsi="Century Gothic" w:cs="Arial"/>
          <w:b/>
          <w:sz w:val="20"/>
          <w:szCs w:val="20"/>
          <w:lang w:val="en-US"/>
        </w:rPr>
        <w:t>(c)</w:t>
      </w:r>
      <w:r w:rsidR="00971C27" w:rsidRPr="008B4A04">
        <w:rPr>
          <w:rFonts w:ascii="Century Gothic" w:hAnsi="Century Gothic" w:cs="Arial"/>
          <w:sz w:val="20"/>
          <w:szCs w:val="20"/>
          <w:lang w:val="en-US"/>
        </w:rPr>
        <w:t xml:space="preserve"> Strategy of neutrophils gating as CD4</w:t>
      </w:r>
      <w:r w:rsidR="00971C27" w:rsidRPr="008B4A04">
        <w:rPr>
          <w:rFonts w:ascii="Century Gothic" w:hAnsi="Century Gothic" w:cs="Arial"/>
          <w:sz w:val="20"/>
          <w:szCs w:val="20"/>
          <w:vertAlign w:val="superscript"/>
          <w:lang w:val="en-US"/>
        </w:rPr>
        <w:t>+</w:t>
      </w:r>
      <w:r w:rsidR="00971C27" w:rsidRPr="008B4A04">
        <w:rPr>
          <w:rFonts w:ascii="Century Gothic" w:hAnsi="Century Gothic" w:cs="Arial"/>
          <w:sz w:val="20"/>
          <w:szCs w:val="20"/>
          <w:lang w:val="en-US"/>
        </w:rPr>
        <w:t>CD3</w:t>
      </w:r>
      <w:r w:rsidR="00971C27" w:rsidRPr="008B4A04">
        <w:rPr>
          <w:rFonts w:ascii="Century Gothic" w:hAnsi="Century Gothic" w:cs="Arial"/>
          <w:sz w:val="20"/>
          <w:szCs w:val="20"/>
          <w:vertAlign w:val="superscript"/>
          <w:lang w:val="en-US"/>
        </w:rPr>
        <w:t>-</w:t>
      </w:r>
      <w:r w:rsidR="00971C27" w:rsidRPr="008B4A04">
        <w:rPr>
          <w:rFonts w:ascii="Century Gothic" w:hAnsi="Century Gothic" w:cs="Arial"/>
          <w:sz w:val="20"/>
          <w:szCs w:val="20"/>
          <w:lang w:val="en-US"/>
        </w:rPr>
        <w:t xml:space="preserve"> cells (C1) and T </w:t>
      </w:r>
      <w:proofErr w:type="spellStart"/>
      <w:r w:rsidR="00971C27" w:rsidRPr="008B4A04">
        <w:rPr>
          <w:rFonts w:ascii="Century Gothic" w:hAnsi="Century Gothic" w:cs="Arial"/>
          <w:sz w:val="20"/>
          <w:szCs w:val="20"/>
          <w:lang w:val="en-US"/>
        </w:rPr>
        <w:t>regs</w:t>
      </w:r>
      <w:proofErr w:type="spellEnd"/>
      <w:r w:rsidR="00971C27" w:rsidRPr="008B4A04">
        <w:rPr>
          <w:rFonts w:ascii="Century Gothic" w:hAnsi="Century Gothic" w:cs="Arial"/>
          <w:sz w:val="20"/>
          <w:szCs w:val="20"/>
          <w:lang w:val="en-US"/>
        </w:rPr>
        <w:t xml:space="preserve"> as CD3</w:t>
      </w:r>
      <w:r w:rsidR="00971C27" w:rsidRPr="008B4A04">
        <w:rPr>
          <w:rFonts w:ascii="Century Gothic" w:hAnsi="Century Gothic" w:cs="Arial"/>
          <w:sz w:val="20"/>
          <w:szCs w:val="20"/>
          <w:vertAlign w:val="superscript"/>
          <w:lang w:val="en-US"/>
        </w:rPr>
        <w:t>+</w:t>
      </w:r>
      <w:r w:rsidR="00971C27" w:rsidRPr="008B4A04">
        <w:rPr>
          <w:rFonts w:ascii="Century Gothic" w:hAnsi="Century Gothic" w:cs="Arial"/>
          <w:sz w:val="20"/>
          <w:szCs w:val="20"/>
          <w:lang w:val="en-US"/>
        </w:rPr>
        <w:t>CD25</w:t>
      </w:r>
      <w:r w:rsidR="00971C27" w:rsidRPr="008B4A04">
        <w:rPr>
          <w:rFonts w:ascii="Century Gothic" w:hAnsi="Century Gothic" w:cs="Arial"/>
          <w:sz w:val="20"/>
          <w:szCs w:val="20"/>
          <w:vertAlign w:val="superscript"/>
          <w:lang w:val="en-US"/>
        </w:rPr>
        <w:t>+</w:t>
      </w:r>
      <w:r w:rsidR="00971C27" w:rsidRPr="008B4A04">
        <w:rPr>
          <w:rFonts w:ascii="Century Gothic" w:hAnsi="Century Gothic" w:cs="Arial"/>
          <w:sz w:val="20"/>
          <w:szCs w:val="20"/>
          <w:lang w:val="en-US"/>
        </w:rPr>
        <w:t>CD4</w:t>
      </w:r>
      <w:r w:rsidR="00971C27" w:rsidRPr="008B4A04">
        <w:rPr>
          <w:rFonts w:ascii="Century Gothic" w:hAnsi="Century Gothic" w:cs="Arial"/>
          <w:sz w:val="20"/>
          <w:szCs w:val="20"/>
          <w:vertAlign w:val="superscript"/>
          <w:lang w:val="en-US"/>
        </w:rPr>
        <w:t>+</w:t>
      </w:r>
      <w:r w:rsidR="00971C27" w:rsidRPr="008B4A04">
        <w:rPr>
          <w:rFonts w:ascii="Century Gothic" w:hAnsi="Century Gothic" w:cs="Arial"/>
          <w:sz w:val="20"/>
          <w:szCs w:val="20"/>
          <w:lang w:val="en-US"/>
        </w:rPr>
        <w:t xml:space="preserve"> cells (C2). </w:t>
      </w:r>
      <w:r w:rsidR="00971C27" w:rsidRPr="008B4A04">
        <w:rPr>
          <w:rFonts w:ascii="Century Gothic" w:hAnsi="Century Gothic" w:cs="Arial"/>
          <w:b/>
          <w:sz w:val="20"/>
          <w:szCs w:val="20"/>
          <w:lang w:val="en-US"/>
        </w:rPr>
        <w:t>(d)</w:t>
      </w:r>
      <w:r w:rsidR="00971C27" w:rsidRPr="008B4A04">
        <w:rPr>
          <w:rFonts w:ascii="Century Gothic" w:hAnsi="Century Gothic" w:cs="Arial"/>
          <w:sz w:val="20"/>
          <w:szCs w:val="20"/>
          <w:lang w:val="en-US"/>
        </w:rPr>
        <w:t xml:space="preserve"> Strategy of natural killers gating as CD5</w:t>
      </w:r>
      <w:r w:rsidR="00971C27" w:rsidRPr="008B4A04">
        <w:rPr>
          <w:rFonts w:ascii="Century Gothic" w:hAnsi="Century Gothic" w:cs="Arial"/>
          <w:sz w:val="20"/>
          <w:szCs w:val="20"/>
          <w:vertAlign w:val="superscript"/>
          <w:lang w:val="en-US"/>
        </w:rPr>
        <w:t>low</w:t>
      </w:r>
      <w:r w:rsidR="00971C27" w:rsidRPr="008B4A04">
        <w:rPr>
          <w:rFonts w:ascii="Century Gothic" w:hAnsi="Century Gothic" w:cs="Arial"/>
          <w:sz w:val="20"/>
          <w:szCs w:val="20"/>
          <w:lang w:val="en-US"/>
        </w:rPr>
        <w:t xml:space="preserve"> cells.</w:t>
      </w:r>
    </w:p>
    <w:p w:rsidR="00971C27" w:rsidRPr="008B4A04" w:rsidRDefault="00971C27" w:rsidP="00971C27">
      <w:pPr>
        <w:spacing w:line="480" w:lineRule="auto"/>
        <w:jc w:val="both"/>
        <w:rPr>
          <w:rFonts w:ascii="Century Gothic" w:hAnsi="Century Gothic" w:cs="Arial"/>
          <w:sz w:val="20"/>
          <w:szCs w:val="20"/>
          <w:lang w:val="en-US"/>
        </w:rPr>
      </w:pPr>
    </w:p>
    <w:p w:rsidR="00971C27" w:rsidRPr="008B4A04" w:rsidRDefault="00971C27" w:rsidP="00971C27">
      <w:pPr>
        <w:spacing w:line="480" w:lineRule="auto"/>
        <w:jc w:val="both"/>
        <w:rPr>
          <w:rFonts w:ascii="Century Gothic" w:hAnsi="Century Gothic" w:cs="Arial"/>
          <w:sz w:val="20"/>
          <w:szCs w:val="20"/>
          <w:lang w:val="en-US"/>
        </w:rPr>
      </w:pPr>
      <w:r w:rsidRPr="008B4A04">
        <w:rPr>
          <w:rFonts w:ascii="Century Gothic" w:hAnsi="Century Gothic" w:cs="Arial"/>
          <w:b/>
          <w:sz w:val="20"/>
          <w:szCs w:val="20"/>
          <w:lang w:val="en-US"/>
        </w:rPr>
        <w:t xml:space="preserve">Supplementary Figure </w:t>
      </w:r>
      <w:r w:rsidR="00901FD2" w:rsidRPr="008B4A04">
        <w:rPr>
          <w:rFonts w:ascii="Century Gothic" w:hAnsi="Century Gothic" w:cs="Arial"/>
          <w:b/>
          <w:sz w:val="20"/>
          <w:szCs w:val="20"/>
          <w:lang w:val="en-US"/>
        </w:rPr>
        <w:t>5</w:t>
      </w:r>
      <w:r w:rsidRPr="008B4A04">
        <w:rPr>
          <w:rFonts w:ascii="Century Gothic" w:hAnsi="Century Gothic" w:cs="Arial"/>
          <w:b/>
          <w:sz w:val="20"/>
          <w:szCs w:val="20"/>
          <w:lang w:val="en-US"/>
        </w:rPr>
        <w:t>.</w:t>
      </w:r>
      <w:r w:rsidRPr="008B4A04">
        <w:rPr>
          <w:rFonts w:ascii="Century Gothic" w:hAnsi="Century Gothic" w:cs="Arial"/>
          <w:sz w:val="20"/>
          <w:szCs w:val="20"/>
          <w:lang w:val="en-US"/>
        </w:rPr>
        <w:t xml:space="preserve"> </w:t>
      </w:r>
      <w:r w:rsidRPr="008B4A04">
        <w:rPr>
          <w:rFonts w:ascii="Century Gothic" w:hAnsi="Century Gothic" w:cs="Arial"/>
          <w:b/>
          <w:sz w:val="20"/>
          <w:szCs w:val="20"/>
          <w:lang w:val="en-US"/>
        </w:rPr>
        <w:t>Hematological and biochemical analysis in canine patients during dCelyvir treatment. (a)</w:t>
      </w:r>
      <w:r w:rsidRPr="008B4A04">
        <w:rPr>
          <w:rFonts w:ascii="Century Gothic" w:hAnsi="Century Gothic" w:cs="Arial"/>
          <w:sz w:val="20"/>
          <w:szCs w:val="20"/>
          <w:lang w:val="en-US"/>
        </w:rPr>
        <w:t xml:space="preserve"> Biochemical profiles in treated dogs. The graphs show the mean at each time point. No significant differences were observed between responders and no responders groups, only in ALT concentration values seems to exhibited relative different kinetics (n=30). Dotted lines indicate normal values in canine specie. </w:t>
      </w:r>
      <w:r w:rsidRPr="008B4A04">
        <w:rPr>
          <w:rFonts w:ascii="Century Gothic" w:hAnsi="Century Gothic" w:cs="Arial"/>
          <w:b/>
          <w:sz w:val="20"/>
          <w:szCs w:val="20"/>
          <w:lang w:val="en-US"/>
        </w:rPr>
        <w:t>(b)</w:t>
      </w:r>
      <w:r w:rsidRPr="008B4A04">
        <w:rPr>
          <w:rFonts w:ascii="Century Gothic" w:hAnsi="Century Gothic" w:cs="Arial"/>
          <w:sz w:val="20"/>
          <w:szCs w:val="20"/>
          <w:lang w:val="en-US"/>
        </w:rPr>
        <w:t xml:space="preserve"> Concentration of peripheral blood leukocytes in canine patient during treatment. The graph shows the mean ± SEM (n=30).</w:t>
      </w:r>
    </w:p>
    <w:p w:rsidR="00971C27" w:rsidRPr="008B4A04" w:rsidRDefault="00971C27" w:rsidP="00971C27">
      <w:pPr>
        <w:spacing w:line="480" w:lineRule="auto"/>
        <w:jc w:val="both"/>
        <w:rPr>
          <w:rFonts w:ascii="Century Gothic" w:hAnsi="Century Gothic" w:cs="Arial"/>
          <w:sz w:val="20"/>
          <w:szCs w:val="20"/>
          <w:lang w:val="en-US"/>
        </w:rPr>
      </w:pPr>
    </w:p>
    <w:p w:rsidR="00553BF5" w:rsidRPr="008B4A04" w:rsidRDefault="00553BF5" w:rsidP="00553BF5">
      <w:pPr>
        <w:spacing w:after="160" w:line="259" w:lineRule="auto"/>
        <w:jc w:val="both"/>
        <w:rPr>
          <w:rFonts w:ascii="Century Gothic" w:hAnsi="Century Gothic"/>
          <w:sz w:val="20"/>
          <w:szCs w:val="20"/>
          <w:lang w:val="en-US"/>
        </w:rPr>
      </w:pPr>
      <w:r w:rsidRPr="008B4A04">
        <w:rPr>
          <w:rFonts w:ascii="Century Gothic" w:hAnsi="Century Gothic"/>
          <w:b/>
          <w:sz w:val="20"/>
          <w:szCs w:val="20"/>
          <w:lang w:val="en-US"/>
        </w:rPr>
        <w:t>Supplementary Table 1.</w:t>
      </w:r>
      <w:r w:rsidRPr="008B4A04">
        <w:rPr>
          <w:rFonts w:ascii="Century Gothic" w:hAnsi="Century Gothic"/>
          <w:sz w:val="20"/>
          <w:szCs w:val="20"/>
          <w:lang w:val="en-US"/>
        </w:rPr>
        <w:t xml:space="preserve"> </w:t>
      </w:r>
      <w:r w:rsidRPr="008B4A04">
        <w:rPr>
          <w:rFonts w:ascii="Century Gothic" w:hAnsi="Century Gothic"/>
          <w:b/>
          <w:sz w:val="20"/>
          <w:szCs w:val="20"/>
          <w:lang w:val="en-US"/>
        </w:rPr>
        <w:t>List of used antibodies</w:t>
      </w:r>
      <w:r w:rsidRPr="008B4A04">
        <w:rPr>
          <w:rFonts w:ascii="Century Gothic" w:hAnsi="Century Gothic"/>
          <w:sz w:val="20"/>
          <w:szCs w:val="20"/>
          <w:lang w:val="en-US"/>
        </w:rPr>
        <w:t>.</w:t>
      </w:r>
    </w:p>
    <w:p w:rsidR="00553BF5" w:rsidRPr="008B4A04" w:rsidRDefault="00553BF5" w:rsidP="00553BF5">
      <w:pPr>
        <w:spacing w:after="160" w:line="259" w:lineRule="auto"/>
        <w:jc w:val="both"/>
        <w:rPr>
          <w:rFonts w:ascii="Century Gothic" w:hAnsi="Century Gothic"/>
          <w:sz w:val="20"/>
          <w:szCs w:val="20"/>
          <w:lang w:val="en-US"/>
        </w:rPr>
      </w:pPr>
    </w:p>
    <w:p w:rsidR="00971C27" w:rsidRPr="008B4A04" w:rsidRDefault="00971C27" w:rsidP="00971C27">
      <w:pPr>
        <w:spacing w:line="480" w:lineRule="auto"/>
        <w:jc w:val="both"/>
        <w:rPr>
          <w:rFonts w:ascii="Century Gothic" w:hAnsi="Century Gothic" w:cs="Arial"/>
          <w:sz w:val="20"/>
          <w:szCs w:val="20"/>
          <w:lang w:val="en-US"/>
        </w:rPr>
      </w:pPr>
      <w:r w:rsidRPr="008B4A04">
        <w:rPr>
          <w:rFonts w:ascii="Century Gothic" w:hAnsi="Century Gothic" w:cs="Arial"/>
          <w:b/>
          <w:sz w:val="20"/>
          <w:szCs w:val="20"/>
          <w:lang w:val="en-US"/>
        </w:rPr>
        <w:t xml:space="preserve">Supplementary table </w:t>
      </w:r>
      <w:r w:rsidR="00553BF5" w:rsidRPr="008B4A04">
        <w:rPr>
          <w:rFonts w:ascii="Century Gothic" w:hAnsi="Century Gothic" w:cs="Arial"/>
          <w:b/>
          <w:sz w:val="20"/>
          <w:szCs w:val="20"/>
          <w:lang w:val="en-US"/>
        </w:rPr>
        <w:t>2</w:t>
      </w:r>
      <w:r w:rsidRPr="008B4A04">
        <w:rPr>
          <w:rFonts w:ascii="Century Gothic" w:hAnsi="Century Gothic" w:cs="Arial"/>
          <w:b/>
          <w:sz w:val="20"/>
          <w:szCs w:val="20"/>
          <w:lang w:val="en-US"/>
        </w:rPr>
        <w:t xml:space="preserve">. Canine quality of life evaluation. </w:t>
      </w:r>
      <w:r w:rsidRPr="008B4A04">
        <w:rPr>
          <w:rFonts w:ascii="Century Gothic" w:hAnsi="Century Gothic" w:cs="Arial"/>
          <w:sz w:val="20"/>
          <w:szCs w:val="20"/>
          <w:lang w:val="en-US"/>
        </w:rPr>
        <w:t>Evaluation of patient´s quality of life after the fourth doses of dCelyvir. Percentages of canine patients with good or bad quality of life (threshold at</w:t>
      </w:r>
      <w:r w:rsidR="00072C39" w:rsidRPr="008B4A04">
        <w:rPr>
          <w:rFonts w:ascii="Century Gothic" w:hAnsi="Century Gothic" w:cs="Arial"/>
          <w:sz w:val="20"/>
          <w:szCs w:val="20"/>
          <w:lang w:val="en-US"/>
        </w:rPr>
        <w:t xml:space="preserve"> 35)</w:t>
      </w:r>
      <w:r w:rsidR="00BD3003" w:rsidRPr="008B4A04">
        <w:rPr>
          <w:rFonts w:ascii="Century Gothic" w:hAnsi="Century Gothic" w:cs="Arial"/>
          <w:sz w:val="20"/>
          <w:szCs w:val="20"/>
          <w:lang w:val="en-US"/>
        </w:rPr>
        <w:t>.</w:t>
      </w:r>
    </w:p>
    <w:sectPr w:rsidR="00971C27" w:rsidRPr="008B4A04" w:rsidSect="00D343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27"/>
    <w:rsid w:val="00072C39"/>
    <w:rsid w:val="0028757C"/>
    <w:rsid w:val="00400C01"/>
    <w:rsid w:val="00553BF5"/>
    <w:rsid w:val="008B4A04"/>
    <w:rsid w:val="00901FD2"/>
    <w:rsid w:val="00971C27"/>
    <w:rsid w:val="00A122AF"/>
    <w:rsid w:val="00AF79D2"/>
    <w:rsid w:val="00B3187C"/>
    <w:rsid w:val="00B32301"/>
    <w:rsid w:val="00BD3003"/>
    <w:rsid w:val="00D3433B"/>
    <w:rsid w:val="00E56C46"/>
    <w:rsid w:val="00FD73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DFC48-129F-4F9C-8BD4-F87520E5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C2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2809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Garcia Castro</dc:creator>
  <cp:lastModifiedBy>Javier Garcia Castro</cp:lastModifiedBy>
  <cp:revision>4</cp:revision>
  <cp:lastPrinted>2018-05-21T12:18:00Z</cp:lastPrinted>
  <dcterms:created xsi:type="dcterms:W3CDTF">2018-06-22T08:32:00Z</dcterms:created>
  <dcterms:modified xsi:type="dcterms:W3CDTF">2018-06-28T16:38:00Z</dcterms:modified>
</cp:coreProperties>
</file>