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5" w:type="dxa"/>
        <w:tblInd w:w="50" w:type="dxa"/>
        <w:tblBorders>
          <w:top w:val="single" w:sz="2" w:space="0" w:color="DDDDDD"/>
          <w:left w:val="single" w:sz="2" w:space="0" w:color="DDDDDD"/>
          <w:bottom w:val="single" w:sz="2" w:space="0" w:color="DDDDDD"/>
          <w:insideH w:val="single" w:sz="2" w:space="0" w:color="DDDDDD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967"/>
        <w:gridCol w:w="1526"/>
        <w:gridCol w:w="846"/>
        <w:gridCol w:w="10546"/>
      </w:tblGrid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CCCCCC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Year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CCCCCC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Modality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CCCCCC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Pathology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CCCCCC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Nb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of patients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CCCCCC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Main results / Link</w:t>
            </w:r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2018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MRI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Cervical cancer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100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radiomic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signature based on 5 features computed from fast-spin echo T2 images better predicts relapse (AUC=0.78) than each feature separately and the high-risk clinical target volume.</w:t>
            </w:r>
          </w:p>
          <w:p w:rsidR="000762A7" w:rsidRDefault="006C5923">
            <w:pPr>
              <w:pStyle w:val="Default"/>
            </w:pPr>
            <w:hyperlink r:id="rId4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https://user-swndwmf.cld.bz/ESTRO37-ABSTRACTBOOK-27march-v2/46/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2018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CT+PET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NSCLC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534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CT and PET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radiomic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features distinguish primary and metastatic lung lesions (AUC(CT)=0.70±0.</w:t>
            </w: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04 ;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AUC(PET)=0.91±0.03) and  identify the primary cancer subtypes (AUC(CT)=[0.57-0.70] ; AUC(PET)=[0.61-0.88]).</w:t>
            </w:r>
          </w:p>
          <w:p w:rsidR="000762A7" w:rsidRDefault="006C5923">
            <w:pPr>
              <w:pStyle w:val="Default"/>
            </w:pPr>
            <w:hyperlink r:id="rId5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https://www.ncbi.nlm.nih.gov/pubmed/29623375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2018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Head and neck cancers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78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A multivariate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radiomic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signature including V30 (parotid gland volume percentage that received radiation doses of 30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Gy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GLCM_Correlation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and GLRLM_RLNU is predictive of chronic xerostomia (p&lt;0.001). Accounting for textural features increases the AUC from 0.766 to 0.911.</w:t>
            </w:r>
          </w:p>
          <w:p w:rsidR="000762A7" w:rsidRDefault="006C5923">
            <w:pPr>
              <w:pStyle w:val="Default"/>
            </w:pPr>
            <w:hyperlink r:id="rId6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https://www.ncbi.nlm.nih.gov/pubmed/29368244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2018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CT+PET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NSCLC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295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A combination of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radiomic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features (5 from CT or 6 from PET) outperforms common clinical predictors including TNM stage t</w:t>
            </w:r>
            <w:r w:rsidR="006C5923">
              <w:rPr>
                <w:rFonts w:ascii="Liberation Sans" w:hAnsi="Liberation Sans"/>
                <w:color w:val="00000A"/>
                <w:sz w:val="20"/>
                <w:szCs w:val="20"/>
              </w:rPr>
              <w:t>o predict Disease Free Survival</w:t>
            </w: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(AUC-clinical model = 0.58 vs AUC-CT = 0.75, AUC-PET = 0.68).</w:t>
            </w:r>
          </w:p>
          <w:p w:rsidR="000762A7" w:rsidRDefault="006C5923">
            <w:pPr>
              <w:pStyle w:val="Default"/>
            </w:pPr>
            <w:hyperlink r:id="rId7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https://www.ncbi.nlm.nih.gov/pubmed/28944403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2018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PET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Lymphoma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82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SkewnessH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predic</w:t>
            </w:r>
            <w:r w:rsidR="006C5923"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ts Overall Survival (HR: 3.78) </w:t>
            </w:r>
            <w:bookmarkStart w:id="0" w:name="_GoBack"/>
            <w:bookmarkEnd w:id="0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and Progression Free Survival (HR=3.17) better than a bone marrow biopsy combined with PET visual analysis (HR: 2.81 for OS and 1.26 for PFS).</w:t>
            </w:r>
          </w:p>
          <w:p w:rsidR="000762A7" w:rsidRDefault="006C5923">
            <w:pPr>
              <w:pStyle w:val="Default"/>
            </w:pPr>
            <w:hyperlink r:id="rId8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https://www.ncbi.nlm.nih.gov/pubmed/29214417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2018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PET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Cervical cancer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108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A score combining a biological feature (neutrophilia) and a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radiomic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feature (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SUVpeak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) accurately predicts the probability of local control (HR=9.2).</w:t>
            </w:r>
          </w:p>
          <w:p w:rsidR="000762A7" w:rsidRDefault="006C5923">
            <w:pPr>
              <w:pStyle w:val="Default"/>
            </w:pPr>
            <w:hyperlink r:id="rId9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https://www.ncbi.nlm.nih.gov/pubmed/28916879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Hepatocel</w:t>
            </w:r>
            <w:r w:rsidR="00F61917">
              <w:rPr>
                <w:rFonts w:ascii="Liberation Sans" w:hAnsi="Liberation Sans"/>
                <w:sz w:val="20"/>
                <w:szCs w:val="20"/>
              </w:rPr>
              <w:t>lul</w:t>
            </w:r>
            <w:r>
              <w:rPr>
                <w:rFonts w:ascii="Liberation Sans" w:hAnsi="Liberation Sans"/>
                <w:sz w:val="20"/>
                <w:szCs w:val="20"/>
              </w:rPr>
              <w:t>ar carcinoma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138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48" w:type="dxa"/>
            </w:tcMar>
          </w:tcPr>
          <w:p w:rsidR="000762A7" w:rsidRDefault="00F61917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A model</w:t>
            </w:r>
            <w:r w:rsidR="005B4C93"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based on a</w:t>
            </w:r>
            <w:r w:rsidR="00004021"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single</w:t>
            </w:r>
            <w:r w:rsidR="005B4C93"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5B4C93">
              <w:rPr>
                <w:rFonts w:ascii="Liberation Sans" w:hAnsi="Liberation Sans"/>
                <w:color w:val="00000A"/>
                <w:sz w:val="20"/>
                <w:szCs w:val="20"/>
              </w:rPr>
              <w:t>radiomic</w:t>
            </w:r>
            <w:proofErr w:type="spellEnd"/>
            <w:r w:rsidR="005B4C93"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feature (</w:t>
            </w:r>
            <w:proofErr w:type="spellStart"/>
            <w:r w:rsidR="005B4C93">
              <w:rPr>
                <w:rFonts w:ascii="Liberation Sans" w:hAnsi="Liberation Sans"/>
                <w:color w:val="00000A"/>
                <w:sz w:val="20"/>
                <w:szCs w:val="20"/>
              </w:rPr>
              <w:t>compacity</w:t>
            </w:r>
            <w:proofErr w:type="spellEnd"/>
            <w:r w:rsidR="005B4C93">
              <w:rPr>
                <w:rFonts w:ascii="Liberation Sans" w:hAnsi="Liberation Sans"/>
                <w:color w:val="00000A"/>
                <w:sz w:val="20"/>
                <w:szCs w:val="20"/>
              </w:rPr>
              <w:t>) can predict the survival at 12 months (AUC=0.80).</w:t>
            </w:r>
          </w:p>
          <w:p w:rsidR="000762A7" w:rsidRDefault="006C5923">
            <w:pPr>
              <w:pStyle w:val="Default"/>
            </w:pPr>
            <w:hyperlink r:id="rId10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https://www.ncbi.nlm.nih.gov/pubmed/29207975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PET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Cervical cancer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118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radiomic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signature including 4 features identifies local recurrence more accurately than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SUVmax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(p&lt;0.05).</w:t>
            </w:r>
          </w:p>
          <w:p w:rsidR="000762A7" w:rsidRDefault="006C5923">
            <w:pPr>
              <w:pStyle w:val="Default"/>
            </w:pPr>
            <w:hyperlink r:id="rId11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https://www.ncbi.nlm.nih.gov/pubmed/28574816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PET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Breast cancer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307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Age and body mass index affect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radiomic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feature values in normal breast tissue.</w:t>
            </w:r>
          </w:p>
          <w:p w:rsidR="000762A7" w:rsidRDefault="006C5923">
            <w:pPr>
              <w:pStyle w:val="Default"/>
            </w:pPr>
            <w:hyperlink r:id="rId12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http://jnm.snmjournals.org/content/58/supplement_1/470.abstract?sid=167bcfbd-27b6-4d23-b374-8c7a702a5042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PET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Thyroid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incidentalomas</w:t>
            </w:r>
            <w:proofErr w:type="spellEnd"/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50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SUVmax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SkewnessH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are significantly different between benign and malign nodules.</w:t>
            </w:r>
          </w:p>
          <w:p w:rsidR="000762A7" w:rsidRDefault="006C5923">
            <w:pPr>
              <w:pStyle w:val="Default"/>
            </w:pPr>
            <w:hyperlink r:id="rId13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https://link.springer.com/article/10.1186/s41824-017-0009-8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NSCLC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38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GLCM_Contrast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GLCM_Dissimilarity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NGLDM_Coarseness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are correlated with the responsiveness to immunotherapy (AUC=0.755).</w:t>
            </w:r>
          </w:p>
          <w:p w:rsidR="000762A7" w:rsidRDefault="006C5923">
            <w:pPr>
              <w:pStyle w:val="Default"/>
            </w:pPr>
            <w:hyperlink r:id="rId14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http://www.jto.org/article/S1556-0864(17)32650-3/fulltext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PET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Glioblastoma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36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Five textural features computed from static images show </w:t>
            </w: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a similar accuracy as dynamic parameters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to predict IDH genotype (accuracy: 81%).</w:t>
            </w:r>
          </w:p>
          <w:p w:rsidR="000762A7" w:rsidRDefault="006C5923">
            <w:pPr>
              <w:pStyle w:val="Default"/>
            </w:pPr>
            <w:hyperlink r:id="rId15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https://academic.oup.com/neuro-oncology/article-abstract/19/suppl_3/iii88/3744139</w:t>
              </w:r>
            </w:hyperlink>
          </w:p>
        </w:tc>
      </w:tr>
      <w:tr w:rsidR="000762A7">
        <w:tc>
          <w:tcPr>
            <w:tcW w:w="6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CT</w:t>
            </w:r>
          </w:p>
        </w:tc>
        <w:tc>
          <w:tcPr>
            <w:tcW w:w="1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Interstitial pneumonia</w:t>
            </w:r>
          </w:p>
        </w:tc>
        <w:tc>
          <w:tcPr>
            <w:tcW w:w="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8" w:type="dxa"/>
            </w:tcMar>
            <w:vAlign w:val="center"/>
          </w:tcPr>
          <w:p w:rsidR="000762A7" w:rsidRDefault="005B4C93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47</w:t>
            </w:r>
          </w:p>
        </w:tc>
        <w:tc>
          <w:tcPr>
            <w:tcW w:w="105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48" w:type="dxa"/>
            </w:tcMar>
          </w:tcPr>
          <w:p w:rsidR="000762A7" w:rsidRDefault="005B4C93">
            <w:pPr>
              <w:pStyle w:val="Default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A combination of 3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radiomic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features yields an AUC equal to 0.897 for the differential diagnosis of pulmonary fibrosis.</w:t>
            </w:r>
          </w:p>
          <w:p w:rsidR="000762A7" w:rsidRDefault="006C5923">
            <w:pPr>
              <w:pStyle w:val="Default"/>
            </w:pPr>
            <w:hyperlink r:id="rId16" w:anchor="presentation-acde5412-2652-45bd-b8f1-5c83e8f93ee9" w:history="1">
              <w:r w:rsidR="005B4C93">
                <w:rPr>
                  <w:rStyle w:val="InternetLink"/>
                  <w:rFonts w:ascii="Liberation Sans" w:hAnsi="Liberation Sans"/>
                  <w:color w:val="00000A"/>
                  <w:sz w:val="20"/>
                  <w:szCs w:val="20"/>
                </w:rPr>
                <w:t>http://ecronline.myesr.org/ecr2017/index.php?p=recorddetail&amp;rid=d24972fb-9128-4bed-9ef8-bc86d0903087#presentation-acde5412-2652-45bd-b8f1-5c83e8f93ee9</w:t>
              </w:r>
            </w:hyperlink>
          </w:p>
        </w:tc>
      </w:tr>
    </w:tbl>
    <w:p w:rsidR="000762A7" w:rsidRDefault="000762A7"/>
    <w:sectPr w:rsidR="000762A7">
      <w:pgSz w:w="16838" w:h="11906" w:orient="landscape"/>
      <w:pgMar w:top="567" w:right="1134" w:bottom="567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1"/>
    <w:family w:val="roman"/>
    <w:pitch w:val="default"/>
  </w:font>
  <w:font w:name="Liberation Sans">
    <w:altName w:val="Arial"/>
    <w:panose1 w:val="020B0604020202020204"/>
    <w:charset w:val="01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jaVu Sans">
    <w:altName w:val="Verdana"/>
    <w:panose1 w:val="020B0604020202020204"/>
    <w:charset w:val="01"/>
    <w:family w:val="roman"/>
    <w:pitch w:val="default"/>
  </w:font>
  <w:font w:name="Liberation Serif">
    <w:altName w:val="Times New Roman"/>
    <w:panose1 w:val="020B0604020202020204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2A7"/>
    <w:rsid w:val="00004021"/>
    <w:rsid w:val="000762A7"/>
    <w:rsid w:val="005B4C93"/>
    <w:rsid w:val="006C5923"/>
    <w:rsid w:val="00F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EDCF4"/>
  <w15:docId w15:val="{24CF8CA8-E454-254E-80BC-F6D4390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ans CJK SC Regular" w:hAnsi="Times New Roman" w:cs="Free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" w:hAnsi="Time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" w:hAnsi="Time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Default">
    <w:name w:val="Default"/>
    <w:qFormat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">
    <w:name w:val="Text body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 w:line="216" w:lineRule="auto"/>
    </w:pPr>
    <w:rPr>
      <w:rFonts w:ascii="DejaVu Sans" w:eastAsia="DejaVu Sans" w:hAnsi="DejaVu Sans" w:cs="Liberation Sans"/>
      <w:color w:val="000000"/>
      <w:sz w:val="56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40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36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line="200" w:lineRule="atLeast"/>
    </w:pPr>
    <w:rPr>
      <w:rFonts w:ascii="DejaVu Sans" w:eastAsia="DejaVu Sans" w:hAnsi="DejaVu Sans" w:cs="Liberation Sans"/>
      <w:color w:val="000000"/>
      <w:sz w:val="36"/>
    </w:rPr>
  </w:style>
  <w:style w:type="paragraph" w:customStyle="1" w:styleId="BlankSlideLTUntertitel">
    <w:name w:val="Blank Slide~LT~Untertitel"/>
    <w:qFormat/>
    <w:pPr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color w:val="00000A"/>
      <w:sz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color w:val="00000A"/>
      <w:sz w:val="24"/>
    </w:rPr>
  </w:style>
  <w:style w:type="paragraph" w:customStyle="1" w:styleId="default0">
    <w:name w:val="default"/>
    <w:qFormat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color w:val="00000A"/>
      <w:sz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color w:val="00000A"/>
      <w:sz w:val="24"/>
    </w:rPr>
  </w:style>
  <w:style w:type="paragraph" w:customStyle="1" w:styleId="Notes">
    <w:name w:val="Notes"/>
    <w:qFormat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Outline1">
    <w:name w:val="Outline 1"/>
    <w:qFormat/>
    <w:pPr>
      <w:spacing w:before="283" w:line="216" w:lineRule="auto"/>
    </w:pPr>
    <w:rPr>
      <w:rFonts w:ascii="DejaVu Sans" w:eastAsia="DejaVu Sans" w:hAnsi="DejaVu Sans" w:cs="Liberation Sans"/>
      <w:color w:val="000000"/>
      <w:sz w:val="56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styleId="En-tte">
    <w:name w:val="header"/>
    <w:basedOn w:val="Normal"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214417" TargetMode="External"/><Relationship Id="rId13" Type="http://schemas.openxmlformats.org/officeDocument/2006/relationships/hyperlink" Target="https://link.springer.com/article/10.1186/s41824-017-0009-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8944403" TargetMode="External"/><Relationship Id="rId12" Type="http://schemas.openxmlformats.org/officeDocument/2006/relationships/hyperlink" Target="http://jnm.snmjournals.org/content/58/supplement_1/470.abstract?sid=167bcfbd-27b6-4d23-b374-8c7a702a504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cronline.myesr.org/ecr2017/index.php?p=recorddetail&amp;rid=d24972fb-9128-4bed-9ef8-bc86d09030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9368244" TargetMode="External"/><Relationship Id="rId11" Type="http://schemas.openxmlformats.org/officeDocument/2006/relationships/hyperlink" Target="https://www.ncbi.nlm.nih.gov/pubmed/28574816" TargetMode="External"/><Relationship Id="rId5" Type="http://schemas.openxmlformats.org/officeDocument/2006/relationships/hyperlink" Target="https://www.ncbi.nlm.nih.gov/pubmed/29623375" TargetMode="External"/><Relationship Id="rId15" Type="http://schemas.openxmlformats.org/officeDocument/2006/relationships/hyperlink" Target="https://academic.oup.com/neuro-oncology/article-abstract/19/suppl_3/iii88/3744139" TargetMode="External"/><Relationship Id="rId10" Type="http://schemas.openxmlformats.org/officeDocument/2006/relationships/hyperlink" Target="https://www.ncbi.nlm.nih.gov/pubmed/29207975" TargetMode="External"/><Relationship Id="rId4" Type="http://schemas.openxmlformats.org/officeDocument/2006/relationships/hyperlink" Target="https://user-swndwmf.cld.bz/ESTRO37-ABSTRACTBOOK-27march-v2/46/" TargetMode="External"/><Relationship Id="rId9" Type="http://schemas.openxmlformats.org/officeDocument/2006/relationships/hyperlink" Target="https://www.ncbi.nlm.nih.gov/pubmed/28916879" TargetMode="External"/><Relationship Id="rId14" Type="http://schemas.openxmlformats.org/officeDocument/2006/relationships/hyperlink" Target="http://www.jto.org/article/S1556-0864(17)32650-3/fullte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666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Utilisateur Microsoft Office</cp:lastModifiedBy>
  <cp:revision>12</cp:revision>
  <dcterms:created xsi:type="dcterms:W3CDTF">2018-04-20T10:57:00Z</dcterms:created>
  <dcterms:modified xsi:type="dcterms:W3CDTF">2018-04-28T22:30:00Z</dcterms:modified>
  <dc:language>en-GB</dc:language>
</cp:coreProperties>
</file>