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C9A19E" w14:textId="77777777" w:rsidR="00156D0C" w:rsidRPr="00060D82" w:rsidRDefault="00156D0C" w:rsidP="00174317">
      <w:pPr>
        <w:spacing w:line="276" w:lineRule="auto"/>
        <w:rPr>
          <w:rFonts w:ascii="Arial" w:hAnsi="Arial" w:cs="Arial"/>
        </w:rPr>
      </w:pPr>
      <w:r w:rsidRPr="00060D82">
        <w:rPr>
          <w:rFonts w:ascii="Arial" w:hAnsi="Arial" w:cs="Arial"/>
          <w:noProof/>
        </w:rPr>
        <w:drawing>
          <wp:inline distT="0" distB="0" distL="0" distR="0" wp14:anchorId="5B6D3025" wp14:editId="06DCD057">
            <wp:extent cx="5943600" cy="2733675"/>
            <wp:effectExtent l="0" t="0" r="0" b="952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
                    <a:stretch>
                      <a:fillRect/>
                    </a:stretch>
                  </pic:blipFill>
                  <pic:spPr>
                    <a:xfrm>
                      <a:off x="0" y="0"/>
                      <a:ext cx="5943600" cy="2733675"/>
                    </a:xfrm>
                    <a:prstGeom prst="rect">
                      <a:avLst/>
                    </a:prstGeom>
                  </pic:spPr>
                </pic:pic>
              </a:graphicData>
            </a:graphic>
          </wp:inline>
        </w:drawing>
      </w:r>
    </w:p>
    <w:p w14:paraId="371F335B" w14:textId="77777777" w:rsidR="009F20EC" w:rsidRPr="00060D82" w:rsidRDefault="009F20EC" w:rsidP="00174317">
      <w:pPr>
        <w:spacing w:line="276" w:lineRule="auto"/>
        <w:rPr>
          <w:rFonts w:ascii="Arial" w:hAnsi="Arial" w:cs="Arial"/>
        </w:rPr>
      </w:pPr>
    </w:p>
    <w:p w14:paraId="1249F7CD" w14:textId="7DC74EFE" w:rsidR="00D87989" w:rsidRDefault="00D87989" w:rsidP="00174317">
      <w:pPr>
        <w:spacing w:line="276" w:lineRule="auto"/>
        <w:rPr>
          <w:rFonts w:ascii="Arial" w:hAnsi="Arial" w:cs="Arial"/>
        </w:rPr>
      </w:pPr>
      <w:r w:rsidRPr="00060D82">
        <w:rPr>
          <w:rFonts w:ascii="Arial" w:hAnsi="Arial" w:cs="Arial"/>
          <w:b/>
          <w:bCs/>
        </w:rPr>
        <w:t>Supplementary figure 1. PI3K activity in a larger cohort of WHIM models.</w:t>
      </w:r>
      <w:r w:rsidRPr="00060D82">
        <w:rPr>
          <w:rFonts w:ascii="Arial" w:hAnsi="Arial" w:cs="Arial"/>
        </w:rPr>
        <w:t xml:space="preserve"> Triple Negative Breast Cancer (TNBC) status (indicated by black squares) and PI3K activity by the PI3K score are indicated for each model. The PI3K score refers to the CMAP PI3K mRNA signature score calculated based on the transcriptome data as previously</w:t>
      </w:r>
      <w:r w:rsidR="00D15EC6">
        <w:rPr>
          <w:rFonts w:ascii="Arial" w:hAnsi="Arial" w:cs="Arial"/>
        </w:rPr>
        <w:t xml:space="preserve"> described [</w:t>
      </w:r>
      <w:r w:rsidR="00D15EC6" w:rsidRPr="00D15EC6">
        <w:rPr>
          <w:rFonts w:ascii="Arial" w:hAnsi="Arial" w:cs="Arial"/>
          <w:i/>
        </w:rPr>
        <w:t>Reference</w:t>
      </w:r>
      <w:r w:rsidR="00D15EC6">
        <w:rPr>
          <w:rFonts w:ascii="Arial" w:hAnsi="Arial" w:cs="Arial"/>
        </w:rPr>
        <w:t>]</w:t>
      </w:r>
      <w:r w:rsidRPr="00060D82">
        <w:rPr>
          <w:rFonts w:ascii="Arial" w:hAnsi="Arial" w:cs="Arial"/>
        </w:rPr>
        <w:t>. Vertical numbers denote WHIM model. Western blots for a set of selected PI3K markers are aligned for each WHIM for comparison. Black triangles indicate patient derived xenograft/WHIM models used in this study (WHIM#).</w:t>
      </w:r>
    </w:p>
    <w:p w14:paraId="47417A6A" w14:textId="77777777" w:rsidR="00D15EC6" w:rsidRDefault="00D15EC6" w:rsidP="009E2211">
      <w:pPr>
        <w:spacing w:line="276" w:lineRule="auto"/>
        <w:rPr>
          <w:rFonts w:ascii="Arial" w:hAnsi="Arial" w:cs="Arial"/>
        </w:rPr>
      </w:pPr>
      <w:r w:rsidRPr="00D15EC6">
        <w:rPr>
          <w:rFonts w:ascii="Arial" w:hAnsi="Arial" w:cs="Arial"/>
          <w:i/>
        </w:rPr>
        <w:t>Reference</w:t>
      </w:r>
      <w:r>
        <w:rPr>
          <w:rFonts w:ascii="Arial" w:hAnsi="Arial" w:cs="Arial"/>
        </w:rPr>
        <w:t>:</w:t>
      </w:r>
    </w:p>
    <w:p w14:paraId="5687FBFA" w14:textId="3602220E" w:rsidR="009E2211" w:rsidRPr="00060D82" w:rsidRDefault="00D15EC6" w:rsidP="009E2211">
      <w:pPr>
        <w:spacing w:line="276" w:lineRule="auto"/>
        <w:rPr>
          <w:rFonts w:ascii="Arial" w:hAnsi="Arial" w:cs="Arial"/>
        </w:rPr>
      </w:pPr>
      <w:r w:rsidRPr="00D15EC6">
        <w:rPr>
          <w:rFonts w:ascii="Arial" w:hAnsi="Arial" w:cs="Arial"/>
        </w:rPr>
        <w:t>Creighton, C.J., X. Fu, B.T. Hennessy, A.J. Casa, Y. Zhang, A.M. Gonzalez-Angulo, et al., Proteomic and transcriptomic profiling reveals a link between the PI3K pathway and lower estrogen-receptor (ER) levels and activity in ER+ breast cancer. Breast Cancer Res, 2010. 12(3): p. R40.</w:t>
      </w:r>
    </w:p>
    <w:p w14:paraId="3AB43F4D" w14:textId="77777777" w:rsidR="00CA100F" w:rsidRPr="00060D82" w:rsidRDefault="00CA100F" w:rsidP="00174317">
      <w:pPr>
        <w:spacing w:line="276" w:lineRule="auto"/>
        <w:rPr>
          <w:rFonts w:ascii="Arial" w:hAnsi="Arial" w:cs="Arial"/>
        </w:rPr>
      </w:pPr>
    </w:p>
    <w:p w14:paraId="2FED3FEB" w14:textId="77777777" w:rsidR="00CA100F" w:rsidRPr="00060D82" w:rsidRDefault="00CA100F" w:rsidP="00174317">
      <w:pPr>
        <w:tabs>
          <w:tab w:val="left" w:pos="7875"/>
        </w:tabs>
        <w:spacing w:line="276" w:lineRule="auto"/>
        <w:rPr>
          <w:rFonts w:ascii="Arial" w:hAnsi="Arial" w:cs="Arial"/>
        </w:rPr>
      </w:pPr>
      <w:r w:rsidRPr="00060D82">
        <w:rPr>
          <w:rFonts w:ascii="Arial" w:hAnsi="Arial" w:cs="Arial"/>
        </w:rPr>
        <w:tab/>
      </w:r>
    </w:p>
    <w:p w14:paraId="3BB9F722" w14:textId="7EA44056" w:rsidR="00156D0C" w:rsidRPr="00060D82" w:rsidRDefault="00156D0C" w:rsidP="00174317">
      <w:pPr>
        <w:tabs>
          <w:tab w:val="left" w:pos="7875"/>
        </w:tabs>
        <w:spacing w:line="276" w:lineRule="auto"/>
        <w:rPr>
          <w:rFonts w:ascii="Arial" w:hAnsi="Arial" w:cs="Arial"/>
        </w:rPr>
      </w:pPr>
      <w:r w:rsidRPr="00060D82">
        <w:rPr>
          <w:rFonts w:ascii="Arial" w:hAnsi="Arial" w:cs="Arial"/>
        </w:rPr>
        <w:br w:type="page"/>
      </w:r>
    </w:p>
    <w:p w14:paraId="684AA83E" w14:textId="4954733D" w:rsidR="00156D0C" w:rsidRPr="00060D82" w:rsidRDefault="0081452D" w:rsidP="00174317">
      <w:pPr>
        <w:spacing w:line="276" w:lineRule="auto"/>
        <w:rPr>
          <w:rFonts w:ascii="Arial" w:hAnsi="Arial" w:cs="Arial"/>
        </w:rPr>
      </w:pPr>
      <w:r>
        <w:rPr>
          <w:rFonts w:ascii="Arial" w:hAnsi="Arial" w:cs="Arial"/>
        </w:rPr>
        <w:lastRenderedPageBreak/>
        <w:pict w14:anchorId="3FDEC8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18pt">
            <v:imagedata r:id="rId5" o:title="20180102_BKM_Supp-WorkFlows"/>
          </v:shape>
        </w:pict>
      </w:r>
    </w:p>
    <w:p w14:paraId="733FF791" w14:textId="51EAFBF3" w:rsidR="0063618C" w:rsidRPr="00060D82" w:rsidRDefault="00D87989" w:rsidP="00174317">
      <w:pPr>
        <w:spacing w:line="276" w:lineRule="auto"/>
        <w:rPr>
          <w:rFonts w:ascii="Arial" w:hAnsi="Arial" w:cs="Arial"/>
        </w:rPr>
      </w:pPr>
      <w:r w:rsidRPr="00060D82">
        <w:rPr>
          <w:rFonts w:ascii="Arial" w:hAnsi="Arial" w:cs="Arial"/>
          <w:b/>
          <w:bCs/>
        </w:rPr>
        <w:t xml:space="preserve">Supplementary figure 2. </w:t>
      </w:r>
      <w:r w:rsidR="00B005AA">
        <w:rPr>
          <w:rFonts w:ascii="Arial" w:hAnsi="Arial" w:cs="Arial"/>
          <w:b/>
          <w:bCs/>
        </w:rPr>
        <w:t>W</w:t>
      </w:r>
      <w:r w:rsidRPr="00060D82">
        <w:rPr>
          <w:rFonts w:ascii="Arial" w:hAnsi="Arial" w:cs="Arial"/>
          <w:b/>
          <w:bCs/>
        </w:rPr>
        <w:t>orkflow</w:t>
      </w:r>
      <w:r w:rsidR="00B005AA">
        <w:rPr>
          <w:rFonts w:ascii="Arial" w:hAnsi="Arial" w:cs="Arial"/>
          <w:b/>
          <w:bCs/>
        </w:rPr>
        <w:t>s, global correlations and heterogeneity</w:t>
      </w:r>
      <w:r w:rsidRPr="00060D82">
        <w:rPr>
          <w:rFonts w:ascii="Arial" w:hAnsi="Arial" w:cs="Arial"/>
          <w:b/>
          <w:bCs/>
        </w:rPr>
        <w:t>.</w:t>
      </w:r>
      <w:r w:rsidR="00AA2CFB" w:rsidRPr="00060D82">
        <w:rPr>
          <w:rFonts w:ascii="Arial" w:hAnsi="Arial" w:cs="Arial"/>
        </w:rPr>
        <w:t xml:space="preserve"> </w:t>
      </w:r>
      <w:r w:rsidR="00B005AA" w:rsidRPr="00B005AA">
        <w:rPr>
          <w:rFonts w:ascii="Arial" w:hAnsi="Arial" w:cs="Arial"/>
          <w:b/>
        </w:rPr>
        <w:t>A</w:t>
      </w:r>
      <w:r w:rsidR="00B005AA">
        <w:rPr>
          <w:rFonts w:ascii="Arial" w:hAnsi="Arial" w:cs="Arial"/>
        </w:rPr>
        <w:t xml:space="preserve">, </w:t>
      </w:r>
      <w:r w:rsidR="00AA2CFB" w:rsidRPr="00060D82">
        <w:rPr>
          <w:rFonts w:ascii="Arial" w:hAnsi="Arial" w:cs="Arial"/>
        </w:rPr>
        <w:t>TMT</w:t>
      </w:r>
      <w:r w:rsidRPr="00060D82">
        <w:rPr>
          <w:rFonts w:ascii="Arial" w:hAnsi="Arial" w:cs="Arial"/>
        </w:rPr>
        <w:t>6-plex global proteome and phosphoproteome analysis workflow. 30</w:t>
      </w:r>
      <w:r w:rsidR="00AA2CFB" w:rsidRPr="00060D82">
        <w:rPr>
          <w:rFonts w:ascii="Arial" w:hAnsi="Arial" w:cs="Arial"/>
        </w:rPr>
        <w:t xml:space="preserve"> samples were analyzed in 6 TMT</w:t>
      </w:r>
      <w:r w:rsidRPr="00060D82">
        <w:rPr>
          <w:rFonts w:ascii="Arial" w:hAnsi="Arial" w:cs="Arial"/>
        </w:rPr>
        <w:t>6-plexes</w:t>
      </w:r>
      <w:r w:rsidR="000F4083" w:rsidRPr="00060D82">
        <w:rPr>
          <w:rFonts w:ascii="Arial" w:hAnsi="Arial" w:cs="Arial"/>
        </w:rPr>
        <w:t xml:space="preserve">, each containing </w:t>
      </w:r>
      <w:r w:rsidRPr="00060D82">
        <w:rPr>
          <w:rFonts w:ascii="Arial" w:hAnsi="Arial" w:cs="Arial"/>
        </w:rPr>
        <w:t xml:space="preserve">5 samples from </w:t>
      </w:r>
      <w:r w:rsidR="000F4083" w:rsidRPr="00060D82">
        <w:rPr>
          <w:rFonts w:ascii="Arial" w:hAnsi="Arial" w:cs="Arial"/>
        </w:rPr>
        <w:t xml:space="preserve">a single </w:t>
      </w:r>
      <w:r w:rsidRPr="00060D82">
        <w:rPr>
          <w:rFonts w:ascii="Arial" w:hAnsi="Arial" w:cs="Arial"/>
        </w:rPr>
        <w:t xml:space="preserve">PDX </w:t>
      </w:r>
      <w:r w:rsidR="000F4083" w:rsidRPr="00060D82">
        <w:rPr>
          <w:rFonts w:ascii="Arial" w:hAnsi="Arial" w:cs="Arial"/>
        </w:rPr>
        <w:t>model</w:t>
      </w:r>
      <w:r w:rsidRPr="00060D82">
        <w:rPr>
          <w:rFonts w:ascii="Arial" w:hAnsi="Arial" w:cs="Arial"/>
        </w:rPr>
        <w:t xml:space="preserve"> and a common internal reference. The internal reference </w:t>
      </w:r>
      <w:r w:rsidR="000F4083" w:rsidRPr="00060D82">
        <w:rPr>
          <w:rFonts w:ascii="Arial" w:hAnsi="Arial" w:cs="Arial"/>
        </w:rPr>
        <w:t xml:space="preserve">was </w:t>
      </w:r>
      <w:r w:rsidRPr="00060D82">
        <w:rPr>
          <w:rFonts w:ascii="Arial" w:hAnsi="Arial" w:cs="Arial"/>
        </w:rPr>
        <w:t>comprised of equal amounts of material from all 30 samples and served as an internal standard for all proteins and phosphoproteins quantified in the global liquid-chromatography tandem mass spectrometry (LC-MS/MS) analyses.</w:t>
      </w:r>
      <w:r w:rsidR="00B005AA">
        <w:rPr>
          <w:rFonts w:ascii="Arial" w:hAnsi="Arial" w:cs="Arial"/>
        </w:rPr>
        <w:t xml:space="preserve"> </w:t>
      </w:r>
      <w:r w:rsidR="00B005AA">
        <w:rPr>
          <w:rFonts w:ascii="Arial" w:hAnsi="Arial" w:cs="Arial"/>
          <w:b/>
          <w:bCs/>
        </w:rPr>
        <w:t>B</w:t>
      </w:r>
      <w:r w:rsidR="00B005AA" w:rsidRPr="00B005AA">
        <w:rPr>
          <w:rFonts w:ascii="Arial" w:hAnsi="Arial" w:cs="Arial"/>
          <w:bCs/>
        </w:rPr>
        <w:t>,</w:t>
      </w:r>
      <w:r w:rsidRPr="00060D82">
        <w:rPr>
          <w:rFonts w:ascii="Arial" w:hAnsi="Arial" w:cs="Arial"/>
        </w:rPr>
        <w:t xml:space="preserve"> TMT6-plex MIB proteome workflow. Samples were extracted and enriched for kinases using a mixture of 7 kinase inhibitors immobilized to beads. Digested, TMT6-labeled samples were analyzed using a Q Exactive Plus instrument, and peptides were identified and quantified using Mascot.</w:t>
      </w:r>
      <w:r w:rsidR="00B005AA">
        <w:rPr>
          <w:rFonts w:ascii="Arial" w:hAnsi="Arial" w:cs="Arial"/>
          <w:b/>
          <w:bCs/>
        </w:rPr>
        <w:t xml:space="preserve"> C</w:t>
      </w:r>
      <w:r w:rsidR="00B005AA">
        <w:rPr>
          <w:rFonts w:ascii="Arial" w:hAnsi="Arial" w:cs="Arial"/>
          <w:bCs/>
        </w:rPr>
        <w:t>,</w:t>
      </w:r>
      <w:r w:rsidRPr="00060D82">
        <w:rPr>
          <w:rFonts w:ascii="Arial" w:hAnsi="Arial" w:cs="Arial"/>
        </w:rPr>
        <w:t xml:space="preserve"> </w:t>
      </w:r>
      <w:r w:rsidR="000F4083" w:rsidRPr="00060D82">
        <w:rPr>
          <w:rFonts w:ascii="Arial" w:hAnsi="Arial" w:cs="Arial"/>
        </w:rPr>
        <w:t>Results from t</w:t>
      </w:r>
      <w:r w:rsidRPr="00060D82">
        <w:rPr>
          <w:rFonts w:ascii="Arial" w:hAnsi="Arial" w:cs="Arial"/>
        </w:rPr>
        <w:t xml:space="preserve">he various platforms are moderately to highly correlated to each other, indicating overlap as well as possible complementarity of the </w:t>
      </w:r>
      <w:r w:rsidR="000F4083" w:rsidRPr="00060D82">
        <w:rPr>
          <w:rFonts w:ascii="Arial" w:hAnsi="Arial" w:cs="Arial"/>
        </w:rPr>
        <w:t>-</w:t>
      </w:r>
      <w:r w:rsidRPr="00060D82">
        <w:rPr>
          <w:rFonts w:ascii="Arial" w:hAnsi="Arial" w:cs="Arial"/>
        </w:rPr>
        <w:t>omics methods. _</w:t>
      </w:r>
      <w:proofErr w:type="spellStart"/>
      <w:r w:rsidRPr="00060D82">
        <w:rPr>
          <w:rFonts w:ascii="Arial" w:hAnsi="Arial" w:cs="Arial"/>
        </w:rPr>
        <w:t>prot</w:t>
      </w:r>
      <w:proofErr w:type="spellEnd"/>
      <w:r w:rsidRPr="00060D82">
        <w:rPr>
          <w:rFonts w:ascii="Arial" w:hAnsi="Arial" w:cs="Arial"/>
        </w:rPr>
        <w:t xml:space="preserve"> = proteome; _pSTY = phosphoproteome.</w:t>
      </w:r>
      <w:r w:rsidR="00853CA5" w:rsidRPr="00060D82">
        <w:rPr>
          <w:rFonts w:ascii="Arial" w:hAnsi="Arial" w:cs="Arial"/>
        </w:rPr>
        <w:t xml:space="preserve"> The lowest correlation is measured between the global phosphoproteome and the RPPA phosphoproteins</w:t>
      </w:r>
      <w:r w:rsidR="00B005AA">
        <w:rPr>
          <w:rFonts w:ascii="Arial" w:hAnsi="Arial" w:cs="Arial"/>
        </w:rPr>
        <w:t>.</w:t>
      </w:r>
      <w:r w:rsidR="00232BC1" w:rsidRPr="00060D82">
        <w:rPr>
          <w:rFonts w:ascii="Arial" w:hAnsi="Arial" w:cs="Arial"/>
        </w:rPr>
        <w:t xml:space="preserve"> F</w:t>
      </w:r>
      <w:r w:rsidR="00853CA5" w:rsidRPr="00060D82">
        <w:rPr>
          <w:rFonts w:ascii="Arial" w:hAnsi="Arial" w:cs="Arial"/>
        </w:rPr>
        <w:t>actors that could account for these differences include higher sensitivity of the phospho-antibodies for certain phosphosites relative to the MS analyses or cross-reactivity of the antibodies leading to false positive identification by RPPA</w:t>
      </w:r>
      <w:r w:rsidR="007B30A7" w:rsidRPr="00060D82">
        <w:rPr>
          <w:rFonts w:ascii="Arial" w:hAnsi="Arial" w:cs="Arial"/>
        </w:rPr>
        <w:t>. Furthermore, the RPPA data is not normalized to the proteome, while the global phosphoproteome is</w:t>
      </w:r>
      <w:r w:rsidR="00B005AA">
        <w:rPr>
          <w:rFonts w:ascii="Arial" w:hAnsi="Arial" w:cs="Arial"/>
        </w:rPr>
        <w:t xml:space="preserve">. </w:t>
      </w:r>
      <w:r w:rsidR="00B005AA" w:rsidRPr="00B005AA">
        <w:rPr>
          <w:rFonts w:ascii="Arial" w:hAnsi="Arial" w:cs="Arial"/>
          <w:b/>
        </w:rPr>
        <w:t>D</w:t>
      </w:r>
      <w:r w:rsidR="00B005AA">
        <w:rPr>
          <w:rFonts w:ascii="Arial" w:hAnsi="Arial" w:cs="Arial"/>
        </w:rPr>
        <w:t xml:space="preserve">, </w:t>
      </w:r>
      <w:r w:rsidR="0063618C" w:rsidRPr="00060D82">
        <w:rPr>
          <w:rFonts w:ascii="Arial" w:hAnsi="Arial" w:cs="Arial"/>
        </w:rPr>
        <w:t xml:space="preserve">Samples from the same PDX </w:t>
      </w:r>
      <w:r w:rsidR="000F4083" w:rsidRPr="00060D82">
        <w:rPr>
          <w:rFonts w:ascii="Arial" w:hAnsi="Arial" w:cs="Arial"/>
        </w:rPr>
        <w:t xml:space="preserve">model </w:t>
      </w:r>
      <w:r w:rsidR="0063618C" w:rsidRPr="00060D82">
        <w:rPr>
          <w:rFonts w:ascii="Arial" w:hAnsi="Arial" w:cs="Arial"/>
        </w:rPr>
        <w:t>clustered together, showing less intra-tumor heterogeneity compared to inter-tumor heterogeneity. Each PDX tumor has two vehicle treatments (1 dose 2 hours and 3 doses 50 hours) that are shown as replicates. Only human ma</w:t>
      </w:r>
      <w:r w:rsidR="00AD6700" w:rsidRPr="00060D82">
        <w:rPr>
          <w:rFonts w:ascii="Arial" w:hAnsi="Arial" w:cs="Arial"/>
        </w:rPr>
        <w:t>r</w:t>
      </w:r>
      <w:r w:rsidR="0063618C" w:rsidRPr="00060D82">
        <w:rPr>
          <w:rFonts w:ascii="Arial" w:hAnsi="Arial" w:cs="Arial"/>
        </w:rPr>
        <w:t>kers were considered for the analyses and no missing values were allowed. PC = principal component; % = percentage variance explained by each component as well as the cumulative variance explained.</w:t>
      </w:r>
      <w:r w:rsidR="0063618C" w:rsidRPr="00060D82">
        <w:rPr>
          <w:rFonts w:ascii="Arial" w:hAnsi="Arial" w:cs="Arial"/>
        </w:rPr>
        <w:br w:type="page"/>
      </w:r>
    </w:p>
    <w:p w14:paraId="57BA66E8" w14:textId="6702B79C" w:rsidR="00F947B3" w:rsidRPr="00060D82" w:rsidRDefault="0081452D" w:rsidP="00F947B3">
      <w:pPr>
        <w:spacing w:after="0" w:line="276" w:lineRule="auto"/>
        <w:rPr>
          <w:rFonts w:ascii="Arial" w:eastAsia="+mn-ea" w:hAnsi="Arial" w:cs="Arial"/>
          <w:b/>
          <w:bCs/>
          <w:kern w:val="24"/>
        </w:rPr>
      </w:pPr>
      <w:r>
        <w:rPr>
          <w:rFonts w:ascii="Arial" w:hAnsi="Arial" w:cs="Arial"/>
          <w:noProof/>
        </w:rPr>
        <w:lastRenderedPageBreak/>
        <w:drawing>
          <wp:inline distT="0" distB="0" distL="0" distR="0" wp14:anchorId="10E1634B" wp14:editId="3719774E">
            <wp:extent cx="5943600" cy="5191125"/>
            <wp:effectExtent l="0" t="0" r="0" b="9525"/>
            <wp:docPr id="1" name="Picture 1" descr="\\flynn-cifs\prot_proteomics\LabMembers\FIL\21041021_WHIMS\BKM120\BKM_Manus\BKM_Figures\FIG4_1smplttest_PD-markers\PD_psites_SMALL_C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ynn-cifs\prot_proteomics\LabMembers\FIL\21041021_WHIMS\BKM120\BKM_Manus\BKM_Figures\FIG4_1smplttest_PD-markers\PD_psites_SMALL_CAP.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5191125"/>
                    </a:xfrm>
                    <a:prstGeom prst="rect">
                      <a:avLst/>
                    </a:prstGeom>
                    <a:noFill/>
                    <a:ln>
                      <a:noFill/>
                    </a:ln>
                  </pic:spPr>
                </pic:pic>
              </a:graphicData>
            </a:graphic>
          </wp:inline>
        </w:drawing>
      </w:r>
      <w:bookmarkStart w:id="0" w:name="_GoBack"/>
      <w:bookmarkEnd w:id="0"/>
    </w:p>
    <w:p w14:paraId="311A4449" w14:textId="6AA9AA7B" w:rsidR="00F947B3" w:rsidRPr="00060D82" w:rsidRDefault="00F947B3" w:rsidP="00F947B3">
      <w:pPr>
        <w:spacing w:after="0" w:line="276" w:lineRule="auto"/>
        <w:rPr>
          <w:rFonts w:ascii="Arial" w:eastAsia="Times New Roman" w:hAnsi="Arial" w:cs="Arial"/>
        </w:rPr>
      </w:pPr>
      <w:r w:rsidRPr="00060D82">
        <w:rPr>
          <w:rFonts w:ascii="Arial" w:eastAsia="+mn-ea" w:hAnsi="Arial" w:cs="Arial"/>
          <w:b/>
          <w:bCs/>
          <w:kern w:val="24"/>
        </w:rPr>
        <w:t xml:space="preserve">Supplementary Figure </w:t>
      </w:r>
      <w:r w:rsidR="005E69FA">
        <w:rPr>
          <w:rFonts w:ascii="Arial" w:eastAsia="+mn-ea" w:hAnsi="Arial" w:cs="Arial"/>
          <w:b/>
          <w:bCs/>
          <w:kern w:val="24"/>
        </w:rPr>
        <w:t>3</w:t>
      </w:r>
      <w:r w:rsidRPr="00060D82">
        <w:rPr>
          <w:rFonts w:ascii="Arial" w:eastAsia="+mn-ea" w:hAnsi="Arial" w:cs="Arial"/>
          <w:b/>
          <w:bCs/>
          <w:kern w:val="24"/>
        </w:rPr>
        <w:t>. Known and new pharmacodynamic phosphosites</w:t>
      </w:r>
      <w:r w:rsidRPr="00060D82">
        <w:rPr>
          <w:rFonts w:ascii="Arial" w:eastAsia="+mn-ea" w:hAnsi="Arial" w:cs="Arial"/>
          <w:kern w:val="24"/>
        </w:rPr>
        <w:t>. Pharmacodynamically</w:t>
      </w:r>
      <w:r w:rsidR="003C5C7C" w:rsidRPr="00060D82">
        <w:rPr>
          <w:rFonts w:ascii="Arial" w:eastAsia="+mn-ea" w:hAnsi="Arial" w:cs="Arial"/>
          <w:kern w:val="24"/>
        </w:rPr>
        <w:t>-</w:t>
      </w:r>
      <w:r w:rsidRPr="00060D82">
        <w:rPr>
          <w:rFonts w:ascii="Arial" w:eastAsia="+mn-ea" w:hAnsi="Arial" w:cs="Arial"/>
          <w:kern w:val="24"/>
        </w:rPr>
        <w:t xml:space="preserve">regulated phosphopeptides across all six WHIM tumors include </w:t>
      </w:r>
      <w:r w:rsidRPr="00060D82">
        <w:rPr>
          <w:rFonts w:ascii="Arial" w:eastAsia="+mn-ea" w:hAnsi="Arial" w:cs="Arial"/>
          <w:b/>
          <w:bCs/>
          <w:kern w:val="24"/>
        </w:rPr>
        <w:t>A</w:t>
      </w:r>
      <w:r w:rsidRPr="00060D82">
        <w:rPr>
          <w:rFonts w:ascii="Arial" w:eastAsia="+mn-ea" w:hAnsi="Arial" w:cs="Arial"/>
          <w:kern w:val="24"/>
        </w:rPr>
        <w:t xml:space="preserve">, AKT1S1. The T246 site on AKT1S1 is well known to be regulated by AKT; its phosphorylation is lost after buparlisib treatment in our study. </w:t>
      </w:r>
      <w:r w:rsidRPr="00060D82">
        <w:rPr>
          <w:rFonts w:ascii="Arial" w:eastAsia="+mn-ea" w:hAnsi="Arial" w:cs="Arial"/>
          <w:b/>
          <w:bCs/>
          <w:kern w:val="24"/>
        </w:rPr>
        <w:t>B</w:t>
      </w:r>
      <w:r w:rsidRPr="00060D82">
        <w:rPr>
          <w:rFonts w:ascii="Arial" w:eastAsia="+mn-ea" w:hAnsi="Arial" w:cs="Arial"/>
          <w:kern w:val="24"/>
        </w:rPr>
        <w:t xml:space="preserve">, EIF4BP1, and </w:t>
      </w:r>
      <w:r w:rsidRPr="00060D82">
        <w:rPr>
          <w:rFonts w:ascii="Arial" w:eastAsia="+mn-ea" w:hAnsi="Arial" w:cs="Arial"/>
          <w:b/>
          <w:bCs/>
          <w:kern w:val="24"/>
        </w:rPr>
        <w:t>C</w:t>
      </w:r>
      <w:r w:rsidRPr="00060D82">
        <w:rPr>
          <w:rFonts w:ascii="Arial" w:eastAsia="+mn-ea" w:hAnsi="Arial" w:cs="Arial"/>
          <w:kern w:val="24"/>
        </w:rPr>
        <w:t xml:space="preserve">, RPS6KB1, both central to PI3K signaling. </w:t>
      </w:r>
      <w:r w:rsidRPr="00060D82">
        <w:rPr>
          <w:rFonts w:ascii="Arial" w:eastAsia="+mn-ea" w:hAnsi="Arial" w:cs="Arial"/>
          <w:b/>
          <w:bCs/>
          <w:kern w:val="24"/>
        </w:rPr>
        <w:t>D</w:t>
      </w:r>
      <w:r w:rsidRPr="00060D82">
        <w:rPr>
          <w:rFonts w:ascii="Arial" w:eastAsia="+mn-ea" w:hAnsi="Arial" w:cs="Arial"/>
          <w:kern w:val="24"/>
        </w:rPr>
        <w:t xml:space="preserve">, BABAM1, and </w:t>
      </w:r>
      <w:r w:rsidRPr="00060D82">
        <w:rPr>
          <w:rFonts w:ascii="Arial" w:eastAsia="+mn-ea" w:hAnsi="Arial" w:cs="Arial"/>
          <w:b/>
          <w:bCs/>
          <w:kern w:val="24"/>
        </w:rPr>
        <w:t>E</w:t>
      </w:r>
      <w:r w:rsidRPr="00060D82">
        <w:rPr>
          <w:rFonts w:ascii="Arial" w:eastAsia="+mn-ea" w:hAnsi="Arial" w:cs="Arial"/>
          <w:kern w:val="24"/>
        </w:rPr>
        <w:t xml:space="preserve">, PKMYT1, both associated with PLK1 signaling. </w:t>
      </w:r>
      <w:r w:rsidRPr="00060D82">
        <w:rPr>
          <w:rFonts w:ascii="Arial" w:eastAsia="+mn-ea" w:hAnsi="Arial" w:cs="Arial"/>
          <w:b/>
          <w:bCs/>
          <w:kern w:val="24"/>
        </w:rPr>
        <w:t>F</w:t>
      </w:r>
      <w:r w:rsidRPr="00060D82">
        <w:rPr>
          <w:rFonts w:ascii="Arial" w:eastAsia="+mn-ea" w:hAnsi="Arial" w:cs="Arial"/>
          <w:kern w:val="24"/>
        </w:rPr>
        <w:t xml:space="preserve">, Ki-67, one of the most regulated pharmacodynamic markers in our study. Probability values are based on one-sample moderated t-tests, and adjusted by the </w:t>
      </w:r>
      <w:proofErr w:type="spellStart"/>
      <w:r w:rsidRPr="00060D82">
        <w:rPr>
          <w:rFonts w:ascii="Arial" w:eastAsia="+mn-ea" w:hAnsi="Arial" w:cs="Arial"/>
          <w:kern w:val="24"/>
        </w:rPr>
        <w:t>Benjamini</w:t>
      </w:r>
      <w:proofErr w:type="spellEnd"/>
      <w:r w:rsidRPr="00060D82">
        <w:rPr>
          <w:rFonts w:ascii="Arial" w:eastAsia="+mn-ea" w:hAnsi="Arial" w:cs="Arial"/>
          <w:kern w:val="24"/>
        </w:rPr>
        <w:t>-Hochberg method. *AKT1S1 shows sites with an adjusted p-value ≤ 0.2. **Six selected sites are shown as representatives for Ki-67.</w:t>
      </w:r>
    </w:p>
    <w:p w14:paraId="4017CBBC" w14:textId="6BEFB27A" w:rsidR="00F947B3" w:rsidRPr="00060D82" w:rsidRDefault="00F947B3">
      <w:pPr>
        <w:rPr>
          <w:rFonts w:ascii="Arial" w:hAnsi="Arial" w:cs="Arial"/>
        </w:rPr>
      </w:pPr>
      <w:r w:rsidRPr="00060D82">
        <w:rPr>
          <w:rFonts w:ascii="Arial" w:hAnsi="Arial" w:cs="Arial"/>
        </w:rPr>
        <w:br w:type="page"/>
      </w:r>
    </w:p>
    <w:p w14:paraId="659EE196" w14:textId="77777777" w:rsidR="00F947B3" w:rsidRPr="00060D82" w:rsidRDefault="00F947B3" w:rsidP="00174317">
      <w:pPr>
        <w:spacing w:line="276" w:lineRule="auto"/>
        <w:rPr>
          <w:rFonts w:ascii="Arial" w:hAnsi="Arial" w:cs="Arial"/>
        </w:rPr>
      </w:pPr>
    </w:p>
    <w:p w14:paraId="1A78530B" w14:textId="0DA509AD" w:rsidR="00156D0C" w:rsidRPr="00060D82" w:rsidRDefault="00074F75" w:rsidP="00174317">
      <w:pPr>
        <w:spacing w:line="276" w:lineRule="auto"/>
        <w:rPr>
          <w:rFonts w:ascii="Arial" w:hAnsi="Arial" w:cs="Arial"/>
          <w:b/>
          <w:bCs/>
        </w:rPr>
      </w:pPr>
      <w:r w:rsidRPr="00060D82">
        <w:rPr>
          <w:rFonts w:ascii="Arial" w:hAnsi="Arial" w:cs="Arial"/>
          <w:b/>
          <w:bCs/>
          <w:noProof/>
        </w:rPr>
        <w:drawing>
          <wp:inline distT="0" distB="0" distL="0" distR="0" wp14:anchorId="47F2CCDB" wp14:editId="791EB5A6">
            <wp:extent cx="4591050" cy="6290622"/>
            <wp:effectExtent l="0" t="0" r="0" b="0"/>
            <wp:docPr id="4" name="Picture 4" descr="\\flynn-cifs\prot_proteomics\LabMembers\FIL\21041021_WHIMS\BKM120\BKM_Manus\Supplementary-FIGs&amp;Files\FIG_QC&amp;Supplement\RPPA_SUPP\pi3k pathway change6_matched Broad replicates-ALL_new-names_IH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ynn-cifs\prot_proteomics\LabMembers\FIL\21041021_WHIMS\BKM120\BKM_Manus\Supplementary-FIGs&amp;Files\FIG_QC&amp;Supplement\RPPA_SUPP\pi3k pathway change6_matched Broad replicates-ALL_new-names_IHC.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96723" cy="6298395"/>
                    </a:xfrm>
                    <a:prstGeom prst="rect">
                      <a:avLst/>
                    </a:prstGeom>
                    <a:noFill/>
                    <a:ln>
                      <a:noFill/>
                    </a:ln>
                  </pic:spPr>
                </pic:pic>
              </a:graphicData>
            </a:graphic>
          </wp:inline>
        </w:drawing>
      </w:r>
    </w:p>
    <w:p w14:paraId="1B28F52F" w14:textId="7430EDF7" w:rsidR="0063618C" w:rsidRPr="00060D82" w:rsidRDefault="00D87989" w:rsidP="00174317">
      <w:pPr>
        <w:spacing w:line="276" w:lineRule="auto"/>
        <w:rPr>
          <w:rFonts w:ascii="Arial" w:hAnsi="Arial" w:cs="Arial"/>
        </w:rPr>
      </w:pPr>
      <w:r w:rsidRPr="00060D82">
        <w:rPr>
          <w:rFonts w:ascii="Arial" w:hAnsi="Arial" w:cs="Arial"/>
          <w:b/>
          <w:bCs/>
        </w:rPr>
        <w:t xml:space="preserve">Supplementary figure </w:t>
      </w:r>
      <w:r w:rsidR="005E69FA">
        <w:rPr>
          <w:rFonts w:ascii="Arial" w:hAnsi="Arial" w:cs="Arial"/>
          <w:b/>
          <w:bCs/>
        </w:rPr>
        <w:t>4</w:t>
      </w:r>
      <w:r w:rsidRPr="00060D82">
        <w:rPr>
          <w:rFonts w:ascii="Arial" w:hAnsi="Arial" w:cs="Arial"/>
          <w:b/>
          <w:bCs/>
        </w:rPr>
        <w:t xml:space="preserve">. RPPA </w:t>
      </w:r>
      <w:r w:rsidR="00F650BC" w:rsidRPr="00060D82">
        <w:rPr>
          <w:rFonts w:ascii="Arial" w:hAnsi="Arial" w:cs="Arial"/>
          <w:b/>
          <w:bCs/>
        </w:rPr>
        <w:t>of selected markers</w:t>
      </w:r>
      <w:r w:rsidRPr="00060D82">
        <w:rPr>
          <w:rFonts w:ascii="Arial" w:hAnsi="Arial" w:cs="Arial"/>
          <w:b/>
          <w:bCs/>
        </w:rPr>
        <w:t xml:space="preserve"> and representative </w:t>
      </w:r>
      <w:r w:rsidR="00F650BC" w:rsidRPr="00060D82">
        <w:rPr>
          <w:rFonts w:ascii="Arial" w:hAnsi="Arial" w:cs="Arial"/>
          <w:b/>
          <w:bCs/>
        </w:rPr>
        <w:t>images</w:t>
      </w:r>
      <w:r w:rsidR="00C26152" w:rsidRPr="00060D82">
        <w:rPr>
          <w:rFonts w:ascii="Arial" w:hAnsi="Arial" w:cs="Arial"/>
          <w:b/>
          <w:bCs/>
        </w:rPr>
        <w:t xml:space="preserve"> of immunohistochemistry</w:t>
      </w:r>
      <w:r w:rsidRPr="00060D82">
        <w:rPr>
          <w:rFonts w:ascii="Arial" w:hAnsi="Arial" w:cs="Arial"/>
          <w:b/>
          <w:bCs/>
        </w:rPr>
        <w:t xml:space="preserve"> of </w:t>
      </w:r>
      <w:proofErr w:type="spellStart"/>
      <w:r w:rsidRPr="00060D82">
        <w:rPr>
          <w:rFonts w:ascii="Arial" w:hAnsi="Arial" w:cs="Arial"/>
          <w:b/>
          <w:bCs/>
        </w:rPr>
        <w:t>pAKT</w:t>
      </w:r>
      <w:proofErr w:type="spellEnd"/>
      <w:r w:rsidRPr="00060D82">
        <w:rPr>
          <w:rFonts w:ascii="Arial" w:hAnsi="Arial" w:cs="Arial"/>
          <w:b/>
          <w:bCs/>
        </w:rPr>
        <w:t xml:space="preserve"> (S473) on TNBC PDX models post</w:t>
      </w:r>
      <w:r w:rsidR="003C5C7C" w:rsidRPr="00060D82">
        <w:rPr>
          <w:rFonts w:ascii="Arial" w:hAnsi="Arial" w:cs="Arial"/>
          <w:b/>
          <w:bCs/>
        </w:rPr>
        <w:t>-</w:t>
      </w:r>
      <w:r w:rsidRPr="00060D82">
        <w:rPr>
          <w:rFonts w:ascii="Arial" w:hAnsi="Arial" w:cs="Arial"/>
          <w:b/>
          <w:bCs/>
        </w:rPr>
        <w:t xml:space="preserve">treatment with buparlisib or </w:t>
      </w:r>
      <w:r w:rsidR="00F650BC" w:rsidRPr="00060D82">
        <w:rPr>
          <w:rFonts w:ascii="Arial" w:hAnsi="Arial" w:cs="Arial"/>
          <w:b/>
          <w:bCs/>
        </w:rPr>
        <w:t>vehicle</w:t>
      </w:r>
      <w:r w:rsidRPr="00060D82">
        <w:rPr>
          <w:rFonts w:ascii="Arial" w:hAnsi="Arial" w:cs="Arial"/>
          <w:b/>
          <w:bCs/>
        </w:rPr>
        <w:t xml:space="preserve">. </w:t>
      </w:r>
      <w:r w:rsidR="00C637FE" w:rsidRPr="00060D82">
        <w:rPr>
          <w:rFonts w:ascii="Arial" w:hAnsi="Arial" w:cs="Arial"/>
          <w:b/>
          <w:bCs/>
        </w:rPr>
        <w:t>A</w:t>
      </w:r>
      <w:r w:rsidRPr="00060D82">
        <w:rPr>
          <w:rFonts w:ascii="Arial" w:hAnsi="Arial" w:cs="Arial"/>
        </w:rPr>
        <w:t xml:space="preserve">, vehicle treatment for all WHIM tumors show a strong baseline difference of selected PI3K members </w:t>
      </w:r>
      <w:r w:rsidR="00FE2569" w:rsidRPr="00060D82">
        <w:rPr>
          <w:rFonts w:ascii="Arial" w:hAnsi="Arial" w:cs="Arial"/>
        </w:rPr>
        <w:t xml:space="preserve">in </w:t>
      </w:r>
      <w:r w:rsidRPr="00060D82">
        <w:rPr>
          <w:rFonts w:ascii="Arial" w:hAnsi="Arial" w:cs="Arial"/>
        </w:rPr>
        <w:t xml:space="preserve">the RPPA assay. </w:t>
      </w:r>
      <w:r w:rsidR="00C637FE" w:rsidRPr="00060D82">
        <w:rPr>
          <w:rFonts w:ascii="Arial" w:hAnsi="Arial" w:cs="Arial"/>
          <w:b/>
          <w:bCs/>
        </w:rPr>
        <w:t>B</w:t>
      </w:r>
      <w:r w:rsidRPr="00060D82">
        <w:rPr>
          <w:rFonts w:ascii="Arial" w:hAnsi="Arial" w:cs="Arial"/>
          <w:b/>
          <w:bCs/>
        </w:rPr>
        <w:t xml:space="preserve">, </w:t>
      </w:r>
      <w:r w:rsidRPr="00060D82">
        <w:rPr>
          <w:rFonts w:ascii="Arial" w:hAnsi="Arial" w:cs="Arial"/>
        </w:rPr>
        <w:t xml:space="preserve">buparlisib treatment reduced the levels of </w:t>
      </w:r>
      <w:proofErr w:type="spellStart"/>
      <w:r w:rsidRPr="00060D82">
        <w:rPr>
          <w:rFonts w:ascii="Arial" w:hAnsi="Arial" w:cs="Arial"/>
        </w:rPr>
        <w:t>pAKT</w:t>
      </w:r>
      <w:proofErr w:type="spellEnd"/>
      <w:r w:rsidRPr="00060D82">
        <w:rPr>
          <w:rFonts w:ascii="Arial" w:hAnsi="Arial" w:cs="Arial"/>
        </w:rPr>
        <w:t xml:space="preserve"> (S473) as e</w:t>
      </w:r>
      <w:r w:rsidR="00517210" w:rsidRPr="00060D82">
        <w:rPr>
          <w:rFonts w:ascii="Arial" w:hAnsi="Arial" w:cs="Arial"/>
        </w:rPr>
        <w:t xml:space="preserve">arly as 2 hours </w:t>
      </w:r>
      <w:r w:rsidR="00985336" w:rsidRPr="00060D82">
        <w:rPr>
          <w:rFonts w:ascii="Arial" w:hAnsi="Arial" w:cs="Arial"/>
        </w:rPr>
        <w:t xml:space="preserve">after </w:t>
      </w:r>
      <w:r w:rsidR="00517210" w:rsidRPr="00060D82">
        <w:rPr>
          <w:rFonts w:ascii="Arial" w:hAnsi="Arial" w:cs="Arial"/>
        </w:rPr>
        <w:t xml:space="preserve">one dose of buparlisib treatment. </w:t>
      </w:r>
      <w:proofErr w:type="spellStart"/>
      <w:proofErr w:type="gramStart"/>
      <w:r w:rsidRPr="00060D82">
        <w:rPr>
          <w:rFonts w:ascii="Arial" w:hAnsi="Arial" w:cs="Arial"/>
        </w:rPr>
        <w:t>pAKT</w:t>
      </w:r>
      <w:proofErr w:type="spellEnd"/>
      <w:proofErr w:type="gramEnd"/>
      <w:r w:rsidRPr="00060D82">
        <w:rPr>
          <w:rFonts w:ascii="Arial" w:hAnsi="Arial" w:cs="Arial"/>
        </w:rPr>
        <w:t xml:space="preserve"> level remained suppressed </w:t>
      </w:r>
      <w:r w:rsidR="00985336" w:rsidRPr="00060D82">
        <w:rPr>
          <w:rFonts w:ascii="Arial" w:hAnsi="Arial" w:cs="Arial"/>
        </w:rPr>
        <w:t xml:space="preserve">after </w:t>
      </w:r>
      <w:r w:rsidRPr="00060D82">
        <w:rPr>
          <w:rFonts w:ascii="Arial" w:hAnsi="Arial" w:cs="Arial"/>
        </w:rPr>
        <w:t xml:space="preserve">3 days of buparlisib, but recovered to baseline </w:t>
      </w:r>
      <w:r w:rsidR="00985336" w:rsidRPr="00060D82">
        <w:rPr>
          <w:rFonts w:ascii="Arial" w:hAnsi="Arial" w:cs="Arial"/>
        </w:rPr>
        <w:t xml:space="preserve">after </w:t>
      </w:r>
      <w:r w:rsidR="00517210" w:rsidRPr="00060D82">
        <w:rPr>
          <w:rFonts w:ascii="Arial" w:hAnsi="Arial" w:cs="Arial"/>
        </w:rPr>
        <w:t>one</w:t>
      </w:r>
      <w:r w:rsidRPr="00060D82">
        <w:rPr>
          <w:rFonts w:ascii="Arial" w:hAnsi="Arial" w:cs="Arial"/>
        </w:rPr>
        <w:t xml:space="preserve"> day washout.  Note the presence of residual </w:t>
      </w:r>
      <w:proofErr w:type="spellStart"/>
      <w:r w:rsidRPr="00060D82">
        <w:rPr>
          <w:rFonts w:ascii="Arial" w:hAnsi="Arial" w:cs="Arial"/>
        </w:rPr>
        <w:t>pAKT</w:t>
      </w:r>
      <w:proofErr w:type="spellEnd"/>
      <w:r w:rsidRPr="00060D82">
        <w:rPr>
          <w:rFonts w:ascii="Arial" w:hAnsi="Arial" w:cs="Arial"/>
        </w:rPr>
        <w:t xml:space="preserve"> level post treatment with buparlisib in WHIM12 and WHIM6 compared to other PDX models.</w:t>
      </w:r>
    </w:p>
    <w:p w14:paraId="0D52CA31" w14:textId="159E09A9" w:rsidR="00C353E7" w:rsidRPr="00060D82" w:rsidRDefault="00B573B5" w:rsidP="00174317">
      <w:pPr>
        <w:spacing w:line="276" w:lineRule="auto"/>
        <w:rPr>
          <w:rFonts w:ascii="Arial" w:hAnsi="Arial" w:cs="Arial"/>
          <w:bCs/>
        </w:rPr>
      </w:pPr>
      <w:r w:rsidRPr="00060D82">
        <w:rPr>
          <w:rFonts w:ascii="Arial" w:hAnsi="Arial" w:cs="Arial"/>
          <w:b/>
          <w:bCs/>
          <w:noProof/>
        </w:rPr>
        <w:lastRenderedPageBreak/>
        <w:drawing>
          <wp:inline distT="0" distB="0" distL="0" distR="0" wp14:anchorId="0EE86F7A" wp14:editId="5FBC1BA7">
            <wp:extent cx="6108700" cy="4121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8700" cy="4121150"/>
                    </a:xfrm>
                    <a:prstGeom prst="rect">
                      <a:avLst/>
                    </a:prstGeom>
                    <a:noFill/>
                  </pic:spPr>
                </pic:pic>
              </a:graphicData>
            </a:graphic>
          </wp:inline>
        </w:drawing>
      </w:r>
      <w:r w:rsidR="00C26152" w:rsidRPr="00060D82">
        <w:rPr>
          <w:rFonts w:ascii="Arial" w:hAnsi="Arial" w:cs="Arial"/>
          <w:b/>
          <w:bCs/>
        </w:rPr>
        <w:t xml:space="preserve"> </w:t>
      </w:r>
      <w:r w:rsidR="0063618C" w:rsidRPr="00060D82">
        <w:rPr>
          <w:rFonts w:ascii="Arial" w:hAnsi="Arial" w:cs="Arial"/>
          <w:b/>
          <w:bCs/>
        </w:rPr>
        <w:t>Supplementary figur</w:t>
      </w:r>
      <w:r w:rsidR="005E69FA">
        <w:rPr>
          <w:rFonts w:ascii="Arial" w:hAnsi="Arial" w:cs="Arial"/>
          <w:b/>
          <w:bCs/>
        </w:rPr>
        <w:t>e 5</w:t>
      </w:r>
      <w:r w:rsidR="005B6460" w:rsidRPr="00060D82">
        <w:rPr>
          <w:rFonts w:ascii="Arial" w:hAnsi="Arial" w:cs="Arial"/>
          <w:b/>
          <w:bCs/>
        </w:rPr>
        <w:t>. Predicted PEST motifs of Ki-</w:t>
      </w:r>
      <w:r w:rsidR="0063618C" w:rsidRPr="00060D82">
        <w:rPr>
          <w:rFonts w:ascii="Arial" w:hAnsi="Arial" w:cs="Arial"/>
          <w:b/>
          <w:bCs/>
        </w:rPr>
        <w:t xml:space="preserve">67 and significant phosphosites after </w:t>
      </w:r>
      <w:r w:rsidR="00441DEC" w:rsidRPr="00060D82">
        <w:rPr>
          <w:rFonts w:ascii="Arial" w:hAnsi="Arial" w:cs="Arial"/>
          <w:b/>
          <w:bCs/>
        </w:rPr>
        <w:t>b</w:t>
      </w:r>
      <w:r w:rsidR="0063618C" w:rsidRPr="00060D82">
        <w:rPr>
          <w:rFonts w:ascii="Arial" w:hAnsi="Arial" w:cs="Arial"/>
          <w:b/>
          <w:bCs/>
        </w:rPr>
        <w:t xml:space="preserve">uparlisib treatment across all WHIM tumors. </w:t>
      </w:r>
      <w:r w:rsidR="00C637FE" w:rsidRPr="00060D82">
        <w:rPr>
          <w:rFonts w:ascii="Arial" w:hAnsi="Arial" w:cs="Arial"/>
          <w:b/>
          <w:bCs/>
        </w:rPr>
        <w:t>A</w:t>
      </w:r>
      <w:r w:rsidR="0063618C" w:rsidRPr="00060D82">
        <w:rPr>
          <w:rFonts w:ascii="Arial" w:hAnsi="Arial" w:cs="Arial"/>
          <w:b/>
          <w:bCs/>
        </w:rPr>
        <w:t xml:space="preserve">, </w:t>
      </w:r>
      <w:r w:rsidR="005B6460" w:rsidRPr="00060D82">
        <w:rPr>
          <w:rFonts w:ascii="Arial" w:hAnsi="Arial" w:cs="Arial"/>
          <w:bCs/>
        </w:rPr>
        <w:t>heat map of all Ki-</w:t>
      </w:r>
      <w:r w:rsidR="0063618C" w:rsidRPr="00060D82">
        <w:rPr>
          <w:rFonts w:ascii="Arial" w:hAnsi="Arial" w:cs="Arial"/>
          <w:bCs/>
        </w:rPr>
        <w:t xml:space="preserve">67 sites quantified in the global phosphoproteome across all WHIMS. Out of its 106 identified phosphopeptides, 39 had significantly increased phosphorylation with an adjusted p-value ≤ 0.1 after 2 hours buparlisib treatment, with two sites being significantly increased after 50 hours treatment. Significance at the 50 </w:t>
      </w:r>
      <w:proofErr w:type="spellStart"/>
      <w:r w:rsidR="0063618C" w:rsidRPr="00060D82">
        <w:rPr>
          <w:rFonts w:ascii="Arial" w:hAnsi="Arial" w:cs="Arial"/>
          <w:bCs/>
        </w:rPr>
        <w:t>hour</w:t>
      </w:r>
      <w:r w:rsidR="00985336" w:rsidRPr="00060D82">
        <w:rPr>
          <w:rFonts w:ascii="Arial" w:hAnsi="Arial" w:cs="Arial"/>
          <w:bCs/>
        </w:rPr>
        <w:t>s</w:t>
      </w:r>
      <w:r w:rsidR="0063618C" w:rsidRPr="00060D82">
        <w:rPr>
          <w:rFonts w:ascii="Arial" w:hAnsi="Arial" w:cs="Arial"/>
          <w:bCs/>
        </w:rPr>
        <w:t xml:space="preserve"> time</w:t>
      </w:r>
      <w:proofErr w:type="spellEnd"/>
      <w:r w:rsidR="0063618C" w:rsidRPr="00060D82">
        <w:rPr>
          <w:rFonts w:ascii="Arial" w:hAnsi="Arial" w:cs="Arial"/>
          <w:bCs/>
        </w:rPr>
        <w:t xml:space="preserve"> point seemed to be lost due to an opposite decreased overall phosphorylation in WHIM6, with all other tumors still exhibiting increased phosphorylation of multiple Ki-67 sites. </w:t>
      </w:r>
      <w:r w:rsidR="00C637FE" w:rsidRPr="00060D82">
        <w:rPr>
          <w:rFonts w:ascii="Arial" w:hAnsi="Arial" w:cs="Arial"/>
          <w:b/>
          <w:bCs/>
        </w:rPr>
        <w:t>B</w:t>
      </w:r>
      <w:r w:rsidR="0063618C" w:rsidRPr="00060D82">
        <w:rPr>
          <w:rFonts w:ascii="Arial" w:hAnsi="Arial" w:cs="Arial"/>
          <w:bCs/>
        </w:rPr>
        <w:t>, predicted PEST motif scores (http://emboss.bioinformatics.nl/cgi-bin/emboss/epestfind) are plotted on the y-axis acro</w:t>
      </w:r>
      <w:r w:rsidR="007F4C6F" w:rsidRPr="00060D82">
        <w:rPr>
          <w:rFonts w:ascii="Arial" w:hAnsi="Arial" w:cs="Arial"/>
          <w:bCs/>
        </w:rPr>
        <w:t>ss the amino acid sequence of Ki-</w:t>
      </w:r>
      <w:r w:rsidR="0063618C" w:rsidRPr="00060D82">
        <w:rPr>
          <w:rFonts w:ascii="Arial" w:hAnsi="Arial" w:cs="Arial"/>
          <w:bCs/>
        </w:rPr>
        <w:t>67. The majority of highly predicted PEST motifs (</w:t>
      </w:r>
      <w:r w:rsidR="007F4C6F" w:rsidRPr="00060D82">
        <w:rPr>
          <w:rFonts w:ascii="Arial" w:hAnsi="Arial" w:cs="Arial"/>
          <w:bCs/>
        </w:rPr>
        <w:t xml:space="preserve">≥ </w:t>
      </w:r>
      <w:r w:rsidR="0063618C" w:rsidRPr="00060D82">
        <w:rPr>
          <w:rFonts w:ascii="Arial" w:hAnsi="Arial" w:cs="Arial"/>
          <w:bCs/>
        </w:rPr>
        <w:t>5 PEST score; threshold) are found approx</w:t>
      </w:r>
      <w:r w:rsidR="000B3750" w:rsidRPr="00060D82">
        <w:rPr>
          <w:rFonts w:ascii="Arial" w:hAnsi="Arial" w:cs="Arial"/>
          <w:bCs/>
        </w:rPr>
        <w:t>. between amino acid</w:t>
      </w:r>
      <w:r w:rsidR="006C2A3A" w:rsidRPr="00060D82">
        <w:rPr>
          <w:rFonts w:ascii="Arial" w:hAnsi="Arial" w:cs="Arial"/>
          <w:bCs/>
        </w:rPr>
        <w:t>s</w:t>
      </w:r>
      <w:r w:rsidR="000B3750" w:rsidRPr="00060D82">
        <w:rPr>
          <w:rFonts w:ascii="Arial" w:hAnsi="Arial" w:cs="Arial"/>
          <w:bCs/>
        </w:rPr>
        <w:t xml:space="preserve"> 1,000 and 2,8</w:t>
      </w:r>
      <w:r w:rsidR="0063618C" w:rsidRPr="00060D82">
        <w:rPr>
          <w:rFonts w:ascii="Arial" w:hAnsi="Arial" w:cs="Arial"/>
          <w:bCs/>
        </w:rPr>
        <w:t>00 (green numbers and gr</w:t>
      </w:r>
      <w:r w:rsidR="00E92FAE" w:rsidRPr="00060D82">
        <w:rPr>
          <w:rFonts w:ascii="Arial" w:hAnsi="Arial" w:cs="Arial"/>
          <w:bCs/>
        </w:rPr>
        <w:t>een stretch on x-axis). Phospho</w:t>
      </w:r>
      <w:r w:rsidR="0063618C" w:rsidRPr="00060D82">
        <w:rPr>
          <w:rFonts w:ascii="Arial" w:hAnsi="Arial" w:cs="Arial"/>
          <w:bCs/>
        </w:rPr>
        <w:t xml:space="preserve">sites with an adjusted p-value (one sample moderated </w:t>
      </w:r>
      <w:r w:rsidR="0063618C" w:rsidRPr="00060D82">
        <w:rPr>
          <w:rFonts w:ascii="Arial" w:hAnsi="Arial" w:cs="Arial"/>
          <w:bCs/>
          <w:i/>
        </w:rPr>
        <w:t>t</w:t>
      </w:r>
      <w:r w:rsidR="00441DEC" w:rsidRPr="00060D82">
        <w:rPr>
          <w:rFonts w:ascii="Arial" w:hAnsi="Arial" w:cs="Arial"/>
          <w:bCs/>
        </w:rPr>
        <w:t>-test after b</w:t>
      </w:r>
      <w:r w:rsidR="0063618C" w:rsidRPr="00060D82">
        <w:rPr>
          <w:rFonts w:ascii="Arial" w:hAnsi="Arial" w:cs="Arial"/>
          <w:bCs/>
        </w:rPr>
        <w:t>uparlisib treatment) equal to or less than 0.1 are marked as triangles along the amino acid sequenc</w:t>
      </w:r>
      <w:r w:rsidR="00441DEC" w:rsidRPr="00060D82">
        <w:rPr>
          <w:rFonts w:ascii="Arial" w:hAnsi="Arial" w:cs="Arial"/>
          <w:bCs/>
        </w:rPr>
        <w:t>e. Yellow triangles = 2 hours b</w:t>
      </w:r>
      <w:r w:rsidR="0063618C" w:rsidRPr="00060D82">
        <w:rPr>
          <w:rFonts w:ascii="Arial" w:hAnsi="Arial" w:cs="Arial"/>
          <w:bCs/>
        </w:rPr>
        <w:t>uparlisib treatment normalized to vehicle cont</w:t>
      </w:r>
      <w:r w:rsidR="00441DEC" w:rsidRPr="00060D82">
        <w:rPr>
          <w:rFonts w:ascii="Arial" w:hAnsi="Arial" w:cs="Arial"/>
          <w:bCs/>
        </w:rPr>
        <w:t>rol; blue triangles = 50 hours b</w:t>
      </w:r>
      <w:r w:rsidR="0063618C" w:rsidRPr="00060D82">
        <w:rPr>
          <w:rFonts w:ascii="Arial" w:hAnsi="Arial" w:cs="Arial"/>
          <w:bCs/>
        </w:rPr>
        <w:t xml:space="preserve">uparlisib treatment normalized to vehicle control. </w:t>
      </w:r>
      <w:r w:rsidR="00C637FE" w:rsidRPr="00060D82">
        <w:rPr>
          <w:rFonts w:ascii="Arial" w:hAnsi="Arial" w:cs="Arial"/>
          <w:b/>
          <w:bCs/>
        </w:rPr>
        <w:t>C</w:t>
      </w:r>
      <w:r w:rsidR="00911E23" w:rsidRPr="00060D82">
        <w:rPr>
          <w:rFonts w:ascii="Arial" w:hAnsi="Arial" w:cs="Arial"/>
          <w:bCs/>
        </w:rPr>
        <w:t xml:space="preserve">, </w:t>
      </w:r>
      <w:proofErr w:type="spellStart"/>
      <w:r w:rsidR="00911E23" w:rsidRPr="00060D82">
        <w:rPr>
          <w:rFonts w:ascii="Arial" w:hAnsi="Arial" w:cs="Arial"/>
          <w:bCs/>
        </w:rPr>
        <w:t>hyperphosphorylation</w:t>
      </w:r>
      <w:proofErr w:type="spellEnd"/>
      <w:r w:rsidR="00911E23" w:rsidRPr="00060D82">
        <w:rPr>
          <w:rFonts w:ascii="Arial" w:hAnsi="Arial" w:cs="Arial"/>
          <w:bCs/>
        </w:rPr>
        <w:t xml:space="preserve"> of </w:t>
      </w:r>
      <w:r w:rsidR="00FE2569" w:rsidRPr="00060D82">
        <w:rPr>
          <w:rFonts w:ascii="Arial" w:hAnsi="Arial" w:cs="Arial"/>
          <w:bCs/>
        </w:rPr>
        <w:t xml:space="preserve">the </w:t>
      </w:r>
      <w:r w:rsidR="00911E23" w:rsidRPr="00060D82">
        <w:rPr>
          <w:rFonts w:ascii="Arial" w:hAnsi="Arial" w:cs="Arial"/>
          <w:bCs/>
        </w:rPr>
        <w:t>Ki-</w:t>
      </w:r>
      <w:r w:rsidR="0063618C" w:rsidRPr="00060D82">
        <w:rPr>
          <w:rFonts w:ascii="Arial" w:hAnsi="Arial" w:cs="Arial"/>
          <w:bCs/>
        </w:rPr>
        <w:t>67 PEST r</w:t>
      </w:r>
      <w:r w:rsidR="00911E23" w:rsidRPr="00060D82">
        <w:rPr>
          <w:rFonts w:ascii="Arial" w:hAnsi="Arial" w:cs="Arial"/>
          <w:bCs/>
        </w:rPr>
        <w:t xml:space="preserve">egion correlates with </w:t>
      </w:r>
      <w:r w:rsidR="00FE2569" w:rsidRPr="00060D82">
        <w:rPr>
          <w:rFonts w:ascii="Arial" w:hAnsi="Arial" w:cs="Arial"/>
          <w:bCs/>
        </w:rPr>
        <w:t xml:space="preserve">decreased </w:t>
      </w:r>
      <w:r w:rsidR="00911E23" w:rsidRPr="00060D82">
        <w:rPr>
          <w:rFonts w:ascii="Arial" w:hAnsi="Arial" w:cs="Arial"/>
          <w:bCs/>
        </w:rPr>
        <w:t>Ki-</w:t>
      </w:r>
      <w:r w:rsidR="0063618C" w:rsidRPr="00060D82">
        <w:rPr>
          <w:rFonts w:ascii="Arial" w:hAnsi="Arial" w:cs="Arial"/>
          <w:bCs/>
        </w:rPr>
        <w:t xml:space="preserve">67 protein </w:t>
      </w:r>
      <w:r w:rsidR="00FE2569" w:rsidRPr="00060D82">
        <w:rPr>
          <w:rFonts w:ascii="Arial" w:hAnsi="Arial" w:cs="Arial"/>
          <w:bCs/>
        </w:rPr>
        <w:t xml:space="preserve">abundance </w:t>
      </w:r>
      <w:r w:rsidR="0063618C" w:rsidRPr="00060D82">
        <w:rPr>
          <w:rFonts w:ascii="Arial" w:hAnsi="Arial" w:cs="Arial"/>
          <w:bCs/>
        </w:rPr>
        <w:t xml:space="preserve">(number of peptides/percentage sequence coverage). Probability values are based on a one-sample moderated </w:t>
      </w:r>
      <w:r w:rsidR="0063618C" w:rsidRPr="00060D82">
        <w:rPr>
          <w:rFonts w:ascii="Arial" w:hAnsi="Arial" w:cs="Arial"/>
          <w:bCs/>
          <w:i/>
        </w:rPr>
        <w:t>t</w:t>
      </w:r>
      <w:r w:rsidR="0063618C" w:rsidRPr="00060D82">
        <w:rPr>
          <w:rFonts w:ascii="Arial" w:hAnsi="Arial" w:cs="Arial"/>
          <w:bCs/>
        </w:rPr>
        <w:t xml:space="preserve">-tests, and adjusted by the </w:t>
      </w:r>
      <w:proofErr w:type="spellStart"/>
      <w:r w:rsidR="0063618C" w:rsidRPr="00060D82">
        <w:rPr>
          <w:rFonts w:ascii="Arial" w:hAnsi="Arial" w:cs="Arial"/>
          <w:bCs/>
        </w:rPr>
        <w:t>Benjamini</w:t>
      </w:r>
      <w:proofErr w:type="spellEnd"/>
      <w:r w:rsidR="0063618C" w:rsidRPr="00060D82">
        <w:rPr>
          <w:rFonts w:ascii="Arial" w:hAnsi="Arial" w:cs="Arial"/>
          <w:bCs/>
        </w:rPr>
        <w:t>-Hochberg method. W = WHIM.</w:t>
      </w:r>
    </w:p>
    <w:p w14:paraId="3C238388" w14:textId="77777777" w:rsidR="00C353E7" w:rsidRPr="00060D82" w:rsidRDefault="00C353E7">
      <w:pPr>
        <w:rPr>
          <w:rFonts w:ascii="Arial" w:hAnsi="Arial" w:cs="Arial"/>
          <w:bCs/>
        </w:rPr>
      </w:pPr>
      <w:r w:rsidRPr="00060D82">
        <w:rPr>
          <w:rFonts w:ascii="Arial" w:hAnsi="Arial" w:cs="Arial"/>
          <w:bCs/>
        </w:rPr>
        <w:br w:type="page"/>
      </w:r>
    </w:p>
    <w:p w14:paraId="776C3E2F" w14:textId="09E4BCE6" w:rsidR="00DC6E16" w:rsidRPr="00060D82" w:rsidRDefault="001E51FB">
      <w:pPr>
        <w:rPr>
          <w:rFonts w:ascii="Arial" w:hAnsi="Arial" w:cs="Arial"/>
          <w:bCs/>
        </w:rPr>
      </w:pPr>
      <w:r w:rsidRPr="00060D82">
        <w:rPr>
          <w:rFonts w:ascii="Arial" w:hAnsi="Arial" w:cs="Arial"/>
          <w:bCs/>
          <w:noProof/>
        </w:rPr>
        <w:lastRenderedPageBreak/>
        <w:drawing>
          <wp:inline distT="0" distB="0" distL="0" distR="0" wp14:anchorId="401EC5BD" wp14:editId="2FD1422E">
            <wp:extent cx="5943600" cy="4533900"/>
            <wp:effectExtent l="0" t="0" r="0" b="0"/>
            <wp:docPr id="15" name="Picture 15" descr="\\flynn-cifs\prot_proteomics\LabMembers\FIL\21041021_WHIMS\BKM120\BKM_Manus\Submissions\20170703_Cancer-Research\Re-submission\New-BKM-Figs\20171108_BKM_Proteome_Mani-norm_50h-WO_2smplttest_CMAP_clean_FIG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ynn-cifs\prot_proteomics\LabMembers\FIL\21041021_WHIMS\BKM120\BKM_Manus\Submissions\20170703_Cancer-Research\Re-submission\New-BKM-Figs\20171108_BKM_Proteome_Mani-norm_50h-WO_2smplttest_CMAP_clean_FIGS-1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533900"/>
                    </a:xfrm>
                    <a:prstGeom prst="rect">
                      <a:avLst/>
                    </a:prstGeom>
                    <a:noFill/>
                    <a:ln>
                      <a:noFill/>
                    </a:ln>
                  </pic:spPr>
                </pic:pic>
              </a:graphicData>
            </a:graphic>
          </wp:inline>
        </w:drawing>
      </w:r>
    </w:p>
    <w:p w14:paraId="56B0B169" w14:textId="2127E807" w:rsidR="00DC6E16" w:rsidRPr="00060D82" w:rsidRDefault="005E69FA">
      <w:pPr>
        <w:rPr>
          <w:rFonts w:ascii="Arial" w:hAnsi="Arial" w:cs="Arial"/>
          <w:bCs/>
        </w:rPr>
      </w:pPr>
      <w:r>
        <w:rPr>
          <w:rFonts w:ascii="Arial" w:hAnsi="Arial" w:cs="Arial"/>
          <w:b/>
          <w:bCs/>
        </w:rPr>
        <w:t>Supplementary figure 6</w:t>
      </w:r>
      <w:r w:rsidR="00DC6E16" w:rsidRPr="00060D82">
        <w:rPr>
          <w:rFonts w:ascii="Arial" w:hAnsi="Arial" w:cs="Arial"/>
          <w:b/>
          <w:bCs/>
        </w:rPr>
        <w:t>.</w:t>
      </w:r>
      <w:r w:rsidR="001E51FB" w:rsidRPr="00060D82">
        <w:rPr>
          <w:rFonts w:ascii="Arial" w:hAnsi="Arial" w:cs="Arial"/>
          <w:b/>
          <w:bCs/>
        </w:rPr>
        <w:t xml:space="preserve"> </w:t>
      </w:r>
      <w:proofErr w:type="spellStart"/>
      <w:r w:rsidR="001E51FB" w:rsidRPr="00060D82">
        <w:rPr>
          <w:rFonts w:ascii="Arial" w:hAnsi="Arial" w:cs="Arial"/>
          <w:b/>
          <w:bCs/>
        </w:rPr>
        <w:t>Connectivity</w:t>
      </w:r>
      <w:r w:rsidR="00B62B44" w:rsidRPr="00060D82">
        <w:rPr>
          <w:rFonts w:ascii="Arial" w:hAnsi="Arial" w:cs="Arial"/>
          <w:b/>
          <w:bCs/>
        </w:rPr>
        <w:t>M</w:t>
      </w:r>
      <w:r w:rsidR="001E51FB" w:rsidRPr="00060D82">
        <w:rPr>
          <w:rFonts w:ascii="Arial" w:hAnsi="Arial" w:cs="Arial"/>
          <w:b/>
          <w:bCs/>
        </w:rPr>
        <w:t>ap</w:t>
      </w:r>
      <w:proofErr w:type="spellEnd"/>
      <w:r w:rsidR="00B62B44" w:rsidRPr="00060D82">
        <w:rPr>
          <w:rFonts w:ascii="Arial" w:hAnsi="Arial" w:cs="Arial"/>
          <w:b/>
          <w:bCs/>
        </w:rPr>
        <w:t xml:space="preserve"> analyses. </w:t>
      </w:r>
      <w:r w:rsidR="00B62B44" w:rsidRPr="00060D82">
        <w:rPr>
          <w:rFonts w:ascii="Arial" w:hAnsi="Arial" w:cs="Arial"/>
          <w:bCs/>
        </w:rPr>
        <w:t>CMAP analyses</w:t>
      </w:r>
      <w:r w:rsidR="00405C54" w:rsidRPr="00060D82">
        <w:rPr>
          <w:rFonts w:ascii="Arial" w:hAnsi="Arial" w:cs="Arial"/>
          <w:bCs/>
        </w:rPr>
        <w:t xml:space="preserve"> (</w:t>
      </w:r>
      <w:r w:rsidR="00C81F2D" w:rsidRPr="00060D82">
        <w:rPr>
          <w:rFonts w:ascii="Arial" w:hAnsi="Arial" w:cs="Arial"/>
          <w:bCs/>
        </w:rPr>
        <w:t>https://clue.io/cmap</w:t>
      </w:r>
      <w:r w:rsidR="00405C54" w:rsidRPr="00060D82">
        <w:rPr>
          <w:rFonts w:ascii="Arial" w:hAnsi="Arial" w:cs="Arial"/>
          <w:bCs/>
        </w:rPr>
        <w:t>)</w:t>
      </w:r>
      <w:r w:rsidR="00B62B44" w:rsidRPr="00060D82">
        <w:rPr>
          <w:rFonts w:ascii="Arial" w:hAnsi="Arial" w:cs="Arial"/>
          <w:bCs/>
        </w:rPr>
        <w:t xml:space="preserve"> using the proteins that are relatively high in the sensitive tumors compared to the resistant tumors</w:t>
      </w:r>
      <w:r w:rsidR="0083614F" w:rsidRPr="00060D82">
        <w:rPr>
          <w:rFonts w:ascii="Arial" w:hAnsi="Arial" w:cs="Arial"/>
          <w:bCs/>
        </w:rPr>
        <w:t xml:space="preserve"> after buparlisib treatment (normalized to vehicle controls)</w:t>
      </w:r>
      <w:r w:rsidR="00B62B44" w:rsidRPr="00060D82">
        <w:rPr>
          <w:rFonts w:ascii="Arial" w:hAnsi="Arial" w:cs="Arial"/>
          <w:bCs/>
        </w:rPr>
        <w:t xml:space="preserve"> show a clear connection to treatments with PI3K and mTOR inhibitors (above the dotted line</w:t>
      </w:r>
      <w:r w:rsidR="00111A81" w:rsidRPr="00060D82">
        <w:rPr>
          <w:rFonts w:ascii="Arial" w:hAnsi="Arial" w:cs="Arial"/>
          <w:bCs/>
        </w:rPr>
        <w:t>)</w:t>
      </w:r>
      <w:r w:rsidR="00B62B44" w:rsidRPr="00060D82">
        <w:rPr>
          <w:rFonts w:ascii="Arial" w:hAnsi="Arial" w:cs="Arial"/>
          <w:bCs/>
        </w:rPr>
        <w:t>. In contrast, proteins that are relatively high in the resistant tumors compared to the sensitive tumors</w:t>
      </w:r>
      <w:r w:rsidR="0083614F" w:rsidRPr="00060D82">
        <w:rPr>
          <w:rFonts w:ascii="Arial" w:hAnsi="Arial" w:cs="Arial"/>
          <w:bCs/>
        </w:rPr>
        <w:t xml:space="preserve"> after buparlisib treatment (normalized to vehicle controls)</w:t>
      </w:r>
      <w:r w:rsidR="00B62B44" w:rsidRPr="00060D82">
        <w:rPr>
          <w:rFonts w:ascii="Arial" w:hAnsi="Arial" w:cs="Arial"/>
          <w:bCs/>
        </w:rPr>
        <w:t xml:space="preserve"> show similarities to a wide range of inhibitors (below the dotted line)</w:t>
      </w:r>
      <w:r w:rsidR="0083614F" w:rsidRPr="00060D82">
        <w:rPr>
          <w:rFonts w:ascii="Arial" w:hAnsi="Arial" w:cs="Arial"/>
          <w:bCs/>
        </w:rPr>
        <w:t xml:space="preserve">, possibly indicating a general </w:t>
      </w:r>
      <w:r w:rsidR="00E83205" w:rsidRPr="00060D82">
        <w:rPr>
          <w:rFonts w:ascii="Arial" w:hAnsi="Arial" w:cs="Arial"/>
          <w:bCs/>
        </w:rPr>
        <w:t xml:space="preserve">resistance </w:t>
      </w:r>
      <w:r w:rsidR="0083614F" w:rsidRPr="00060D82">
        <w:rPr>
          <w:rFonts w:ascii="Arial" w:hAnsi="Arial" w:cs="Arial"/>
          <w:bCs/>
        </w:rPr>
        <w:t>mechanism</w:t>
      </w:r>
      <w:r w:rsidR="00194587" w:rsidRPr="00060D82">
        <w:rPr>
          <w:rFonts w:ascii="Arial" w:hAnsi="Arial" w:cs="Arial"/>
          <w:bCs/>
        </w:rPr>
        <w:t xml:space="preserve"> or mechanisms.</w:t>
      </w:r>
    </w:p>
    <w:p w14:paraId="5392E24F" w14:textId="77777777" w:rsidR="00DC6E16" w:rsidRPr="00060D82" w:rsidRDefault="00DC6E16">
      <w:pPr>
        <w:rPr>
          <w:rFonts w:ascii="Arial" w:hAnsi="Arial" w:cs="Arial"/>
          <w:bCs/>
        </w:rPr>
      </w:pPr>
    </w:p>
    <w:p w14:paraId="10852DA5" w14:textId="0E9A7615" w:rsidR="00DC6E16" w:rsidRPr="00060D82" w:rsidRDefault="00DC6E16">
      <w:pPr>
        <w:rPr>
          <w:rFonts w:ascii="Arial" w:hAnsi="Arial" w:cs="Arial"/>
          <w:bCs/>
        </w:rPr>
      </w:pPr>
      <w:r w:rsidRPr="00060D82">
        <w:rPr>
          <w:rFonts w:ascii="Arial" w:hAnsi="Arial" w:cs="Arial"/>
          <w:bCs/>
        </w:rPr>
        <w:br w:type="page"/>
      </w:r>
    </w:p>
    <w:p w14:paraId="67391FAD" w14:textId="56799FD1" w:rsidR="00DC6E16" w:rsidRPr="00060D82" w:rsidRDefault="0081452D">
      <w:pPr>
        <w:rPr>
          <w:rFonts w:ascii="Arial" w:hAnsi="Arial" w:cs="Arial"/>
          <w:bCs/>
        </w:rPr>
      </w:pPr>
      <w:r>
        <w:rPr>
          <w:rFonts w:ascii="Arial" w:hAnsi="Arial" w:cs="Arial"/>
          <w:bCs/>
        </w:rPr>
        <w:lastRenderedPageBreak/>
        <w:pict w14:anchorId="288D4D24">
          <v:shape id="_x0000_i1026" type="#_x0000_t75" style="width:259.5pt;height:383.25pt">
            <v:imagedata r:id="rId10" o:title="20180102_BKM_WHIM12cellline-validation"/>
          </v:shape>
        </w:pict>
      </w:r>
    </w:p>
    <w:p w14:paraId="6765AADB" w14:textId="354A8F8C" w:rsidR="00DC6E16" w:rsidRPr="00060D82" w:rsidRDefault="00C26152" w:rsidP="00AA0599">
      <w:pPr>
        <w:spacing w:line="276" w:lineRule="auto"/>
        <w:rPr>
          <w:rFonts w:ascii="Arial" w:hAnsi="Arial" w:cs="Arial"/>
        </w:rPr>
      </w:pPr>
      <w:r w:rsidRPr="00060D82">
        <w:rPr>
          <w:rFonts w:ascii="Arial" w:hAnsi="Arial" w:cs="Arial"/>
          <w:b/>
          <w:bCs/>
        </w:rPr>
        <w:t xml:space="preserve">Supplementary figure </w:t>
      </w:r>
      <w:r w:rsidR="005E69FA">
        <w:rPr>
          <w:rFonts w:ascii="Arial" w:hAnsi="Arial" w:cs="Arial"/>
          <w:b/>
          <w:bCs/>
        </w:rPr>
        <w:t>7</w:t>
      </w:r>
      <w:r w:rsidRPr="00060D82">
        <w:rPr>
          <w:rFonts w:ascii="Arial" w:hAnsi="Arial" w:cs="Arial"/>
          <w:b/>
          <w:bCs/>
        </w:rPr>
        <w:t>. A WHIM12</w:t>
      </w:r>
      <w:r w:rsidR="00FE2569" w:rsidRPr="00060D82">
        <w:rPr>
          <w:rFonts w:ascii="Arial" w:hAnsi="Arial" w:cs="Arial"/>
          <w:b/>
          <w:bCs/>
        </w:rPr>
        <w:t>-</w:t>
      </w:r>
      <w:r w:rsidRPr="00060D82">
        <w:rPr>
          <w:rFonts w:ascii="Arial" w:hAnsi="Arial" w:cs="Arial"/>
          <w:b/>
          <w:bCs/>
        </w:rPr>
        <w:t>derived cell line resembles its parental tumor</w:t>
      </w:r>
      <w:r w:rsidR="00AA0599">
        <w:rPr>
          <w:rFonts w:ascii="Arial" w:hAnsi="Arial" w:cs="Arial"/>
          <w:b/>
          <w:bCs/>
        </w:rPr>
        <w:t xml:space="preserve"> and </w:t>
      </w:r>
      <w:r w:rsidR="00AA0599" w:rsidRPr="00060D82">
        <w:rPr>
          <w:rFonts w:ascii="Arial" w:hAnsi="Arial" w:cs="Arial"/>
          <w:b/>
          <w:bCs/>
        </w:rPr>
        <w:t>NEK9 and MAP2K4 knockdown increases sensitivity to PI3K inhibitors and to buparlisib in several triple nega</w:t>
      </w:r>
      <w:r w:rsidR="00AA0599">
        <w:rPr>
          <w:rFonts w:ascii="Arial" w:hAnsi="Arial" w:cs="Arial"/>
          <w:b/>
          <w:bCs/>
        </w:rPr>
        <w:t>tive breast cancer cell lines</w:t>
      </w:r>
      <w:r w:rsidRPr="00060D82">
        <w:rPr>
          <w:rFonts w:ascii="Arial" w:hAnsi="Arial" w:cs="Arial"/>
          <w:b/>
          <w:bCs/>
        </w:rPr>
        <w:t>.</w:t>
      </w:r>
      <w:r w:rsidRPr="00060D82">
        <w:rPr>
          <w:rFonts w:ascii="Arial" w:hAnsi="Arial" w:cs="Arial"/>
        </w:rPr>
        <w:t xml:space="preserve"> </w:t>
      </w:r>
      <w:r w:rsidR="00C637FE" w:rsidRPr="00060D82">
        <w:rPr>
          <w:rFonts w:ascii="Arial" w:hAnsi="Arial" w:cs="Arial"/>
          <w:b/>
          <w:bCs/>
        </w:rPr>
        <w:t>A</w:t>
      </w:r>
      <w:r w:rsidRPr="00060D82">
        <w:rPr>
          <w:rFonts w:ascii="Arial" w:hAnsi="Arial" w:cs="Arial"/>
          <w:b/>
          <w:bCs/>
        </w:rPr>
        <w:t>,</w:t>
      </w:r>
      <w:r w:rsidRPr="00060D82">
        <w:rPr>
          <w:rFonts w:ascii="Arial" w:hAnsi="Arial" w:cs="Arial"/>
        </w:rPr>
        <w:t xml:space="preserve"> a cell line derived from the most resistant PDX tumor (WHIM12) show</w:t>
      </w:r>
      <w:r w:rsidR="00FE2569" w:rsidRPr="00060D82">
        <w:rPr>
          <w:rFonts w:ascii="Arial" w:hAnsi="Arial" w:cs="Arial"/>
        </w:rPr>
        <w:t>s</w:t>
      </w:r>
      <w:r w:rsidRPr="00060D82">
        <w:rPr>
          <w:rFonts w:ascii="Arial" w:hAnsi="Arial" w:cs="Arial"/>
        </w:rPr>
        <w:t xml:space="preserve"> strong similarities to its parental origin. Single-shot MS of all tumors treated with vehicle control (VH) and cell line lysate show</w:t>
      </w:r>
      <w:r w:rsidR="00FE2569" w:rsidRPr="00060D82">
        <w:rPr>
          <w:rFonts w:ascii="Arial" w:hAnsi="Arial" w:cs="Arial"/>
        </w:rPr>
        <w:t>s</w:t>
      </w:r>
      <w:r w:rsidRPr="00060D82">
        <w:rPr>
          <w:rFonts w:ascii="Arial" w:hAnsi="Arial" w:cs="Arial"/>
        </w:rPr>
        <w:t xml:space="preserve"> high similarity between the WHIM12</w:t>
      </w:r>
      <w:r w:rsidR="00FE2569" w:rsidRPr="00060D82">
        <w:rPr>
          <w:rFonts w:ascii="Arial" w:hAnsi="Arial" w:cs="Arial"/>
        </w:rPr>
        <w:t>-</w:t>
      </w:r>
      <w:r w:rsidRPr="00060D82">
        <w:rPr>
          <w:rFonts w:ascii="Arial" w:hAnsi="Arial" w:cs="Arial"/>
        </w:rPr>
        <w:t>derived cell line and its parental tumor. However, cell line</w:t>
      </w:r>
      <w:r w:rsidR="00FE2569" w:rsidRPr="00060D82">
        <w:rPr>
          <w:rFonts w:ascii="Arial" w:hAnsi="Arial" w:cs="Arial"/>
        </w:rPr>
        <w:t>-</w:t>
      </w:r>
      <w:r w:rsidRPr="00060D82">
        <w:rPr>
          <w:rFonts w:ascii="Arial" w:hAnsi="Arial" w:cs="Arial"/>
        </w:rPr>
        <w:t xml:space="preserve">specific features are also evident in the second principal component. </w:t>
      </w:r>
      <w:r w:rsidR="00C637FE" w:rsidRPr="00060D82">
        <w:rPr>
          <w:rFonts w:ascii="Arial" w:hAnsi="Arial" w:cs="Arial"/>
          <w:b/>
          <w:bCs/>
        </w:rPr>
        <w:t>B</w:t>
      </w:r>
      <w:r w:rsidRPr="00060D82">
        <w:rPr>
          <w:rFonts w:ascii="Arial" w:hAnsi="Arial" w:cs="Arial"/>
          <w:b/>
          <w:bCs/>
        </w:rPr>
        <w:t>,</w:t>
      </w:r>
      <w:r w:rsidRPr="00060D82">
        <w:rPr>
          <w:rFonts w:ascii="Arial" w:hAnsi="Arial" w:cs="Arial"/>
        </w:rPr>
        <w:t xml:space="preserve"> importantly, the WHIM12 cell line carries over its resistance to buparlisib as well as several other PI3K, AKT and mTOR inhibitors (</w:t>
      </w:r>
      <w:proofErr w:type="spellStart"/>
      <w:r w:rsidRPr="00060D82">
        <w:rPr>
          <w:rFonts w:ascii="Arial" w:hAnsi="Arial" w:cs="Arial"/>
        </w:rPr>
        <w:t>Alamar</w:t>
      </w:r>
      <w:proofErr w:type="spellEnd"/>
      <w:r w:rsidRPr="00060D82">
        <w:rPr>
          <w:rFonts w:ascii="Arial" w:hAnsi="Arial" w:cs="Arial"/>
        </w:rPr>
        <w:t xml:space="preserve"> Blue assay, 6 days treatment).</w:t>
      </w:r>
      <w:r w:rsidR="00AA0599">
        <w:rPr>
          <w:rFonts w:ascii="Arial" w:hAnsi="Arial" w:cs="Arial"/>
        </w:rPr>
        <w:t xml:space="preserve"> </w:t>
      </w:r>
      <w:r w:rsidR="00AA0599">
        <w:rPr>
          <w:rFonts w:ascii="Arial" w:hAnsi="Arial" w:cs="Arial"/>
          <w:b/>
          <w:bCs/>
        </w:rPr>
        <w:t>C</w:t>
      </w:r>
      <w:r w:rsidR="00EC2FB1" w:rsidRPr="00060D82">
        <w:rPr>
          <w:rFonts w:ascii="Arial" w:hAnsi="Arial" w:cs="Arial"/>
          <w:bCs/>
        </w:rPr>
        <w:t xml:space="preserve">, Erlotinib synergizes with buparlisib in inhibiting cell proliferation in WHIM12. Cell were treated with DMSO, </w:t>
      </w:r>
      <w:proofErr w:type="spellStart"/>
      <w:r w:rsidR="00EC2FB1" w:rsidRPr="00060D82">
        <w:rPr>
          <w:rFonts w:ascii="Arial" w:hAnsi="Arial" w:cs="Arial"/>
          <w:bCs/>
        </w:rPr>
        <w:t>erlotinib</w:t>
      </w:r>
      <w:proofErr w:type="spellEnd"/>
      <w:r w:rsidR="00EC2FB1" w:rsidRPr="00060D82">
        <w:rPr>
          <w:rFonts w:ascii="Arial" w:hAnsi="Arial" w:cs="Arial"/>
          <w:bCs/>
        </w:rPr>
        <w:t>, buparlisib or combination with concentration ranging from (0-2uM) followed by measurement of cell viability after 6 days (</w:t>
      </w:r>
      <w:proofErr w:type="spellStart"/>
      <w:r w:rsidR="00EC2FB1" w:rsidRPr="00060D82">
        <w:rPr>
          <w:rFonts w:ascii="Arial" w:hAnsi="Arial" w:cs="Arial"/>
          <w:bCs/>
        </w:rPr>
        <w:t>Alamar</w:t>
      </w:r>
      <w:proofErr w:type="spellEnd"/>
      <w:r w:rsidR="00EC2FB1" w:rsidRPr="00060D82">
        <w:rPr>
          <w:rFonts w:ascii="Arial" w:hAnsi="Arial" w:cs="Arial"/>
          <w:bCs/>
        </w:rPr>
        <w:t xml:space="preserve"> blue assay). </w:t>
      </w:r>
      <w:r w:rsidR="00AA0599">
        <w:rPr>
          <w:rFonts w:ascii="Arial" w:hAnsi="Arial" w:cs="Arial"/>
          <w:b/>
          <w:bCs/>
        </w:rPr>
        <w:t>D</w:t>
      </w:r>
      <w:r w:rsidR="00EC2FB1" w:rsidRPr="00060D82">
        <w:rPr>
          <w:rFonts w:ascii="Arial" w:hAnsi="Arial" w:cs="Arial"/>
          <w:bCs/>
        </w:rPr>
        <w:t xml:space="preserve"> to </w:t>
      </w:r>
      <w:r w:rsidR="00AA0599">
        <w:rPr>
          <w:rFonts w:ascii="Arial" w:hAnsi="Arial" w:cs="Arial"/>
          <w:b/>
          <w:bCs/>
        </w:rPr>
        <w:t>F</w:t>
      </w:r>
      <w:r w:rsidR="00EC2FB1" w:rsidRPr="00060D82">
        <w:rPr>
          <w:rFonts w:ascii="Arial" w:hAnsi="Arial" w:cs="Arial"/>
          <w:bCs/>
        </w:rPr>
        <w:t xml:space="preserve">, </w:t>
      </w:r>
      <w:proofErr w:type="spellStart"/>
      <w:r w:rsidR="00EC2FB1" w:rsidRPr="00060D82">
        <w:rPr>
          <w:rFonts w:ascii="Arial" w:hAnsi="Arial" w:cs="Arial"/>
          <w:bCs/>
        </w:rPr>
        <w:t>Alamar</w:t>
      </w:r>
      <w:proofErr w:type="spellEnd"/>
      <w:r w:rsidR="00EC2FB1" w:rsidRPr="00060D82">
        <w:rPr>
          <w:rFonts w:ascii="Arial" w:hAnsi="Arial" w:cs="Arial"/>
          <w:bCs/>
        </w:rPr>
        <w:t xml:space="preserve"> blue assay in WHIM12 (vector control and NEK9-knockdown) cells in the presence of DMSO or BYL719, AZD6482, GDC-0941. Cell were treated with DMSO or Pi3K inhibitor (0-2uM) followed by measurement of cell viability after 6 days. </w:t>
      </w:r>
      <w:proofErr w:type="spellStart"/>
      <w:r w:rsidR="00EC2FB1" w:rsidRPr="00060D82">
        <w:rPr>
          <w:rFonts w:ascii="Arial" w:hAnsi="Arial" w:cs="Arial"/>
          <w:bCs/>
        </w:rPr>
        <w:t>Alamar</w:t>
      </w:r>
      <w:proofErr w:type="spellEnd"/>
      <w:r w:rsidR="00EC2FB1" w:rsidRPr="00060D82">
        <w:rPr>
          <w:rFonts w:ascii="Arial" w:hAnsi="Arial" w:cs="Arial"/>
          <w:bCs/>
        </w:rPr>
        <w:t xml:space="preserve"> blue assay in (</w:t>
      </w:r>
      <w:r w:rsidR="00AA0599">
        <w:rPr>
          <w:rFonts w:ascii="Arial" w:hAnsi="Arial" w:cs="Arial"/>
          <w:b/>
          <w:bCs/>
        </w:rPr>
        <w:t>G</w:t>
      </w:r>
      <w:r w:rsidR="00EC2FB1" w:rsidRPr="00060D82">
        <w:rPr>
          <w:rFonts w:ascii="Arial" w:hAnsi="Arial" w:cs="Arial"/>
          <w:bCs/>
        </w:rPr>
        <w:t xml:space="preserve">) and </w:t>
      </w:r>
      <w:r w:rsidR="00AA0599" w:rsidRPr="00060D82">
        <w:rPr>
          <w:rFonts w:ascii="Arial" w:hAnsi="Arial" w:cs="Arial"/>
          <w:bCs/>
        </w:rPr>
        <w:t xml:space="preserve">MDA-MB-231 </w:t>
      </w:r>
      <w:r w:rsidR="00EC2FB1" w:rsidRPr="00060D82">
        <w:rPr>
          <w:rFonts w:ascii="Arial" w:hAnsi="Arial" w:cs="Arial"/>
          <w:bCs/>
        </w:rPr>
        <w:t>(</w:t>
      </w:r>
      <w:r w:rsidR="00AA0599">
        <w:rPr>
          <w:rFonts w:ascii="Arial" w:hAnsi="Arial" w:cs="Arial"/>
          <w:b/>
          <w:bCs/>
        </w:rPr>
        <w:t>H</w:t>
      </w:r>
      <w:r w:rsidR="00EC2FB1" w:rsidRPr="00060D82">
        <w:rPr>
          <w:rFonts w:ascii="Arial" w:hAnsi="Arial" w:cs="Arial"/>
          <w:bCs/>
        </w:rPr>
        <w:t xml:space="preserve">) </w:t>
      </w:r>
      <w:r w:rsidR="00AA0599" w:rsidRPr="00060D82">
        <w:rPr>
          <w:rFonts w:ascii="Arial" w:hAnsi="Arial" w:cs="Arial"/>
          <w:bCs/>
        </w:rPr>
        <w:t xml:space="preserve">BT549 </w:t>
      </w:r>
      <w:r w:rsidR="00EC2FB1" w:rsidRPr="00060D82">
        <w:rPr>
          <w:rFonts w:ascii="Arial" w:hAnsi="Arial" w:cs="Arial"/>
          <w:bCs/>
        </w:rPr>
        <w:t>(vector control and NEK9-knockdown) cells in the presence of DMSO or buparlisib. Cell were treated with DMSO or buparlisib (0-2uM) followed by measurement of cell viability after 6 days. &lt; 0.05, **&lt; 0.001</w:t>
      </w:r>
      <w:r w:rsidR="00EC2FB1" w:rsidRPr="00060D82">
        <w:t xml:space="preserve"> </w:t>
      </w:r>
      <w:r w:rsidR="00EC2FB1" w:rsidRPr="00060D82">
        <w:rPr>
          <w:rFonts w:ascii="Arial" w:hAnsi="Arial" w:cs="Arial"/>
          <w:bCs/>
        </w:rPr>
        <w:t xml:space="preserve">and ***&lt;0.001. </w:t>
      </w:r>
      <w:r w:rsidR="00DC6E16" w:rsidRPr="00060D82">
        <w:rPr>
          <w:rFonts w:ascii="Arial" w:hAnsi="Arial" w:cs="Arial"/>
        </w:rPr>
        <w:br w:type="page"/>
      </w:r>
    </w:p>
    <w:p w14:paraId="3F8319A7" w14:textId="2A06F4B5" w:rsidR="009E2211" w:rsidRDefault="001955BE" w:rsidP="00174317">
      <w:pPr>
        <w:spacing w:line="276" w:lineRule="auto"/>
        <w:rPr>
          <w:rFonts w:ascii="Arial" w:hAnsi="Arial" w:cs="Arial"/>
          <w:b/>
          <w:bCs/>
        </w:rPr>
      </w:pPr>
      <w:r>
        <w:rPr>
          <w:rFonts w:ascii="Arial" w:hAnsi="Arial" w:cs="Arial"/>
          <w:b/>
          <w:bCs/>
          <w:noProof/>
        </w:rPr>
        <w:lastRenderedPageBreak/>
        <w:drawing>
          <wp:inline distT="0" distB="0" distL="0" distR="0" wp14:anchorId="064FDEA5" wp14:editId="5604777B">
            <wp:extent cx="5469875" cy="5273749"/>
            <wp:effectExtent l="0" t="0" r="0" b="3175"/>
            <wp:docPr id="2" name="Picture 2" descr="\\flynn-cifs\prot_proteomics\LabMembers\FIL\21041021_WHIMS\BKM120\BKM_Manus\Submissions\20170703_Cancer-Research\Revision\Sandeep-invitro\20180102_BKM_Supp-PIK3CA-MutValidation-Co-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ynn-cifs\prot_proteomics\LabMembers\FIL\21041021_WHIMS\BKM120\BKM_Manus\Submissions\20170703_Cancer-Research\Revision\Sandeep-invitro\20180102_BKM_Supp-PIK3CA-MutValidation-Co-IP.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9113" cy="5282656"/>
                    </a:xfrm>
                    <a:prstGeom prst="rect">
                      <a:avLst/>
                    </a:prstGeom>
                    <a:noFill/>
                    <a:ln>
                      <a:noFill/>
                    </a:ln>
                  </pic:spPr>
                </pic:pic>
              </a:graphicData>
            </a:graphic>
          </wp:inline>
        </w:drawing>
      </w:r>
    </w:p>
    <w:p w14:paraId="1F31F342" w14:textId="188F4E4D" w:rsidR="0063618C" w:rsidRPr="00060D82" w:rsidRDefault="005E69FA" w:rsidP="00174317">
      <w:pPr>
        <w:spacing w:line="276" w:lineRule="auto"/>
        <w:rPr>
          <w:rFonts w:ascii="Arial" w:hAnsi="Arial" w:cs="Arial"/>
          <w:bCs/>
        </w:rPr>
      </w:pPr>
      <w:r>
        <w:rPr>
          <w:rFonts w:ascii="Arial" w:hAnsi="Arial" w:cs="Arial"/>
          <w:b/>
          <w:bCs/>
        </w:rPr>
        <w:t>Supplementary figure 8</w:t>
      </w:r>
      <w:r w:rsidR="0063618C" w:rsidRPr="00060D82">
        <w:rPr>
          <w:rFonts w:ascii="Arial" w:hAnsi="Arial" w:cs="Arial"/>
          <w:b/>
          <w:bCs/>
        </w:rPr>
        <w:t>. Overview of PIK3CA mutations and p8</w:t>
      </w:r>
      <w:r w:rsidR="00704641" w:rsidRPr="00060D82">
        <w:rPr>
          <w:rFonts w:ascii="Arial" w:hAnsi="Arial" w:cs="Arial"/>
          <w:b/>
          <w:bCs/>
        </w:rPr>
        <w:t>5</w:t>
      </w:r>
      <w:r w:rsidR="0063618C" w:rsidRPr="00060D82">
        <w:rPr>
          <w:rFonts w:ascii="Arial" w:hAnsi="Arial" w:cs="Arial"/>
          <w:b/>
          <w:bCs/>
        </w:rPr>
        <w:t xml:space="preserve"> binding domain mutations in detail</w:t>
      </w:r>
      <w:r w:rsidR="002437CA">
        <w:rPr>
          <w:rFonts w:ascii="Arial" w:hAnsi="Arial" w:cs="Arial"/>
          <w:b/>
          <w:bCs/>
        </w:rPr>
        <w:t>,</w:t>
      </w:r>
      <w:r w:rsidR="00CD10EE">
        <w:rPr>
          <w:rFonts w:ascii="Arial" w:hAnsi="Arial" w:cs="Arial"/>
          <w:b/>
          <w:bCs/>
        </w:rPr>
        <w:t xml:space="preserve"> </w:t>
      </w:r>
      <w:r w:rsidR="002437CA">
        <w:rPr>
          <w:rFonts w:ascii="Arial" w:hAnsi="Arial" w:cs="Arial"/>
          <w:b/>
          <w:bCs/>
        </w:rPr>
        <w:t>and l</w:t>
      </w:r>
      <w:r w:rsidR="00CD10EE" w:rsidRPr="00060D82">
        <w:rPr>
          <w:rFonts w:ascii="Arial" w:hAnsi="Arial" w:cs="Arial"/>
          <w:b/>
          <w:bCs/>
        </w:rPr>
        <w:t>oss of binding between the complex in/</w:t>
      </w:r>
      <w:proofErr w:type="gramStart"/>
      <w:r w:rsidR="00CD10EE" w:rsidRPr="00060D82">
        <w:rPr>
          <w:rFonts w:ascii="Arial" w:hAnsi="Arial" w:cs="Arial"/>
          <w:b/>
          <w:bCs/>
        </w:rPr>
        <w:t>del</w:t>
      </w:r>
      <w:proofErr w:type="gramEnd"/>
      <w:r w:rsidR="00CD10EE" w:rsidRPr="00060D82">
        <w:rPr>
          <w:rFonts w:ascii="Arial" w:hAnsi="Arial" w:cs="Arial"/>
          <w:b/>
          <w:bCs/>
        </w:rPr>
        <w:t xml:space="preserve"> mutant PIK3CA and p85 in WHIM12</w:t>
      </w:r>
      <w:r w:rsidR="0063618C" w:rsidRPr="00060D82">
        <w:rPr>
          <w:rFonts w:ascii="Arial" w:hAnsi="Arial" w:cs="Arial"/>
          <w:b/>
          <w:bCs/>
        </w:rPr>
        <w:t xml:space="preserve">. </w:t>
      </w:r>
      <w:r w:rsidR="00C637FE" w:rsidRPr="00060D82">
        <w:rPr>
          <w:rFonts w:ascii="Arial" w:hAnsi="Arial" w:cs="Arial"/>
          <w:b/>
          <w:bCs/>
        </w:rPr>
        <w:t>A</w:t>
      </w:r>
      <w:r w:rsidR="0063618C" w:rsidRPr="00060D82">
        <w:rPr>
          <w:rFonts w:ascii="Arial" w:hAnsi="Arial" w:cs="Arial"/>
          <w:b/>
          <w:bCs/>
        </w:rPr>
        <w:t xml:space="preserve">, </w:t>
      </w:r>
      <w:r w:rsidR="0063618C" w:rsidRPr="00060D82">
        <w:rPr>
          <w:rFonts w:ascii="Arial" w:hAnsi="Arial" w:cs="Arial"/>
          <w:bCs/>
        </w:rPr>
        <w:t>common mutations of PIK3CA plotted along the protein sequence. The most common cancer</w:t>
      </w:r>
      <w:r w:rsidR="00FE2569" w:rsidRPr="00060D82">
        <w:rPr>
          <w:rFonts w:ascii="Arial" w:hAnsi="Arial" w:cs="Arial"/>
          <w:bCs/>
        </w:rPr>
        <w:t>-</w:t>
      </w:r>
      <w:r w:rsidR="0063618C" w:rsidRPr="00060D82">
        <w:rPr>
          <w:rFonts w:ascii="Arial" w:hAnsi="Arial" w:cs="Arial"/>
          <w:bCs/>
        </w:rPr>
        <w:t>related mutations are indicated (E545A/D/G/K/Q and H1047L/Q/R/Y). An additional mutational hot-spot is evident N-terminally in the p85 binding domain of PIK3CA. A detailed view of the p85 binding domain</w:t>
      </w:r>
      <w:r w:rsidR="00FE2569" w:rsidRPr="00060D82">
        <w:rPr>
          <w:rFonts w:ascii="Arial" w:hAnsi="Arial" w:cs="Arial"/>
          <w:bCs/>
        </w:rPr>
        <w:t>-</w:t>
      </w:r>
      <w:r w:rsidR="0063618C" w:rsidRPr="00060D82">
        <w:rPr>
          <w:rFonts w:ascii="Arial" w:hAnsi="Arial" w:cs="Arial"/>
          <w:bCs/>
        </w:rPr>
        <w:t xml:space="preserve">related mutations </w:t>
      </w:r>
      <w:r w:rsidR="00002054" w:rsidRPr="00060D82">
        <w:rPr>
          <w:rFonts w:ascii="Arial" w:hAnsi="Arial" w:cs="Arial"/>
          <w:bCs/>
        </w:rPr>
        <w:t xml:space="preserve">is </w:t>
      </w:r>
      <w:r w:rsidR="0063618C" w:rsidRPr="00060D82">
        <w:rPr>
          <w:rFonts w:ascii="Arial" w:hAnsi="Arial" w:cs="Arial"/>
          <w:bCs/>
        </w:rPr>
        <w:t xml:space="preserve">seen in panel </w:t>
      </w:r>
      <w:r w:rsidR="009A0707" w:rsidRPr="00060D82">
        <w:rPr>
          <w:rFonts w:ascii="Arial" w:hAnsi="Arial" w:cs="Arial"/>
          <w:b/>
          <w:bCs/>
        </w:rPr>
        <w:t>B</w:t>
      </w:r>
      <w:r w:rsidR="0063618C" w:rsidRPr="00060D82">
        <w:rPr>
          <w:rFonts w:ascii="Arial" w:hAnsi="Arial" w:cs="Arial"/>
          <w:bCs/>
        </w:rPr>
        <w:t>. In this study, WHIM12 has a complex in/</w:t>
      </w:r>
      <w:proofErr w:type="gramStart"/>
      <w:r w:rsidR="0063618C" w:rsidRPr="00060D82">
        <w:rPr>
          <w:rFonts w:ascii="Arial" w:hAnsi="Arial" w:cs="Arial"/>
          <w:bCs/>
        </w:rPr>
        <w:t>del</w:t>
      </w:r>
      <w:proofErr w:type="gramEnd"/>
      <w:r w:rsidR="0063618C" w:rsidRPr="00060D82">
        <w:rPr>
          <w:rFonts w:ascii="Arial" w:hAnsi="Arial" w:cs="Arial"/>
          <w:bCs/>
        </w:rPr>
        <w:t xml:space="preserve"> frameshift deletion resulting in a </w:t>
      </w:r>
      <w:r w:rsidR="00002054" w:rsidRPr="00060D82">
        <w:rPr>
          <w:rFonts w:ascii="Arial" w:hAnsi="Arial" w:cs="Arial"/>
          <w:bCs/>
        </w:rPr>
        <w:t>4-amino</w:t>
      </w:r>
      <w:r w:rsidR="0063618C" w:rsidRPr="00060D82">
        <w:rPr>
          <w:rFonts w:ascii="Arial" w:hAnsi="Arial" w:cs="Arial"/>
          <w:bCs/>
        </w:rPr>
        <w:t xml:space="preserve"> acid deletion and </w:t>
      </w:r>
      <w:r w:rsidR="00FE2569" w:rsidRPr="00060D82">
        <w:rPr>
          <w:rFonts w:ascii="Arial" w:hAnsi="Arial" w:cs="Arial"/>
          <w:bCs/>
        </w:rPr>
        <w:t xml:space="preserve">change of </w:t>
      </w:r>
      <w:r w:rsidR="0063618C" w:rsidRPr="00060D82">
        <w:rPr>
          <w:rFonts w:ascii="Arial" w:hAnsi="Arial" w:cs="Arial"/>
          <w:bCs/>
        </w:rPr>
        <w:t>E109 to T105 in the p85 binding region of PIK3CA (</w:t>
      </w:r>
      <w:r w:rsidR="00E245ED" w:rsidRPr="00060D82">
        <w:rPr>
          <w:rFonts w:ascii="Arial" w:hAnsi="Arial" w:cs="Arial"/>
          <w:bCs/>
        </w:rPr>
        <w:t xml:space="preserve">recorded </w:t>
      </w:r>
      <w:r w:rsidR="0063618C" w:rsidRPr="00060D82">
        <w:rPr>
          <w:rFonts w:ascii="Arial" w:hAnsi="Arial" w:cs="Arial"/>
          <w:bCs/>
        </w:rPr>
        <w:t xml:space="preserve">nonsynonymous mutations at amino acid 108 are listed in panel </w:t>
      </w:r>
      <w:r w:rsidR="00C637FE" w:rsidRPr="00060D82">
        <w:rPr>
          <w:rFonts w:ascii="Arial" w:hAnsi="Arial" w:cs="Arial"/>
          <w:b/>
          <w:bCs/>
        </w:rPr>
        <w:t>B</w:t>
      </w:r>
      <w:r w:rsidR="0063618C" w:rsidRPr="00060D82">
        <w:rPr>
          <w:rFonts w:ascii="Arial" w:hAnsi="Arial" w:cs="Arial"/>
          <w:bCs/>
        </w:rPr>
        <w:t xml:space="preserve"> for reference).</w:t>
      </w:r>
      <w:r w:rsidR="00CD10EE">
        <w:rPr>
          <w:rFonts w:ascii="Arial" w:hAnsi="Arial" w:cs="Arial"/>
          <w:b/>
          <w:bCs/>
        </w:rPr>
        <w:t xml:space="preserve"> C</w:t>
      </w:r>
      <w:r w:rsidR="00CD10EE" w:rsidRPr="00060D82">
        <w:rPr>
          <w:rFonts w:ascii="Arial" w:hAnsi="Arial" w:cs="Arial"/>
          <w:bCs/>
        </w:rPr>
        <w:t>, Western blots analyzing the expression of p110α and p85 in cell lysates of MCF10A (WT-</w:t>
      </w:r>
      <w:r w:rsidR="00CD10EE" w:rsidRPr="00060D82">
        <w:rPr>
          <w:rFonts w:ascii="Arial" w:hAnsi="Arial" w:cs="Arial"/>
          <w:bCs/>
          <w:i/>
        </w:rPr>
        <w:t>PIK3CA</w:t>
      </w:r>
      <w:r w:rsidR="00CD10EE" w:rsidRPr="00060D82">
        <w:rPr>
          <w:rFonts w:ascii="Arial" w:hAnsi="Arial" w:cs="Arial"/>
          <w:bCs/>
        </w:rPr>
        <w:t>), MCF10A (H1047R-</w:t>
      </w:r>
      <w:r w:rsidR="00CD10EE" w:rsidRPr="00060D82">
        <w:rPr>
          <w:rFonts w:ascii="Arial" w:hAnsi="Arial" w:cs="Arial"/>
          <w:bCs/>
          <w:i/>
        </w:rPr>
        <w:t>PIK3CA</w:t>
      </w:r>
      <w:r w:rsidR="00CD10EE" w:rsidRPr="00060D82">
        <w:rPr>
          <w:rFonts w:ascii="Arial" w:hAnsi="Arial" w:cs="Arial"/>
          <w:bCs/>
        </w:rPr>
        <w:t xml:space="preserve">-mutant), and WHIM12 (mutant </w:t>
      </w:r>
      <w:r w:rsidR="00CD10EE" w:rsidRPr="00060D82">
        <w:rPr>
          <w:rFonts w:ascii="Arial" w:hAnsi="Arial" w:cs="Arial"/>
          <w:bCs/>
          <w:i/>
        </w:rPr>
        <w:t>PIK3CA</w:t>
      </w:r>
      <w:r w:rsidR="00CD10EE" w:rsidRPr="00060D82">
        <w:rPr>
          <w:rFonts w:ascii="Arial" w:hAnsi="Arial" w:cs="Arial"/>
          <w:bCs/>
        </w:rPr>
        <w:t xml:space="preserve">) cells under serum free and </w:t>
      </w:r>
      <w:r w:rsidR="00CD10EE">
        <w:rPr>
          <w:rFonts w:ascii="Arial" w:hAnsi="Arial" w:cs="Arial"/>
          <w:b/>
          <w:bCs/>
        </w:rPr>
        <w:t>D</w:t>
      </w:r>
      <w:r w:rsidR="00CD10EE" w:rsidRPr="00060D82">
        <w:rPr>
          <w:rFonts w:ascii="Arial" w:hAnsi="Arial" w:cs="Arial"/>
          <w:bCs/>
        </w:rPr>
        <w:t xml:space="preserve">, serum conditions after co-immunoprecipitation with p85 antibody. </w:t>
      </w:r>
      <w:r w:rsidR="00CD10EE">
        <w:rPr>
          <w:rFonts w:ascii="Arial" w:hAnsi="Arial" w:cs="Arial"/>
          <w:b/>
          <w:bCs/>
        </w:rPr>
        <w:t>E</w:t>
      </w:r>
      <w:r w:rsidR="00CD10EE" w:rsidRPr="00060D82">
        <w:rPr>
          <w:rFonts w:ascii="Arial" w:hAnsi="Arial" w:cs="Arial"/>
          <w:bCs/>
        </w:rPr>
        <w:t>, Western blots analyzing the expression of p110α and p85 in tumor lysates from WHIM4 (WT-</w:t>
      </w:r>
      <w:r w:rsidR="00CD10EE" w:rsidRPr="00060D82">
        <w:rPr>
          <w:rFonts w:ascii="Arial" w:hAnsi="Arial" w:cs="Arial"/>
          <w:bCs/>
          <w:i/>
        </w:rPr>
        <w:t>PIK3CA</w:t>
      </w:r>
      <w:r w:rsidR="00CD10EE" w:rsidRPr="00060D82">
        <w:rPr>
          <w:rFonts w:ascii="Arial" w:hAnsi="Arial" w:cs="Arial"/>
          <w:bCs/>
        </w:rPr>
        <w:t>), WHIM30 (WT-</w:t>
      </w:r>
      <w:r w:rsidR="00CD10EE" w:rsidRPr="00060D82">
        <w:rPr>
          <w:rFonts w:ascii="Arial" w:hAnsi="Arial" w:cs="Arial"/>
          <w:bCs/>
          <w:i/>
        </w:rPr>
        <w:t>PIK3CA</w:t>
      </w:r>
      <w:r w:rsidR="00CD10EE" w:rsidRPr="00060D82">
        <w:rPr>
          <w:rFonts w:ascii="Arial" w:hAnsi="Arial" w:cs="Arial"/>
          <w:bCs/>
        </w:rPr>
        <w:t xml:space="preserve">) and WHIM12 (mutant </w:t>
      </w:r>
      <w:r w:rsidR="00CD10EE" w:rsidRPr="00060D82">
        <w:rPr>
          <w:rFonts w:ascii="Arial" w:hAnsi="Arial" w:cs="Arial"/>
          <w:bCs/>
          <w:i/>
        </w:rPr>
        <w:t>PIK3CA</w:t>
      </w:r>
      <w:r w:rsidR="00CD10EE" w:rsidRPr="00060D82">
        <w:rPr>
          <w:rFonts w:ascii="Arial" w:hAnsi="Arial" w:cs="Arial"/>
          <w:bCs/>
        </w:rPr>
        <w:t>) PDXs after co-immunoprecipitation with p85 antibody. Rabbit IgG was used as a negative control for the co-</w:t>
      </w:r>
      <w:r w:rsidR="001955BE" w:rsidRPr="00060D82">
        <w:rPr>
          <w:rFonts w:ascii="Arial" w:hAnsi="Arial" w:cs="Arial"/>
          <w:bCs/>
        </w:rPr>
        <w:t>immunoprecipitation</w:t>
      </w:r>
      <w:r w:rsidR="00CD10EE" w:rsidRPr="00060D82">
        <w:rPr>
          <w:rFonts w:ascii="Arial" w:hAnsi="Arial" w:cs="Arial"/>
          <w:bCs/>
        </w:rPr>
        <w:t xml:space="preserve"> experiments.</w:t>
      </w:r>
    </w:p>
    <w:p w14:paraId="6B0E41E1" w14:textId="738E2671" w:rsidR="00245787" w:rsidRDefault="00156D0C" w:rsidP="00EF51AE">
      <w:pPr>
        <w:spacing w:line="276" w:lineRule="auto"/>
        <w:rPr>
          <w:rFonts w:ascii="Arial" w:hAnsi="Arial" w:cs="Arial"/>
          <w:b/>
          <w:bCs/>
        </w:rPr>
      </w:pPr>
      <w:r w:rsidRPr="00060D82">
        <w:rPr>
          <w:rFonts w:ascii="Arial" w:hAnsi="Arial" w:cs="Arial"/>
        </w:rPr>
        <w:br w:type="page"/>
      </w:r>
      <w:r w:rsidR="00245787" w:rsidRPr="00060D82">
        <w:rPr>
          <w:rFonts w:ascii="Arial" w:hAnsi="Arial" w:cs="Arial"/>
          <w:b/>
          <w:bCs/>
          <w:noProof/>
        </w:rPr>
        <w:lastRenderedPageBreak/>
        <w:drawing>
          <wp:inline distT="0" distB="0" distL="0" distR="0" wp14:anchorId="295B840F" wp14:editId="6B1A4D24">
            <wp:extent cx="5943600" cy="4714875"/>
            <wp:effectExtent l="0" t="0" r="0" b="9525"/>
            <wp:docPr id="12" name="Picture 12" descr="\\flynn-cifs\prot_proteomics\LabMembers\FIL\21041021_WHIMS\BKM120\BKM_Manus\Supplementary-FIGs&amp;Files\BKM_Sup-FIG10-11\Figure_Supp10_C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ynn-cifs\prot_proteomics\LabMembers\FIL\21041021_WHIMS\BKM120\BKM_Manus\Supplementary-FIGs&amp;Files\BKM_Sup-FIG10-11\Figure_Supp10_CAP.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714875"/>
                    </a:xfrm>
                    <a:prstGeom prst="rect">
                      <a:avLst/>
                    </a:prstGeom>
                    <a:noFill/>
                    <a:ln>
                      <a:noFill/>
                    </a:ln>
                  </pic:spPr>
                </pic:pic>
              </a:graphicData>
            </a:graphic>
          </wp:inline>
        </w:drawing>
      </w:r>
      <w:r w:rsidR="00245787" w:rsidRPr="00245787">
        <w:rPr>
          <w:rFonts w:ascii="Arial" w:hAnsi="Arial" w:cs="Arial"/>
          <w:b/>
          <w:bCs/>
        </w:rPr>
        <w:t xml:space="preserve"> </w:t>
      </w:r>
      <w:r w:rsidR="00245787" w:rsidRPr="00060D82">
        <w:rPr>
          <w:rFonts w:ascii="Arial" w:hAnsi="Arial" w:cs="Arial"/>
          <w:b/>
          <w:bCs/>
        </w:rPr>
        <w:t xml:space="preserve">Supplementary </w:t>
      </w:r>
      <w:r w:rsidR="00245787">
        <w:rPr>
          <w:rFonts w:ascii="Arial" w:hAnsi="Arial" w:cs="Arial"/>
          <w:b/>
          <w:bCs/>
        </w:rPr>
        <w:t>figure 9</w:t>
      </w:r>
      <w:r w:rsidR="00245787" w:rsidRPr="00060D82">
        <w:rPr>
          <w:rFonts w:ascii="Arial" w:hAnsi="Arial" w:cs="Arial"/>
          <w:b/>
          <w:bCs/>
        </w:rPr>
        <w:t>. The mutated form of PIK3CA found in WHIM12 infers partial resistance to buparlisib in sensitive cell lines.</w:t>
      </w:r>
      <w:r w:rsidR="00245787" w:rsidRPr="00060D82">
        <w:rPr>
          <w:rFonts w:ascii="Arial" w:hAnsi="Arial" w:cs="Arial"/>
        </w:rPr>
        <w:t xml:space="preserve"> </w:t>
      </w:r>
      <w:r w:rsidR="00245787" w:rsidRPr="00060D82">
        <w:rPr>
          <w:rFonts w:ascii="Arial" w:hAnsi="Arial" w:cs="Arial"/>
          <w:b/>
          <w:bCs/>
        </w:rPr>
        <w:t>A</w:t>
      </w:r>
      <w:r w:rsidR="00245787" w:rsidRPr="00060D82">
        <w:rPr>
          <w:rFonts w:ascii="Arial" w:hAnsi="Arial" w:cs="Arial"/>
        </w:rPr>
        <w:t>, colony formation assays of MCF10A stably transfected with either vector control or with PIK3CA carrying either the E545K or the complex in/</w:t>
      </w:r>
      <w:proofErr w:type="gramStart"/>
      <w:r w:rsidR="00245787" w:rsidRPr="00060D82">
        <w:rPr>
          <w:rFonts w:ascii="Arial" w:hAnsi="Arial" w:cs="Arial"/>
        </w:rPr>
        <w:t>del</w:t>
      </w:r>
      <w:proofErr w:type="gramEnd"/>
      <w:r w:rsidR="00245787" w:rsidRPr="00060D82">
        <w:rPr>
          <w:rFonts w:ascii="Arial" w:hAnsi="Arial" w:cs="Arial"/>
        </w:rPr>
        <w:t xml:space="preserve"> mutations observed in WHIM12 (Clones 1 and 2 are two different mutant cell clones) following treatment with either vehicle or buparlisib. </w:t>
      </w:r>
      <w:r w:rsidR="00245787" w:rsidRPr="00060D82">
        <w:rPr>
          <w:rFonts w:ascii="Arial" w:hAnsi="Arial" w:cs="Arial"/>
          <w:b/>
          <w:bCs/>
        </w:rPr>
        <w:t>B</w:t>
      </w:r>
      <w:r w:rsidR="00245787" w:rsidRPr="00060D82">
        <w:rPr>
          <w:rFonts w:ascii="Arial" w:hAnsi="Arial" w:cs="Arial"/>
        </w:rPr>
        <w:t xml:space="preserve">, quantified growth of colony formation assays in panel </w:t>
      </w:r>
      <w:r w:rsidR="00245787" w:rsidRPr="00060D82">
        <w:rPr>
          <w:rFonts w:ascii="Arial" w:hAnsi="Arial" w:cs="Arial"/>
          <w:b/>
          <w:bCs/>
        </w:rPr>
        <w:t>A</w:t>
      </w:r>
      <w:r w:rsidR="00245787" w:rsidRPr="00060D82">
        <w:rPr>
          <w:rFonts w:ascii="Arial" w:hAnsi="Arial" w:cs="Arial"/>
        </w:rPr>
        <w:t xml:space="preserve">. </w:t>
      </w:r>
      <w:r w:rsidR="00245787" w:rsidRPr="00060D82">
        <w:rPr>
          <w:rFonts w:ascii="Arial" w:hAnsi="Arial" w:cs="Arial"/>
          <w:b/>
          <w:bCs/>
        </w:rPr>
        <w:t>C</w:t>
      </w:r>
      <w:r w:rsidR="00245787" w:rsidRPr="00060D82">
        <w:rPr>
          <w:rFonts w:ascii="Arial" w:hAnsi="Arial" w:cs="Arial"/>
        </w:rPr>
        <w:t xml:space="preserve">, colony formation assays of WHIM3-derived cell line stably transfected with vector control or the WHIM12-specific mutant form of PIK3CA (two different mutant cell clones are shown) following treatment with either vehicle or buparlisib. </w:t>
      </w:r>
      <w:r w:rsidR="00245787" w:rsidRPr="00060D82">
        <w:rPr>
          <w:rFonts w:ascii="Arial" w:hAnsi="Arial" w:cs="Arial"/>
          <w:b/>
          <w:bCs/>
        </w:rPr>
        <w:t>D</w:t>
      </w:r>
      <w:r w:rsidR="00245787" w:rsidRPr="00060D82">
        <w:rPr>
          <w:rFonts w:ascii="Arial" w:hAnsi="Arial" w:cs="Arial"/>
        </w:rPr>
        <w:t xml:space="preserve">, quantified growth of the colony formation assays in panel </w:t>
      </w:r>
      <w:r w:rsidR="00245787" w:rsidRPr="00060D82">
        <w:rPr>
          <w:rFonts w:ascii="Arial" w:hAnsi="Arial" w:cs="Arial"/>
          <w:b/>
          <w:bCs/>
        </w:rPr>
        <w:t>C</w:t>
      </w:r>
      <w:r w:rsidR="00245787" w:rsidRPr="00060D82">
        <w:rPr>
          <w:rFonts w:ascii="Arial" w:hAnsi="Arial" w:cs="Arial"/>
        </w:rPr>
        <w:t xml:space="preserve">. </w:t>
      </w:r>
      <w:r w:rsidR="00245787" w:rsidRPr="00060D82">
        <w:rPr>
          <w:rFonts w:ascii="Arial" w:hAnsi="Arial" w:cs="Arial"/>
          <w:b/>
          <w:bCs/>
        </w:rPr>
        <w:t>E</w:t>
      </w:r>
      <w:r w:rsidR="00245787" w:rsidRPr="00060D82">
        <w:rPr>
          <w:rFonts w:ascii="Arial" w:hAnsi="Arial" w:cs="Arial"/>
        </w:rPr>
        <w:t>, Western blot of selected targets after transfection of the WHIM12 specific mutant form of PIK3CA into the WHIM3 cell line. Numbers are quantifications of Western blot bands. ** = p ≤ 0.01.</w:t>
      </w:r>
    </w:p>
    <w:p w14:paraId="7D30F6EA" w14:textId="2F65B277" w:rsidR="00245787" w:rsidRDefault="00245787">
      <w:pPr>
        <w:rPr>
          <w:rFonts w:ascii="Arial" w:hAnsi="Arial" w:cs="Arial"/>
          <w:b/>
          <w:bCs/>
        </w:rPr>
      </w:pPr>
      <w:r>
        <w:rPr>
          <w:rFonts w:ascii="Arial" w:hAnsi="Arial" w:cs="Arial"/>
          <w:b/>
          <w:bCs/>
        </w:rPr>
        <w:br w:type="page"/>
      </w:r>
    </w:p>
    <w:p w14:paraId="6B7C4AFB" w14:textId="289F20BD" w:rsidR="00245787" w:rsidRDefault="00245787" w:rsidP="00EF51AE">
      <w:pPr>
        <w:spacing w:line="276" w:lineRule="auto"/>
        <w:rPr>
          <w:rFonts w:ascii="Arial" w:hAnsi="Arial" w:cs="Arial"/>
          <w:b/>
          <w:bCs/>
        </w:rPr>
      </w:pPr>
      <w:r w:rsidRPr="00060D82">
        <w:rPr>
          <w:rFonts w:ascii="Arial" w:hAnsi="Arial" w:cs="Arial"/>
          <w:b/>
          <w:bCs/>
          <w:noProof/>
        </w:rPr>
        <w:lastRenderedPageBreak/>
        <w:drawing>
          <wp:inline distT="0" distB="0" distL="0" distR="0" wp14:anchorId="7BB7CC92" wp14:editId="59910475">
            <wp:extent cx="5943600" cy="4562475"/>
            <wp:effectExtent l="0" t="0" r="0" b="9525"/>
            <wp:docPr id="14" name="Picture 14" descr="\\flynn-cifs\prot_proteomics\LabMembers\FIL\21041021_WHIMS\BKM120\BKM_Manus\Supplementary-FIGs&amp;Files\BKM_Sup-FIG11_Sandeep\Figure_Supp11_C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ynn-cifs\prot_proteomics\LabMembers\FIL\21041021_WHIMS\BKM120\BKM_Manus\Supplementary-FIGs&amp;Files\BKM_Sup-FIG11_Sandeep\Figure_Supp11_C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562475"/>
                    </a:xfrm>
                    <a:prstGeom prst="rect">
                      <a:avLst/>
                    </a:prstGeom>
                    <a:noFill/>
                    <a:ln>
                      <a:noFill/>
                    </a:ln>
                  </pic:spPr>
                </pic:pic>
              </a:graphicData>
            </a:graphic>
          </wp:inline>
        </w:drawing>
      </w:r>
    </w:p>
    <w:p w14:paraId="7D2006E0" w14:textId="01D86B3F" w:rsidR="00245787" w:rsidRPr="00060D82" w:rsidRDefault="00245787" w:rsidP="00245787">
      <w:pPr>
        <w:spacing w:line="276" w:lineRule="auto"/>
        <w:rPr>
          <w:rFonts w:ascii="Arial" w:hAnsi="Arial" w:cs="Arial"/>
        </w:rPr>
      </w:pPr>
      <w:r w:rsidRPr="00060D82">
        <w:rPr>
          <w:rFonts w:ascii="Arial" w:hAnsi="Arial" w:cs="Arial"/>
          <w:b/>
          <w:bCs/>
        </w:rPr>
        <w:t>Supplementary figure 1</w:t>
      </w:r>
      <w:r>
        <w:rPr>
          <w:rFonts w:ascii="Arial" w:hAnsi="Arial" w:cs="Arial"/>
          <w:b/>
          <w:bCs/>
        </w:rPr>
        <w:t>0</w:t>
      </w:r>
      <w:r w:rsidRPr="00060D82">
        <w:rPr>
          <w:rFonts w:ascii="Arial" w:hAnsi="Arial" w:cs="Arial"/>
          <w:b/>
          <w:bCs/>
        </w:rPr>
        <w:t>. PIK3CA confers part of the buparlisib resistance, in concert with NEK9 and MAP2K4, in the WHIM12 cell line.</w:t>
      </w:r>
      <w:r w:rsidRPr="00060D82">
        <w:rPr>
          <w:rFonts w:ascii="Arial" w:hAnsi="Arial" w:cs="Arial"/>
        </w:rPr>
        <w:t xml:space="preserve"> </w:t>
      </w:r>
      <w:r w:rsidRPr="00060D82">
        <w:rPr>
          <w:rFonts w:ascii="Arial" w:hAnsi="Arial" w:cs="Arial"/>
          <w:b/>
          <w:bCs/>
        </w:rPr>
        <w:t>A</w:t>
      </w:r>
      <w:r w:rsidRPr="00060D82">
        <w:rPr>
          <w:rFonts w:ascii="Arial" w:hAnsi="Arial" w:cs="Arial"/>
        </w:rPr>
        <w:t xml:space="preserve">, WHIM12 cell line colony formation assay after PIK3CA knock-down. </w:t>
      </w:r>
      <w:r w:rsidRPr="00060D82">
        <w:rPr>
          <w:rFonts w:ascii="Arial" w:hAnsi="Arial" w:cs="Arial"/>
          <w:b/>
          <w:bCs/>
        </w:rPr>
        <w:t>B</w:t>
      </w:r>
      <w:r w:rsidRPr="00060D82">
        <w:rPr>
          <w:rFonts w:ascii="Arial" w:hAnsi="Arial" w:cs="Arial"/>
        </w:rPr>
        <w:t xml:space="preserve">, quantified colonies from panel </w:t>
      </w:r>
      <w:r w:rsidRPr="00060D82">
        <w:rPr>
          <w:rFonts w:ascii="Arial" w:hAnsi="Arial" w:cs="Arial"/>
          <w:b/>
          <w:bCs/>
        </w:rPr>
        <w:t>A</w:t>
      </w:r>
      <w:r w:rsidRPr="00060D82">
        <w:rPr>
          <w:rFonts w:ascii="Arial" w:hAnsi="Arial" w:cs="Arial"/>
        </w:rPr>
        <w:t xml:space="preserve">. ** = p ≤ 0.01. </w:t>
      </w:r>
      <w:r w:rsidRPr="00060D82">
        <w:rPr>
          <w:rFonts w:ascii="Arial" w:hAnsi="Arial" w:cs="Arial"/>
          <w:b/>
          <w:bCs/>
        </w:rPr>
        <w:t>C</w:t>
      </w:r>
      <w:r w:rsidRPr="00060D82">
        <w:rPr>
          <w:rFonts w:ascii="Arial" w:hAnsi="Arial" w:cs="Arial"/>
        </w:rPr>
        <w:t>, Western blots of various proteins after PIK3CA knockdown, with or without buparlisib treatment. Numbers are quantifications of Western blot bands.</w:t>
      </w:r>
    </w:p>
    <w:p w14:paraId="6FEEF2D7" w14:textId="0B9563BD" w:rsidR="00EF51AE" w:rsidRPr="00104C45" w:rsidRDefault="00EF51AE" w:rsidP="00245787">
      <w:pPr>
        <w:spacing w:line="276" w:lineRule="auto"/>
        <w:rPr>
          <w:rFonts w:ascii="Arial" w:hAnsi="Arial" w:cs="Arial"/>
        </w:rPr>
      </w:pPr>
    </w:p>
    <w:sectPr w:rsidR="00EF51AE" w:rsidRPr="00104C45" w:rsidSect="00112DCB">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swiss"/>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n-e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_ Cancer-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eatzvrzxwd02qe02asv5xv1arr99a5tv0wz&quot;&gt;NIH_report_July2015&lt;record-ids&gt;&lt;item&gt;221&lt;/item&gt;&lt;/record-ids&gt;&lt;/item&gt;&lt;/Libraries&gt;"/>
  </w:docVars>
  <w:rsids>
    <w:rsidRoot w:val="00156D0C"/>
    <w:rsid w:val="00002054"/>
    <w:rsid w:val="00060D82"/>
    <w:rsid w:val="00074F75"/>
    <w:rsid w:val="000B3750"/>
    <w:rsid w:val="000B495E"/>
    <w:rsid w:val="000E7827"/>
    <w:rsid w:val="000F4083"/>
    <w:rsid w:val="0010197A"/>
    <w:rsid w:val="00103D58"/>
    <w:rsid w:val="00104C45"/>
    <w:rsid w:val="00111A81"/>
    <w:rsid w:val="0011227C"/>
    <w:rsid w:val="00112DCB"/>
    <w:rsid w:val="0013399E"/>
    <w:rsid w:val="00156D0C"/>
    <w:rsid w:val="001611BB"/>
    <w:rsid w:val="00174317"/>
    <w:rsid w:val="00194587"/>
    <w:rsid w:val="001955BE"/>
    <w:rsid w:val="00196644"/>
    <w:rsid w:val="001A0D2E"/>
    <w:rsid w:val="001D07E7"/>
    <w:rsid w:val="001E51FB"/>
    <w:rsid w:val="00232BC1"/>
    <w:rsid w:val="002437CA"/>
    <w:rsid w:val="00245787"/>
    <w:rsid w:val="00262CED"/>
    <w:rsid w:val="00284925"/>
    <w:rsid w:val="002B3B64"/>
    <w:rsid w:val="002F09A3"/>
    <w:rsid w:val="00307981"/>
    <w:rsid w:val="003A4644"/>
    <w:rsid w:val="003B4893"/>
    <w:rsid w:val="003C5C7C"/>
    <w:rsid w:val="003E7150"/>
    <w:rsid w:val="004024FB"/>
    <w:rsid w:val="00405C54"/>
    <w:rsid w:val="00427F13"/>
    <w:rsid w:val="0043366C"/>
    <w:rsid w:val="00441DEC"/>
    <w:rsid w:val="00443CA3"/>
    <w:rsid w:val="004C1E52"/>
    <w:rsid w:val="00506F6D"/>
    <w:rsid w:val="005134BA"/>
    <w:rsid w:val="00516446"/>
    <w:rsid w:val="00517210"/>
    <w:rsid w:val="005619B0"/>
    <w:rsid w:val="005B6460"/>
    <w:rsid w:val="005C7713"/>
    <w:rsid w:val="005E69FA"/>
    <w:rsid w:val="005F7DB7"/>
    <w:rsid w:val="0063618C"/>
    <w:rsid w:val="00687C55"/>
    <w:rsid w:val="006B3641"/>
    <w:rsid w:val="006C15A0"/>
    <w:rsid w:val="006C2A3A"/>
    <w:rsid w:val="00701134"/>
    <w:rsid w:val="00703EA7"/>
    <w:rsid w:val="00704641"/>
    <w:rsid w:val="0070490E"/>
    <w:rsid w:val="0070634C"/>
    <w:rsid w:val="00736635"/>
    <w:rsid w:val="00760C4F"/>
    <w:rsid w:val="007B30A7"/>
    <w:rsid w:val="007F4C6F"/>
    <w:rsid w:val="00807E7B"/>
    <w:rsid w:val="0081452D"/>
    <w:rsid w:val="00830D58"/>
    <w:rsid w:val="0083614F"/>
    <w:rsid w:val="008535D4"/>
    <w:rsid w:val="00853CA5"/>
    <w:rsid w:val="0086620A"/>
    <w:rsid w:val="008724BD"/>
    <w:rsid w:val="00876359"/>
    <w:rsid w:val="00883786"/>
    <w:rsid w:val="008C7471"/>
    <w:rsid w:val="00911E23"/>
    <w:rsid w:val="00947334"/>
    <w:rsid w:val="0094795E"/>
    <w:rsid w:val="00985336"/>
    <w:rsid w:val="009A0707"/>
    <w:rsid w:val="009D5D30"/>
    <w:rsid w:val="009E2211"/>
    <w:rsid w:val="009F20EC"/>
    <w:rsid w:val="009F57C8"/>
    <w:rsid w:val="00A858B3"/>
    <w:rsid w:val="00A9794B"/>
    <w:rsid w:val="00AA0599"/>
    <w:rsid w:val="00AA2CFB"/>
    <w:rsid w:val="00AD6700"/>
    <w:rsid w:val="00B005AA"/>
    <w:rsid w:val="00B2365F"/>
    <w:rsid w:val="00B573B5"/>
    <w:rsid w:val="00B62B44"/>
    <w:rsid w:val="00BD0842"/>
    <w:rsid w:val="00BD51E9"/>
    <w:rsid w:val="00BE09F6"/>
    <w:rsid w:val="00BF102C"/>
    <w:rsid w:val="00BF47D3"/>
    <w:rsid w:val="00C00297"/>
    <w:rsid w:val="00C14747"/>
    <w:rsid w:val="00C24941"/>
    <w:rsid w:val="00C26152"/>
    <w:rsid w:val="00C353E7"/>
    <w:rsid w:val="00C637FE"/>
    <w:rsid w:val="00C7186E"/>
    <w:rsid w:val="00C77685"/>
    <w:rsid w:val="00C81F2D"/>
    <w:rsid w:val="00C86C45"/>
    <w:rsid w:val="00CA100F"/>
    <w:rsid w:val="00CC1AE2"/>
    <w:rsid w:val="00CD10EE"/>
    <w:rsid w:val="00CE31AE"/>
    <w:rsid w:val="00D15EC6"/>
    <w:rsid w:val="00D87989"/>
    <w:rsid w:val="00DA059F"/>
    <w:rsid w:val="00DC6E16"/>
    <w:rsid w:val="00E05653"/>
    <w:rsid w:val="00E223FA"/>
    <w:rsid w:val="00E245ED"/>
    <w:rsid w:val="00E30406"/>
    <w:rsid w:val="00E83205"/>
    <w:rsid w:val="00E92FAE"/>
    <w:rsid w:val="00EC2FB1"/>
    <w:rsid w:val="00EE370C"/>
    <w:rsid w:val="00EF51AE"/>
    <w:rsid w:val="00F018B6"/>
    <w:rsid w:val="00F24E83"/>
    <w:rsid w:val="00F30B8D"/>
    <w:rsid w:val="00F37557"/>
    <w:rsid w:val="00F53707"/>
    <w:rsid w:val="00F650BC"/>
    <w:rsid w:val="00F741E6"/>
    <w:rsid w:val="00F85ECC"/>
    <w:rsid w:val="00F943C5"/>
    <w:rsid w:val="00F947B3"/>
    <w:rsid w:val="00FA0614"/>
    <w:rsid w:val="00FA39B6"/>
    <w:rsid w:val="00FB573A"/>
    <w:rsid w:val="00FC0D14"/>
    <w:rsid w:val="00FD5420"/>
    <w:rsid w:val="00FE0DED"/>
    <w:rsid w:val="00FE256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8"/>
    <o:shapelayout v:ext="edit">
      <o:idmap v:ext="edit" data="1"/>
    </o:shapelayout>
  </w:shapeDefaults>
  <w:decimalSymbol w:val="."/>
  <w:listSeparator w:val=","/>
  <w14:docId w14:val="6994598F"/>
  <w15:docId w15:val="{E652ADE6-48F7-49E8-9D23-8F6D75170E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56D0C"/>
    <w:pPr>
      <w:spacing w:before="100" w:beforeAutospacing="1" w:after="100" w:afterAutospacing="1" w:line="240" w:lineRule="auto"/>
    </w:pPr>
    <w:rPr>
      <w:rFonts w:ascii="Times New Roman" w:eastAsiaTheme="minorEastAsia" w:hAnsi="Times New Roman" w:cs="Times New Roman"/>
      <w:sz w:val="24"/>
      <w:szCs w:val="24"/>
    </w:rPr>
  </w:style>
  <w:style w:type="paragraph" w:customStyle="1" w:styleId="EndNoteBibliographyTitle">
    <w:name w:val="EndNote Bibliography Title"/>
    <w:basedOn w:val="Normal"/>
    <w:link w:val="EndNoteBibliographyTitleChar"/>
    <w:rsid w:val="0063618C"/>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63618C"/>
    <w:rPr>
      <w:rFonts w:ascii="Calibri" w:hAnsi="Calibri"/>
      <w:noProof/>
    </w:rPr>
  </w:style>
  <w:style w:type="paragraph" w:customStyle="1" w:styleId="EndNoteBibliography">
    <w:name w:val="EndNote Bibliography"/>
    <w:basedOn w:val="Normal"/>
    <w:link w:val="EndNoteBibliographyChar"/>
    <w:rsid w:val="0063618C"/>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63618C"/>
    <w:rPr>
      <w:rFonts w:ascii="Calibri" w:hAnsi="Calibri"/>
      <w:noProof/>
    </w:rPr>
  </w:style>
  <w:style w:type="paragraph" w:styleId="BalloonText">
    <w:name w:val="Balloon Text"/>
    <w:basedOn w:val="Normal"/>
    <w:link w:val="BalloonTextChar"/>
    <w:uiPriority w:val="99"/>
    <w:semiHidden/>
    <w:unhideWhenUsed/>
    <w:rsid w:val="00517210"/>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223FA"/>
    <w:rPr>
      <w:rFonts w:ascii="Lucida Grande" w:hAnsi="Lucida Grande" w:cs="Lucida Grande"/>
      <w:sz w:val="18"/>
      <w:szCs w:val="18"/>
    </w:rPr>
  </w:style>
  <w:style w:type="character" w:styleId="CommentReference">
    <w:name w:val="annotation reference"/>
    <w:basedOn w:val="DefaultParagraphFont"/>
    <w:uiPriority w:val="99"/>
    <w:semiHidden/>
    <w:unhideWhenUsed/>
    <w:rsid w:val="00517210"/>
    <w:rPr>
      <w:sz w:val="16"/>
      <w:szCs w:val="16"/>
    </w:rPr>
  </w:style>
  <w:style w:type="paragraph" w:styleId="CommentText">
    <w:name w:val="annotation text"/>
    <w:basedOn w:val="Normal"/>
    <w:link w:val="CommentTextChar"/>
    <w:uiPriority w:val="99"/>
    <w:semiHidden/>
    <w:unhideWhenUsed/>
    <w:rsid w:val="00517210"/>
    <w:pPr>
      <w:spacing w:line="240" w:lineRule="auto"/>
    </w:pPr>
    <w:rPr>
      <w:sz w:val="20"/>
      <w:szCs w:val="20"/>
    </w:rPr>
  </w:style>
  <w:style w:type="character" w:customStyle="1" w:styleId="CommentTextChar">
    <w:name w:val="Comment Text Char"/>
    <w:basedOn w:val="DefaultParagraphFont"/>
    <w:link w:val="CommentText"/>
    <w:uiPriority w:val="99"/>
    <w:semiHidden/>
    <w:rsid w:val="00517210"/>
    <w:rPr>
      <w:sz w:val="20"/>
      <w:szCs w:val="20"/>
    </w:rPr>
  </w:style>
  <w:style w:type="paragraph" w:styleId="CommentSubject">
    <w:name w:val="annotation subject"/>
    <w:basedOn w:val="CommentText"/>
    <w:next w:val="CommentText"/>
    <w:link w:val="CommentSubjectChar"/>
    <w:uiPriority w:val="99"/>
    <w:semiHidden/>
    <w:unhideWhenUsed/>
    <w:rsid w:val="00517210"/>
    <w:rPr>
      <w:b/>
      <w:bCs/>
    </w:rPr>
  </w:style>
  <w:style w:type="character" w:customStyle="1" w:styleId="CommentSubjectChar">
    <w:name w:val="Comment Subject Char"/>
    <w:basedOn w:val="CommentTextChar"/>
    <w:link w:val="CommentSubject"/>
    <w:uiPriority w:val="99"/>
    <w:semiHidden/>
    <w:rsid w:val="00517210"/>
    <w:rPr>
      <w:b/>
      <w:bCs/>
      <w:sz w:val="20"/>
      <w:szCs w:val="20"/>
    </w:rPr>
  </w:style>
  <w:style w:type="paragraph" w:styleId="Revision">
    <w:name w:val="Revision"/>
    <w:hidden/>
    <w:uiPriority w:val="99"/>
    <w:semiHidden/>
    <w:rsid w:val="0051721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617016">
      <w:bodyDiv w:val="1"/>
      <w:marLeft w:val="0"/>
      <w:marRight w:val="0"/>
      <w:marTop w:val="0"/>
      <w:marBottom w:val="0"/>
      <w:divBdr>
        <w:top w:val="none" w:sz="0" w:space="0" w:color="auto"/>
        <w:left w:val="none" w:sz="0" w:space="0" w:color="auto"/>
        <w:bottom w:val="none" w:sz="0" w:space="0" w:color="auto"/>
        <w:right w:val="none" w:sz="0" w:space="0" w:color="auto"/>
      </w:divBdr>
    </w:div>
    <w:div w:id="33046271">
      <w:bodyDiv w:val="1"/>
      <w:marLeft w:val="0"/>
      <w:marRight w:val="0"/>
      <w:marTop w:val="0"/>
      <w:marBottom w:val="0"/>
      <w:divBdr>
        <w:top w:val="none" w:sz="0" w:space="0" w:color="auto"/>
        <w:left w:val="none" w:sz="0" w:space="0" w:color="auto"/>
        <w:bottom w:val="none" w:sz="0" w:space="0" w:color="auto"/>
        <w:right w:val="none" w:sz="0" w:space="0" w:color="auto"/>
      </w:divBdr>
    </w:div>
    <w:div w:id="128284618">
      <w:bodyDiv w:val="1"/>
      <w:marLeft w:val="0"/>
      <w:marRight w:val="0"/>
      <w:marTop w:val="0"/>
      <w:marBottom w:val="0"/>
      <w:divBdr>
        <w:top w:val="none" w:sz="0" w:space="0" w:color="auto"/>
        <w:left w:val="none" w:sz="0" w:space="0" w:color="auto"/>
        <w:bottom w:val="none" w:sz="0" w:space="0" w:color="auto"/>
        <w:right w:val="none" w:sz="0" w:space="0" w:color="auto"/>
      </w:divBdr>
    </w:div>
    <w:div w:id="141235737">
      <w:bodyDiv w:val="1"/>
      <w:marLeft w:val="0"/>
      <w:marRight w:val="0"/>
      <w:marTop w:val="0"/>
      <w:marBottom w:val="0"/>
      <w:divBdr>
        <w:top w:val="none" w:sz="0" w:space="0" w:color="auto"/>
        <w:left w:val="none" w:sz="0" w:space="0" w:color="auto"/>
        <w:bottom w:val="none" w:sz="0" w:space="0" w:color="auto"/>
        <w:right w:val="none" w:sz="0" w:space="0" w:color="auto"/>
      </w:divBdr>
    </w:div>
    <w:div w:id="158352926">
      <w:bodyDiv w:val="1"/>
      <w:marLeft w:val="0"/>
      <w:marRight w:val="0"/>
      <w:marTop w:val="0"/>
      <w:marBottom w:val="0"/>
      <w:divBdr>
        <w:top w:val="none" w:sz="0" w:space="0" w:color="auto"/>
        <w:left w:val="none" w:sz="0" w:space="0" w:color="auto"/>
        <w:bottom w:val="none" w:sz="0" w:space="0" w:color="auto"/>
        <w:right w:val="none" w:sz="0" w:space="0" w:color="auto"/>
      </w:divBdr>
    </w:div>
    <w:div w:id="173686095">
      <w:bodyDiv w:val="1"/>
      <w:marLeft w:val="0"/>
      <w:marRight w:val="0"/>
      <w:marTop w:val="0"/>
      <w:marBottom w:val="0"/>
      <w:divBdr>
        <w:top w:val="none" w:sz="0" w:space="0" w:color="auto"/>
        <w:left w:val="none" w:sz="0" w:space="0" w:color="auto"/>
        <w:bottom w:val="none" w:sz="0" w:space="0" w:color="auto"/>
        <w:right w:val="none" w:sz="0" w:space="0" w:color="auto"/>
      </w:divBdr>
    </w:div>
    <w:div w:id="379131174">
      <w:bodyDiv w:val="1"/>
      <w:marLeft w:val="0"/>
      <w:marRight w:val="0"/>
      <w:marTop w:val="0"/>
      <w:marBottom w:val="0"/>
      <w:divBdr>
        <w:top w:val="none" w:sz="0" w:space="0" w:color="auto"/>
        <w:left w:val="none" w:sz="0" w:space="0" w:color="auto"/>
        <w:bottom w:val="none" w:sz="0" w:space="0" w:color="auto"/>
        <w:right w:val="none" w:sz="0" w:space="0" w:color="auto"/>
      </w:divBdr>
    </w:div>
    <w:div w:id="562299048">
      <w:bodyDiv w:val="1"/>
      <w:marLeft w:val="0"/>
      <w:marRight w:val="0"/>
      <w:marTop w:val="0"/>
      <w:marBottom w:val="0"/>
      <w:divBdr>
        <w:top w:val="none" w:sz="0" w:space="0" w:color="auto"/>
        <w:left w:val="none" w:sz="0" w:space="0" w:color="auto"/>
        <w:bottom w:val="none" w:sz="0" w:space="0" w:color="auto"/>
        <w:right w:val="none" w:sz="0" w:space="0" w:color="auto"/>
      </w:divBdr>
    </w:div>
    <w:div w:id="629625670">
      <w:bodyDiv w:val="1"/>
      <w:marLeft w:val="0"/>
      <w:marRight w:val="0"/>
      <w:marTop w:val="0"/>
      <w:marBottom w:val="0"/>
      <w:divBdr>
        <w:top w:val="none" w:sz="0" w:space="0" w:color="auto"/>
        <w:left w:val="none" w:sz="0" w:space="0" w:color="auto"/>
        <w:bottom w:val="none" w:sz="0" w:space="0" w:color="auto"/>
        <w:right w:val="none" w:sz="0" w:space="0" w:color="auto"/>
      </w:divBdr>
    </w:div>
    <w:div w:id="757560235">
      <w:bodyDiv w:val="1"/>
      <w:marLeft w:val="0"/>
      <w:marRight w:val="0"/>
      <w:marTop w:val="0"/>
      <w:marBottom w:val="0"/>
      <w:divBdr>
        <w:top w:val="none" w:sz="0" w:space="0" w:color="auto"/>
        <w:left w:val="none" w:sz="0" w:space="0" w:color="auto"/>
        <w:bottom w:val="none" w:sz="0" w:space="0" w:color="auto"/>
        <w:right w:val="none" w:sz="0" w:space="0" w:color="auto"/>
      </w:divBdr>
    </w:div>
    <w:div w:id="867794355">
      <w:bodyDiv w:val="1"/>
      <w:marLeft w:val="0"/>
      <w:marRight w:val="0"/>
      <w:marTop w:val="0"/>
      <w:marBottom w:val="0"/>
      <w:divBdr>
        <w:top w:val="none" w:sz="0" w:space="0" w:color="auto"/>
        <w:left w:val="none" w:sz="0" w:space="0" w:color="auto"/>
        <w:bottom w:val="none" w:sz="0" w:space="0" w:color="auto"/>
        <w:right w:val="none" w:sz="0" w:space="0" w:color="auto"/>
      </w:divBdr>
    </w:div>
    <w:div w:id="915014720">
      <w:bodyDiv w:val="1"/>
      <w:marLeft w:val="0"/>
      <w:marRight w:val="0"/>
      <w:marTop w:val="0"/>
      <w:marBottom w:val="0"/>
      <w:divBdr>
        <w:top w:val="none" w:sz="0" w:space="0" w:color="auto"/>
        <w:left w:val="none" w:sz="0" w:space="0" w:color="auto"/>
        <w:bottom w:val="none" w:sz="0" w:space="0" w:color="auto"/>
        <w:right w:val="none" w:sz="0" w:space="0" w:color="auto"/>
      </w:divBdr>
    </w:div>
    <w:div w:id="1036464654">
      <w:bodyDiv w:val="1"/>
      <w:marLeft w:val="0"/>
      <w:marRight w:val="0"/>
      <w:marTop w:val="0"/>
      <w:marBottom w:val="0"/>
      <w:divBdr>
        <w:top w:val="none" w:sz="0" w:space="0" w:color="auto"/>
        <w:left w:val="none" w:sz="0" w:space="0" w:color="auto"/>
        <w:bottom w:val="none" w:sz="0" w:space="0" w:color="auto"/>
        <w:right w:val="none" w:sz="0" w:space="0" w:color="auto"/>
      </w:divBdr>
    </w:div>
    <w:div w:id="1102802202">
      <w:bodyDiv w:val="1"/>
      <w:marLeft w:val="0"/>
      <w:marRight w:val="0"/>
      <w:marTop w:val="0"/>
      <w:marBottom w:val="0"/>
      <w:divBdr>
        <w:top w:val="none" w:sz="0" w:space="0" w:color="auto"/>
        <w:left w:val="none" w:sz="0" w:space="0" w:color="auto"/>
        <w:bottom w:val="none" w:sz="0" w:space="0" w:color="auto"/>
        <w:right w:val="none" w:sz="0" w:space="0" w:color="auto"/>
      </w:divBdr>
    </w:div>
    <w:div w:id="1116828113">
      <w:bodyDiv w:val="1"/>
      <w:marLeft w:val="0"/>
      <w:marRight w:val="0"/>
      <w:marTop w:val="0"/>
      <w:marBottom w:val="0"/>
      <w:divBdr>
        <w:top w:val="none" w:sz="0" w:space="0" w:color="auto"/>
        <w:left w:val="none" w:sz="0" w:space="0" w:color="auto"/>
        <w:bottom w:val="none" w:sz="0" w:space="0" w:color="auto"/>
        <w:right w:val="none" w:sz="0" w:space="0" w:color="auto"/>
      </w:divBdr>
    </w:div>
    <w:div w:id="1201894463">
      <w:bodyDiv w:val="1"/>
      <w:marLeft w:val="0"/>
      <w:marRight w:val="0"/>
      <w:marTop w:val="0"/>
      <w:marBottom w:val="0"/>
      <w:divBdr>
        <w:top w:val="none" w:sz="0" w:space="0" w:color="auto"/>
        <w:left w:val="none" w:sz="0" w:space="0" w:color="auto"/>
        <w:bottom w:val="none" w:sz="0" w:space="0" w:color="auto"/>
        <w:right w:val="none" w:sz="0" w:space="0" w:color="auto"/>
      </w:divBdr>
    </w:div>
    <w:div w:id="1309287661">
      <w:bodyDiv w:val="1"/>
      <w:marLeft w:val="0"/>
      <w:marRight w:val="0"/>
      <w:marTop w:val="0"/>
      <w:marBottom w:val="0"/>
      <w:divBdr>
        <w:top w:val="none" w:sz="0" w:space="0" w:color="auto"/>
        <w:left w:val="none" w:sz="0" w:space="0" w:color="auto"/>
        <w:bottom w:val="none" w:sz="0" w:space="0" w:color="auto"/>
        <w:right w:val="none" w:sz="0" w:space="0" w:color="auto"/>
      </w:divBdr>
    </w:div>
    <w:div w:id="1312293937">
      <w:bodyDiv w:val="1"/>
      <w:marLeft w:val="0"/>
      <w:marRight w:val="0"/>
      <w:marTop w:val="0"/>
      <w:marBottom w:val="0"/>
      <w:divBdr>
        <w:top w:val="none" w:sz="0" w:space="0" w:color="auto"/>
        <w:left w:val="none" w:sz="0" w:space="0" w:color="auto"/>
        <w:bottom w:val="none" w:sz="0" w:space="0" w:color="auto"/>
        <w:right w:val="none" w:sz="0" w:space="0" w:color="auto"/>
      </w:divBdr>
    </w:div>
    <w:div w:id="1314724056">
      <w:bodyDiv w:val="1"/>
      <w:marLeft w:val="0"/>
      <w:marRight w:val="0"/>
      <w:marTop w:val="0"/>
      <w:marBottom w:val="0"/>
      <w:divBdr>
        <w:top w:val="none" w:sz="0" w:space="0" w:color="auto"/>
        <w:left w:val="none" w:sz="0" w:space="0" w:color="auto"/>
        <w:bottom w:val="none" w:sz="0" w:space="0" w:color="auto"/>
        <w:right w:val="none" w:sz="0" w:space="0" w:color="auto"/>
      </w:divBdr>
    </w:div>
    <w:div w:id="1445811115">
      <w:bodyDiv w:val="1"/>
      <w:marLeft w:val="0"/>
      <w:marRight w:val="0"/>
      <w:marTop w:val="0"/>
      <w:marBottom w:val="0"/>
      <w:divBdr>
        <w:top w:val="none" w:sz="0" w:space="0" w:color="auto"/>
        <w:left w:val="none" w:sz="0" w:space="0" w:color="auto"/>
        <w:bottom w:val="none" w:sz="0" w:space="0" w:color="auto"/>
        <w:right w:val="none" w:sz="0" w:space="0" w:color="auto"/>
      </w:divBdr>
    </w:div>
    <w:div w:id="1704161852">
      <w:bodyDiv w:val="1"/>
      <w:marLeft w:val="0"/>
      <w:marRight w:val="0"/>
      <w:marTop w:val="0"/>
      <w:marBottom w:val="0"/>
      <w:divBdr>
        <w:top w:val="none" w:sz="0" w:space="0" w:color="auto"/>
        <w:left w:val="none" w:sz="0" w:space="0" w:color="auto"/>
        <w:bottom w:val="none" w:sz="0" w:space="0" w:color="auto"/>
        <w:right w:val="none" w:sz="0" w:space="0" w:color="auto"/>
      </w:divBdr>
    </w:div>
    <w:div w:id="1895123053">
      <w:bodyDiv w:val="1"/>
      <w:marLeft w:val="0"/>
      <w:marRight w:val="0"/>
      <w:marTop w:val="0"/>
      <w:marBottom w:val="0"/>
      <w:divBdr>
        <w:top w:val="none" w:sz="0" w:space="0" w:color="auto"/>
        <w:left w:val="none" w:sz="0" w:space="0" w:color="auto"/>
        <w:bottom w:val="none" w:sz="0" w:space="0" w:color="auto"/>
        <w:right w:val="none" w:sz="0" w:space="0" w:color="auto"/>
      </w:divBdr>
    </w:div>
    <w:div w:id="1923249015">
      <w:bodyDiv w:val="1"/>
      <w:marLeft w:val="0"/>
      <w:marRight w:val="0"/>
      <w:marTop w:val="0"/>
      <w:marBottom w:val="0"/>
      <w:divBdr>
        <w:top w:val="none" w:sz="0" w:space="0" w:color="auto"/>
        <w:left w:val="none" w:sz="0" w:space="0" w:color="auto"/>
        <w:bottom w:val="none" w:sz="0" w:space="0" w:color="auto"/>
        <w:right w:val="none" w:sz="0" w:space="0" w:color="auto"/>
      </w:divBdr>
    </w:div>
    <w:div w:id="1954628172">
      <w:bodyDiv w:val="1"/>
      <w:marLeft w:val="0"/>
      <w:marRight w:val="0"/>
      <w:marTop w:val="0"/>
      <w:marBottom w:val="0"/>
      <w:divBdr>
        <w:top w:val="none" w:sz="0" w:space="0" w:color="auto"/>
        <w:left w:val="none" w:sz="0" w:space="0" w:color="auto"/>
        <w:bottom w:val="none" w:sz="0" w:space="0" w:color="auto"/>
        <w:right w:val="none" w:sz="0" w:space="0" w:color="auto"/>
      </w:divBdr>
    </w:div>
    <w:div w:id="1988053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336</TotalTime>
  <Pages>10</Pages>
  <Words>1585</Words>
  <Characters>9040</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Filip Mundt</dc:creator>
  <cp:lastModifiedBy>Filip Mundt</cp:lastModifiedBy>
  <cp:revision>14</cp:revision>
  <cp:lastPrinted>2017-11-30T16:28:00Z</cp:lastPrinted>
  <dcterms:created xsi:type="dcterms:W3CDTF">2017-12-10T22:35:00Z</dcterms:created>
  <dcterms:modified xsi:type="dcterms:W3CDTF">2018-02-18T22:29:00Z</dcterms:modified>
</cp:coreProperties>
</file>