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A6B27" w14:textId="1CB3D9BE" w:rsidR="00C850B8" w:rsidRDefault="007170D4" w:rsidP="008A3BFF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7170D4">
        <w:rPr>
          <w:rFonts w:ascii="Arial" w:hAnsi="Arial" w:cs="Arial"/>
          <w:b/>
          <w:sz w:val="40"/>
          <w:szCs w:val="40"/>
        </w:rPr>
        <w:t>Supplementary Materials</w:t>
      </w:r>
    </w:p>
    <w:p w14:paraId="3AB50B64" w14:textId="77777777" w:rsidR="008A3BFF" w:rsidRPr="008A3BFF" w:rsidRDefault="008A3BFF" w:rsidP="008A3BFF">
      <w:pPr>
        <w:jc w:val="center"/>
        <w:rPr>
          <w:rFonts w:ascii="Arial" w:hAnsi="Arial" w:cs="Arial"/>
          <w:b/>
          <w:sz w:val="40"/>
          <w:szCs w:val="40"/>
        </w:rPr>
      </w:pPr>
    </w:p>
    <w:p w14:paraId="196B442B" w14:textId="0CAD2F70" w:rsidR="00776BB2" w:rsidRDefault="00C24B99" w:rsidP="00776BB2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C24B99">
        <w:rPr>
          <w:rFonts w:ascii="Arial" w:hAnsi="Arial" w:cs="Arial"/>
          <w:b/>
          <w:sz w:val="28"/>
          <w:szCs w:val="28"/>
        </w:rPr>
        <w:t>Schematics of treatment dynamics</w:t>
      </w:r>
    </w:p>
    <w:p w14:paraId="708DEB3C" w14:textId="42CC670B" w:rsidR="008A3BFF" w:rsidRDefault="009A66B9" w:rsidP="00776BB2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699EB6F" wp14:editId="576A8367">
            <wp:extent cx="5943600" cy="3649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osite-schematics-SM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555E5" w14:textId="77777777" w:rsidR="002024D5" w:rsidRDefault="002024D5" w:rsidP="008A3BFF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EE812E2" w14:textId="77777777" w:rsidR="00B92A2C" w:rsidRDefault="008A3BFF" w:rsidP="00B92A2C">
      <w:pPr>
        <w:spacing w:line="240" w:lineRule="auto"/>
        <w:jc w:val="both"/>
        <w:rPr>
          <w:rFonts w:ascii="Arial" w:hAnsi="Arial" w:cs="Arial"/>
        </w:rPr>
      </w:pPr>
      <w:r w:rsidRPr="00B9171E">
        <w:rPr>
          <w:rFonts w:ascii="Arial" w:hAnsi="Arial" w:cs="Arial"/>
          <w:b/>
        </w:rPr>
        <w:t xml:space="preserve">Figure </w:t>
      </w:r>
      <w:r>
        <w:rPr>
          <w:rFonts w:ascii="Arial" w:hAnsi="Arial" w:cs="Arial"/>
          <w:b/>
        </w:rPr>
        <w:t>S1. Schematics of treatment dynamics</w:t>
      </w:r>
      <w:r w:rsidRPr="00B9171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DF1694">
        <w:rPr>
          <w:rFonts w:ascii="Arial" w:hAnsi="Arial" w:cs="Arial"/>
        </w:rPr>
        <w:t>(A) The model takes into account four tumor cell populations: Quiescent stem cells, Q, actively proliferating stem cells, S, transit amplifying cells, T, and differentiated cells, D.</w:t>
      </w:r>
      <w:r w:rsidRPr="00132F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Actively dividing stem cells and transit amplifying cells divide at rates r</w:t>
      </w:r>
      <w:r w:rsidRPr="00132F90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and r</w:t>
      </w:r>
      <w:r>
        <w:rPr>
          <w:rFonts w:ascii="Arial" w:hAnsi="Arial" w:cs="Arial"/>
          <w:vertAlign w:val="subscript"/>
        </w:rPr>
        <w:t xml:space="preserve">2 </w:t>
      </w:r>
      <w:r>
        <w:rPr>
          <w:rFonts w:ascii="Arial" w:hAnsi="Arial" w:cs="Arial"/>
        </w:rPr>
        <w:t xml:space="preserve">respectively. </w:t>
      </w:r>
      <w:r w:rsidRPr="001C5278">
        <w:rPr>
          <w:rFonts w:ascii="Arial" w:hAnsi="Arial" w:cs="Arial"/>
        </w:rPr>
        <w:t>With a probability p</w:t>
      </w:r>
      <w:r w:rsidRPr="001C5278">
        <w:rPr>
          <w:rFonts w:ascii="Arial" w:hAnsi="Arial" w:cs="Arial"/>
          <w:vertAlign w:val="subscript"/>
        </w:rPr>
        <w:t>1</w:t>
      </w:r>
      <w:r w:rsidRPr="001C52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stem cell division results in two stem cells and with probability (1-</w:t>
      </w:r>
      <w:r w:rsidRPr="001C5278">
        <w:rPr>
          <w:rFonts w:ascii="Arial" w:hAnsi="Arial" w:cs="Arial"/>
        </w:rPr>
        <w:t xml:space="preserve"> p</w:t>
      </w:r>
      <w:r w:rsidRPr="001C5278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) in two transit-amplifying cells (asymmetric division is discussed in the text). Similarly, the division of a transit amplifying cells results in two transit amplifying cells with probability </w:t>
      </w:r>
      <w:r w:rsidRPr="001C5278">
        <w:rPr>
          <w:rFonts w:ascii="Arial" w:hAnsi="Arial" w:cs="Arial"/>
        </w:rPr>
        <w:t>p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. </w:t>
      </w:r>
      <w:r w:rsidRPr="001C5278">
        <w:rPr>
          <w:rFonts w:ascii="Arial" w:hAnsi="Arial" w:cs="Arial"/>
        </w:rPr>
        <w:t xml:space="preserve">With a rate </w:t>
      </w:r>
      <w:r w:rsidRPr="001C5278">
        <w:rPr>
          <w:rFonts w:ascii="Arial" w:hAnsi="Arial" w:cs="Arial"/>
          <w:i/>
        </w:rPr>
        <w:t>f</w:t>
      </w:r>
      <w:r w:rsidRPr="001C5278">
        <w:rPr>
          <w:rFonts w:ascii="Arial" w:hAnsi="Arial" w:cs="Arial"/>
        </w:rPr>
        <w:t xml:space="preserve">, actively dividing stem cells enter quiescence, and quiescent stem cells become spontaneously activated with a rate </w:t>
      </w:r>
      <w:r w:rsidRPr="001C5278">
        <w:rPr>
          <w:rFonts w:ascii="Arial" w:hAnsi="Arial" w:cs="Arial"/>
          <w:i/>
        </w:rPr>
        <w:t>g</w:t>
      </w:r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</w:rPr>
        <w:t xml:space="preserve">Differentiated cells die at a rate </w:t>
      </w:r>
      <w:r w:rsidRPr="00DF1694">
        <w:rPr>
          <w:rFonts w:ascii="Arial" w:hAnsi="Arial" w:cs="Arial"/>
          <w:i/>
        </w:rPr>
        <w:t>d</w:t>
      </w:r>
      <w:r>
        <w:rPr>
          <w:rFonts w:ascii="Arial" w:hAnsi="Arial" w:cs="Arial"/>
        </w:rPr>
        <w:t>. T</w:t>
      </w:r>
      <w:r w:rsidRPr="00132F90">
        <w:rPr>
          <w:rFonts w:ascii="Arial" w:hAnsi="Arial" w:cs="Arial"/>
        </w:rPr>
        <w:t>herapy is assumed to kill differentiated, transit amplifying</w:t>
      </w:r>
      <w:r>
        <w:rPr>
          <w:rFonts w:ascii="Arial" w:hAnsi="Arial" w:cs="Arial"/>
        </w:rPr>
        <w:t>,</w:t>
      </w:r>
      <w:r w:rsidRPr="00132F90">
        <w:rPr>
          <w:rFonts w:ascii="Arial" w:hAnsi="Arial" w:cs="Arial"/>
        </w:rPr>
        <w:t xml:space="preserve"> and tumor stem cells with rate c</w:t>
      </w:r>
      <w:r w:rsidRPr="00132F90">
        <w:rPr>
          <w:rFonts w:ascii="Arial" w:hAnsi="Arial" w:cs="Arial"/>
          <w:vertAlign w:val="subscript"/>
        </w:rPr>
        <w:t>1</w:t>
      </w:r>
      <w:r w:rsidRPr="00132F90">
        <w:rPr>
          <w:rFonts w:ascii="Arial" w:hAnsi="Arial" w:cs="Arial"/>
        </w:rPr>
        <w:t>, c</w:t>
      </w:r>
      <w:r w:rsidRPr="00132F90">
        <w:rPr>
          <w:rFonts w:ascii="Arial" w:hAnsi="Arial" w:cs="Arial"/>
          <w:vertAlign w:val="subscript"/>
        </w:rPr>
        <w:t>2</w:t>
      </w:r>
      <w:r w:rsidRPr="00132F90">
        <w:rPr>
          <w:rFonts w:ascii="Arial" w:hAnsi="Arial" w:cs="Arial"/>
        </w:rPr>
        <w:t>, and c</w:t>
      </w:r>
      <w:r w:rsidRPr="00132F90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, respectively</w:t>
      </w:r>
      <w:r w:rsidRPr="005C2DC4">
        <w:rPr>
          <w:rFonts w:ascii="Arial" w:hAnsi="Arial" w:cs="Arial"/>
        </w:rPr>
        <w:t>. In agreement with the notion that tumor stem cells are less sensitive to chemotherapy than differentiated or transit amplifying tumor cells, we assume that c</w:t>
      </w:r>
      <w:r w:rsidRPr="005C2DC4">
        <w:rPr>
          <w:rFonts w:ascii="Arial" w:hAnsi="Arial" w:cs="Arial"/>
          <w:vertAlign w:val="subscript"/>
        </w:rPr>
        <w:t>3</w:t>
      </w:r>
      <w:r w:rsidRPr="005C2DC4">
        <w:rPr>
          <w:rFonts w:ascii="Arial" w:hAnsi="Arial" w:cs="Arial"/>
        </w:rPr>
        <w:t>&lt;&lt;c</w:t>
      </w:r>
      <w:r w:rsidRPr="005C2DC4">
        <w:rPr>
          <w:rFonts w:ascii="Arial" w:hAnsi="Arial" w:cs="Arial"/>
          <w:vertAlign w:val="subscript"/>
        </w:rPr>
        <w:t>1</w:t>
      </w:r>
      <w:r w:rsidRPr="005C2DC4">
        <w:rPr>
          <w:rFonts w:ascii="Arial" w:hAnsi="Arial" w:cs="Arial"/>
        </w:rPr>
        <w:t>, c</w:t>
      </w:r>
      <w:r w:rsidRPr="005C2DC4">
        <w:rPr>
          <w:rFonts w:ascii="Arial" w:hAnsi="Arial" w:cs="Arial"/>
          <w:vertAlign w:val="subscript"/>
        </w:rPr>
        <w:t>2</w:t>
      </w:r>
      <w:r w:rsidRPr="005C2DC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Negative feedback is not shown in the figure. (B) </w:t>
      </w:r>
      <w:r w:rsidRPr="007F402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chemotherapy-induced </w:t>
      </w:r>
      <w:r w:rsidRPr="007F402A">
        <w:rPr>
          <w:rFonts w:ascii="Arial" w:hAnsi="Arial" w:cs="Arial"/>
        </w:rPr>
        <w:t>deat</w:t>
      </w:r>
      <w:r>
        <w:rPr>
          <w:rFonts w:ascii="Arial" w:hAnsi="Arial" w:cs="Arial"/>
        </w:rPr>
        <w:t>h of tumor</w:t>
      </w:r>
      <w:r w:rsidRPr="007F402A">
        <w:rPr>
          <w:rFonts w:ascii="Arial" w:hAnsi="Arial" w:cs="Arial"/>
        </w:rPr>
        <w:t xml:space="preserve"> cells triggers the release of wound-healing factors</w:t>
      </w:r>
      <w:r>
        <w:rPr>
          <w:rFonts w:ascii="Arial" w:hAnsi="Arial" w:cs="Arial"/>
        </w:rPr>
        <w:t xml:space="preserve"> that promote the activation of quiescent tumor stem cells and their proliferation. </w:t>
      </w:r>
    </w:p>
    <w:p w14:paraId="35B2F1DF" w14:textId="582950C6" w:rsidR="00C24B99" w:rsidRDefault="00C24B99" w:rsidP="00B92A2C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Additional simulations for the spatial model</w:t>
      </w:r>
    </w:p>
    <w:p w14:paraId="440CB2B1" w14:textId="77777777" w:rsidR="00B92A2C" w:rsidRPr="00B92A2C" w:rsidRDefault="00B92A2C" w:rsidP="00B92A2C">
      <w:pPr>
        <w:spacing w:line="240" w:lineRule="auto"/>
        <w:jc w:val="both"/>
        <w:rPr>
          <w:rFonts w:ascii="Arial" w:hAnsi="Arial" w:cs="Arial"/>
        </w:rPr>
      </w:pPr>
    </w:p>
    <w:p w14:paraId="7C711062" w14:textId="244B8682" w:rsidR="00CB022E" w:rsidRDefault="0001086D" w:rsidP="004C7DA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Figure S2A exemplifies the effects of negative feedback on </w:t>
      </w:r>
      <w:r w:rsidR="00E0301F">
        <w:rPr>
          <w:rFonts w:ascii="Arial" w:hAnsi="Arial" w:cs="Arial"/>
          <w:sz w:val="24"/>
          <w:szCs w:val="24"/>
        </w:rPr>
        <w:t>tumor size</w:t>
      </w:r>
      <w:r w:rsidR="00A92BD5">
        <w:rPr>
          <w:rFonts w:ascii="Arial" w:hAnsi="Arial" w:cs="Arial"/>
          <w:sz w:val="24"/>
          <w:szCs w:val="24"/>
        </w:rPr>
        <w:t xml:space="preserve"> for untreated tumors</w:t>
      </w:r>
      <w:r w:rsidR="008063C8">
        <w:rPr>
          <w:rFonts w:ascii="Arial" w:hAnsi="Arial" w:cs="Arial"/>
          <w:sz w:val="24"/>
          <w:szCs w:val="24"/>
        </w:rPr>
        <w:t>.</w:t>
      </w:r>
      <w:r w:rsidR="00E0301F">
        <w:rPr>
          <w:rFonts w:ascii="Arial" w:hAnsi="Arial" w:cs="Arial"/>
          <w:sz w:val="24"/>
          <w:szCs w:val="24"/>
        </w:rPr>
        <w:t xml:space="preserve"> </w:t>
      </w:r>
      <w:r w:rsidR="001D6A71">
        <w:rPr>
          <w:rFonts w:ascii="Arial" w:hAnsi="Arial" w:cs="Arial"/>
          <w:sz w:val="24"/>
          <w:szCs w:val="24"/>
        </w:rPr>
        <w:t>When the wound healing response is present, t</w:t>
      </w:r>
      <w:r w:rsidR="00CA0381">
        <w:rPr>
          <w:rFonts w:ascii="Arial" w:hAnsi="Arial" w:cs="Arial"/>
          <w:sz w:val="24"/>
          <w:szCs w:val="24"/>
        </w:rPr>
        <w:t xml:space="preserve">he </w:t>
      </w:r>
      <w:r w:rsidR="00A53611">
        <w:rPr>
          <w:rFonts w:ascii="Arial" w:hAnsi="Arial" w:cs="Arial"/>
          <w:sz w:val="24"/>
          <w:szCs w:val="24"/>
        </w:rPr>
        <w:t xml:space="preserve">tumor dynamics in response to treatment </w:t>
      </w:r>
      <w:r w:rsidR="00CA0381">
        <w:rPr>
          <w:rFonts w:ascii="Arial" w:hAnsi="Arial" w:cs="Arial"/>
          <w:sz w:val="24"/>
          <w:szCs w:val="24"/>
        </w:rPr>
        <w:t xml:space="preserve">are similar to those in the non-spatial model. </w:t>
      </w:r>
      <w:r w:rsidR="00A53611">
        <w:rPr>
          <w:rFonts w:ascii="Arial" w:hAnsi="Arial" w:cs="Arial"/>
          <w:sz w:val="24"/>
          <w:szCs w:val="24"/>
        </w:rPr>
        <w:t xml:space="preserve">If the treatment-induced tumor stem cell death is a more dominant force compared to tumor stem cell repopulation, then </w:t>
      </w:r>
      <w:r w:rsidR="00A12FBB">
        <w:rPr>
          <w:rFonts w:ascii="Arial" w:hAnsi="Arial" w:cs="Arial"/>
          <w:sz w:val="24"/>
          <w:szCs w:val="24"/>
        </w:rPr>
        <w:t xml:space="preserve">after multiple treatment cycles, tumor load can be significantly lower compared to the untreated simulation (Figure 2SB). </w:t>
      </w:r>
      <w:r w:rsidR="007847EC">
        <w:rPr>
          <w:rFonts w:ascii="Arial" w:hAnsi="Arial" w:cs="Arial"/>
          <w:sz w:val="24"/>
          <w:szCs w:val="24"/>
        </w:rPr>
        <w:t xml:space="preserve">In contrast, if the rate of treatment-induced stem cell expansion/repopulation is more pronounced than the rate of stem cell death, treatment cycles could lead to post-therapy tumor sizes that are bigger than those occur </w:t>
      </w:r>
      <w:r w:rsidR="002D40AE">
        <w:rPr>
          <w:rFonts w:ascii="Arial" w:hAnsi="Arial" w:cs="Arial"/>
          <w:sz w:val="24"/>
          <w:szCs w:val="24"/>
        </w:rPr>
        <w:t>w</w:t>
      </w:r>
      <w:r w:rsidR="00231A3E">
        <w:rPr>
          <w:rFonts w:ascii="Arial" w:hAnsi="Arial" w:cs="Arial"/>
          <w:sz w:val="24"/>
          <w:szCs w:val="24"/>
        </w:rPr>
        <w:t xml:space="preserve">ithout treatment (Figure 2SC) </w:t>
      </w:r>
      <w:r w:rsidR="00231A3E">
        <w:rPr>
          <w:rFonts w:ascii="Arial" w:hAnsi="Arial" w:cs="Arial"/>
          <w:sz w:val="24"/>
          <w:szCs w:val="24"/>
        </w:rPr>
        <w:softHyphen/>
        <w:t>–</w:t>
      </w:r>
      <w:r w:rsidR="002D40AE">
        <w:rPr>
          <w:rFonts w:ascii="Arial" w:hAnsi="Arial" w:cs="Arial"/>
          <w:sz w:val="24"/>
          <w:szCs w:val="24"/>
        </w:rPr>
        <w:t xml:space="preserve">the same behavior occurs for strong or no negative feedback; not shown. </w:t>
      </w:r>
      <w:r w:rsidR="00D71253">
        <w:rPr>
          <w:rFonts w:ascii="Arial" w:hAnsi="Arial" w:cs="Arial"/>
          <w:sz w:val="24"/>
          <w:szCs w:val="24"/>
        </w:rPr>
        <w:t>W</w:t>
      </w:r>
      <w:r w:rsidR="007847EC">
        <w:rPr>
          <w:rFonts w:ascii="Arial" w:hAnsi="Arial" w:cs="Arial"/>
          <w:sz w:val="24"/>
          <w:szCs w:val="24"/>
        </w:rPr>
        <w:t>hen negative feedback is present</w:t>
      </w:r>
      <w:r w:rsidR="00FC2A72">
        <w:rPr>
          <w:rFonts w:ascii="Arial" w:hAnsi="Arial" w:cs="Arial"/>
          <w:sz w:val="24"/>
          <w:szCs w:val="24"/>
        </w:rPr>
        <w:t xml:space="preserve">, there is a reduction in the treatment response over successive treatment cycles, even for </w:t>
      </w:r>
      <w:r w:rsidR="0046191E">
        <w:rPr>
          <w:rFonts w:ascii="Arial" w:hAnsi="Arial" w:cs="Arial"/>
          <w:sz w:val="24"/>
          <w:szCs w:val="24"/>
        </w:rPr>
        <w:t xml:space="preserve">a </w:t>
      </w:r>
      <w:r w:rsidR="00FC2A72">
        <w:rPr>
          <w:rFonts w:ascii="Arial" w:hAnsi="Arial" w:cs="Arial"/>
          <w:sz w:val="24"/>
          <w:szCs w:val="24"/>
        </w:rPr>
        <w:t>relative weak (</w:t>
      </w:r>
      <w:r w:rsidR="0046191E">
        <w:rPr>
          <w:rFonts w:ascii="Arial" w:hAnsi="Arial" w:cs="Arial"/>
          <w:sz w:val="24"/>
          <w:szCs w:val="24"/>
        </w:rPr>
        <w:t>k=0.2) negative feedback signal</w:t>
      </w:r>
      <w:r w:rsidR="00FC2A72">
        <w:rPr>
          <w:rFonts w:ascii="Arial" w:hAnsi="Arial" w:cs="Arial"/>
          <w:sz w:val="24"/>
          <w:szCs w:val="24"/>
        </w:rPr>
        <w:t xml:space="preserve"> (Figure S2D).</w:t>
      </w:r>
    </w:p>
    <w:p w14:paraId="3158FF03" w14:textId="77777777" w:rsidR="0046191E" w:rsidRDefault="0046191E" w:rsidP="004C7DA1">
      <w:pPr>
        <w:spacing w:line="480" w:lineRule="auto"/>
        <w:rPr>
          <w:rFonts w:ascii="Arial" w:hAnsi="Arial" w:cs="Arial"/>
          <w:sz w:val="24"/>
          <w:szCs w:val="24"/>
        </w:rPr>
      </w:pPr>
    </w:p>
    <w:p w14:paraId="4FBC726B" w14:textId="74EB9E49" w:rsidR="00B9171E" w:rsidRDefault="00976BE9" w:rsidP="00D6498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B022E">
        <w:rPr>
          <w:rFonts w:ascii="Arial" w:hAnsi="Arial" w:cs="Arial"/>
          <w:sz w:val="24"/>
          <w:szCs w:val="24"/>
        </w:rPr>
        <w:tab/>
      </w:r>
      <w:r w:rsidR="00566659">
        <w:rPr>
          <w:rFonts w:ascii="Arial" w:hAnsi="Arial" w:cs="Arial"/>
          <w:sz w:val="24"/>
          <w:szCs w:val="24"/>
        </w:rPr>
        <w:t xml:space="preserve">Finally, </w:t>
      </w:r>
      <w:r w:rsidR="00CB022E">
        <w:rPr>
          <w:rFonts w:ascii="Arial" w:hAnsi="Arial" w:cs="Arial"/>
          <w:sz w:val="24"/>
          <w:szCs w:val="24"/>
        </w:rPr>
        <w:t>F</w:t>
      </w:r>
      <w:r w:rsidR="0031754E">
        <w:rPr>
          <w:rFonts w:ascii="Arial" w:hAnsi="Arial" w:cs="Arial"/>
          <w:sz w:val="24"/>
          <w:szCs w:val="24"/>
        </w:rPr>
        <w:t>igure S2E</w:t>
      </w:r>
      <w:r w:rsidR="008E66F0">
        <w:rPr>
          <w:rFonts w:ascii="Arial" w:hAnsi="Arial" w:cs="Arial"/>
          <w:sz w:val="24"/>
          <w:szCs w:val="24"/>
        </w:rPr>
        <w:t xml:space="preserve"> plots</w:t>
      </w:r>
      <w:r w:rsidR="00BE65ED">
        <w:rPr>
          <w:rFonts w:ascii="Arial" w:hAnsi="Arial" w:cs="Arial"/>
          <w:sz w:val="24"/>
          <w:szCs w:val="24"/>
        </w:rPr>
        <w:t xml:space="preserve"> t</w:t>
      </w:r>
      <w:r w:rsidR="00C5146F">
        <w:rPr>
          <w:rFonts w:ascii="Arial" w:hAnsi="Arial" w:cs="Arial"/>
          <w:sz w:val="24"/>
          <w:szCs w:val="24"/>
        </w:rPr>
        <w:t>rajectories of tumor growth when no feedback is present</w:t>
      </w:r>
      <w:r w:rsidR="00983007">
        <w:rPr>
          <w:rFonts w:ascii="Arial" w:hAnsi="Arial" w:cs="Arial"/>
          <w:sz w:val="24"/>
          <w:szCs w:val="24"/>
        </w:rPr>
        <w:t xml:space="preserve">. </w:t>
      </w:r>
      <w:r w:rsidR="00686129">
        <w:rPr>
          <w:rFonts w:ascii="Arial" w:hAnsi="Arial" w:cs="Arial"/>
          <w:sz w:val="24"/>
          <w:szCs w:val="24"/>
        </w:rPr>
        <w:t>Note that t</w:t>
      </w:r>
      <w:r w:rsidR="002134B6">
        <w:rPr>
          <w:rFonts w:ascii="Arial" w:hAnsi="Arial" w:cs="Arial"/>
          <w:sz w:val="24"/>
          <w:szCs w:val="24"/>
        </w:rPr>
        <w:t>here is an interest</w:t>
      </w:r>
      <w:r w:rsidR="00DE2E6B">
        <w:rPr>
          <w:rFonts w:ascii="Arial" w:hAnsi="Arial" w:cs="Arial"/>
          <w:sz w:val="24"/>
          <w:szCs w:val="24"/>
        </w:rPr>
        <w:t>ing difference between</w:t>
      </w:r>
      <w:r w:rsidR="002134B6">
        <w:rPr>
          <w:rFonts w:ascii="Arial" w:hAnsi="Arial" w:cs="Arial"/>
          <w:sz w:val="24"/>
          <w:szCs w:val="24"/>
        </w:rPr>
        <w:t xml:space="preserve"> the treatment response</w:t>
      </w:r>
      <w:r w:rsidR="0057051B">
        <w:rPr>
          <w:rFonts w:ascii="Arial" w:hAnsi="Arial" w:cs="Arial"/>
          <w:sz w:val="24"/>
          <w:szCs w:val="24"/>
        </w:rPr>
        <w:t>s in</w:t>
      </w:r>
      <w:r w:rsidR="00DE2E6B">
        <w:rPr>
          <w:rFonts w:ascii="Arial" w:hAnsi="Arial" w:cs="Arial"/>
          <w:sz w:val="24"/>
          <w:szCs w:val="24"/>
        </w:rPr>
        <w:t xml:space="preserve"> </w:t>
      </w:r>
      <w:r w:rsidR="002134B6">
        <w:rPr>
          <w:rFonts w:ascii="Arial" w:hAnsi="Arial" w:cs="Arial"/>
          <w:sz w:val="24"/>
          <w:szCs w:val="24"/>
        </w:rPr>
        <w:t xml:space="preserve">the </w:t>
      </w:r>
      <w:r w:rsidR="00013C50">
        <w:rPr>
          <w:rFonts w:ascii="Arial" w:hAnsi="Arial" w:cs="Arial"/>
          <w:sz w:val="24"/>
          <w:szCs w:val="24"/>
        </w:rPr>
        <w:t xml:space="preserve">spatial and non-spatial models (compare Figures </w:t>
      </w:r>
      <w:r w:rsidR="0031754E">
        <w:rPr>
          <w:rFonts w:ascii="Arial" w:hAnsi="Arial" w:cs="Arial"/>
          <w:sz w:val="24"/>
          <w:szCs w:val="24"/>
        </w:rPr>
        <w:t>2D and 2SF</w:t>
      </w:r>
      <w:r w:rsidR="00013C50">
        <w:rPr>
          <w:rFonts w:ascii="Arial" w:hAnsi="Arial" w:cs="Arial"/>
          <w:sz w:val="24"/>
          <w:szCs w:val="24"/>
        </w:rPr>
        <w:t xml:space="preserve">).  </w:t>
      </w:r>
      <w:r w:rsidR="00C313E3">
        <w:rPr>
          <w:rFonts w:ascii="Arial" w:hAnsi="Arial" w:cs="Arial"/>
          <w:sz w:val="24"/>
          <w:szCs w:val="24"/>
        </w:rPr>
        <w:t>I</w:t>
      </w:r>
      <w:r w:rsidR="00351D67">
        <w:rPr>
          <w:rFonts w:ascii="Arial" w:hAnsi="Arial" w:cs="Arial"/>
          <w:sz w:val="24"/>
          <w:szCs w:val="24"/>
        </w:rPr>
        <w:t xml:space="preserve">n the </w:t>
      </w:r>
      <w:r w:rsidR="00CE7CBE">
        <w:rPr>
          <w:rFonts w:ascii="Arial" w:hAnsi="Arial" w:cs="Arial"/>
          <w:sz w:val="24"/>
          <w:szCs w:val="24"/>
        </w:rPr>
        <w:t>non-</w:t>
      </w:r>
      <w:r w:rsidR="00351D67">
        <w:rPr>
          <w:rFonts w:ascii="Arial" w:hAnsi="Arial" w:cs="Arial"/>
          <w:sz w:val="24"/>
          <w:szCs w:val="24"/>
        </w:rPr>
        <w:t>spatial mo</w:t>
      </w:r>
      <w:r w:rsidR="00451941">
        <w:rPr>
          <w:rFonts w:ascii="Arial" w:hAnsi="Arial" w:cs="Arial"/>
          <w:sz w:val="24"/>
          <w:szCs w:val="24"/>
        </w:rPr>
        <w:t xml:space="preserve">del </w:t>
      </w:r>
      <w:r w:rsidR="00351D67">
        <w:rPr>
          <w:rFonts w:ascii="Arial" w:hAnsi="Arial" w:cs="Arial"/>
          <w:sz w:val="24"/>
          <w:szCs w:val="24"/>
        </w:rPr>
        <w:t>each therapy round</w:t>
      </w:r>
      <w:r w:rsidR="00CE7CBE">
        <w:rPr>
          <w:rFonts w:ascii="Arial" w:hAnsi="Arial" w:cs="Arial"/>
          <w:sz w:val="24"/>
          <w:szCs w:val="24"/>
        </w:rPr>
        <w:t xml:space="preserve"> produces the same percent reduction in tumor size</w:t>
      </w:r>
      <w:r w:rsidR="0031754E">
        <w:rPr>
          <w:rFonts w:ascii="Arial" w:hAnsi="Arial" w:cs="Arial"/>
          <w:sz w:val="24"/>
          <w:szCs w:val="24"/>
        </w:rPr>
        <w:t xml:space="preserve"> (Figure 2D</w:t>
      </w:r>
      <w:r w:rsidR="00451941">
        <w:rPr>
          <w:rFonts w:ascii="Arial" w:hAnsi="Arial" w:cs="Arial"/>
          <w:sz w:val="24"/>
          <w:szCs w:val="24"/>
        </w:rPr>
        <w:t>)</w:t>
      </w:r>
      <w:r w:rsidR="00CE7CBE">
        <w:rPr>
          <w:rFonts w:ascii="Arial" w:hAnsi="Arial" w:cs="Arial"/>
          <w:sz w:val="24"/>
          <w:szCs w:val="24"/>
        </w:rPr>
        <w:t xml:space="preserve">. </w:t>
      </w:r>
      <w:r w:rsidR="00C344B2">
        <w:rPr>
          <w:rFonts w:ascii="Arial" w:hAnsi="Arial" w:cs="Arial"/>
          <w:sz w:val="24"/>
          <w:szCs w:val="24"/>
        </w:rPr>
        <w:t>In</w:t>
      </w:r>
      <w:r w:rsidR="00041796">
        <w:rPr>
          <w:rFonts w:ascii="Arial" w:hAnsi="Arial" w:cs="Arial"/>
          <w:sz w:val="24"/>
          <w:szCs w:val="24"/>
        </w:rPr>
        <w:t xml:space="preserve"> the spatia</w:t>
      </w:r>
      <w:r w:rsidR="00670C1F">
        <w:rPr>
          <w:rFonts w:ascii="Arial" w:hAnsi="Arial" w:cs="Arial"/>
          <w:sz w:val="24"/>
          <w:szCs w:val="24"/>
        </w:rPr>
        <w:t>l model</w:t>
      </w:r>
      <w:r w:rsidR="009A33F0">
        <w:rPr>
          <w:rFonts w:ascii="Arial" w:hAnsi="Arial" w:cs="Arial"/>
          <w:sz w:val="24"/>
          <w:szCs w:val="24"/>
        </w:rPr>
        <w:t xml:space="preserve">, </w:t>
      </w:r>
      <w:r w:rsidR="00451941">
        <w:rPr>
          <w:rFonts w:ascii="Arial" w:hAnsi="Arial" w:cs="Arial"/>
          <w:sz w:val="24"/>
          <w:szCs w:val="24"/>
        </w:rPr>
        <w:t>on the other hand</w:t>
      </w:r>
      <w:r w:rsidR="00C344B2">
        <w:rPr>
          <w:rFonts w:ascii="Arial" w:hAnsi="Arial" w:cs="Arial"/>
          <w:sz w:val="24"/>
          <w:szCs w:val="24"/>
        </w:rPr>
        <w:t xml:space="preserve">, </w:t>
      </w:r>
      <w:r w:rsidR="00CA3AF6">
        <w:rPr>
          <w:rFonts w:ascii="Arial" w:hAnsi="Arial" w:cs="Arial"/>
          <w:sz w:val="24"/>
          <w:szCs w:val="24"/>
        </w:rPr>
        <w:t xml:space="preserve">there is a decrease in </w:t>
      </w:r>
      <w:r w:rsidR="00670C1F">
        <w:rPr>
          <w:rFonts w:ascii="Arial" w:hAnsi="Arial" w:cs="Arial"/>
          <w:sz w:val="24"/>
          <w:szCs w:val="24"/>
        </w:rPr>
        <w:t xml:space="preserve">treatment response after </w:t>
      </w:r>
      <w:r w:rsidR="00213663">
        <w:rPr>
          <w:rFonts w:ascii="Arial" w:hAnsi="Arial" w:cs="Arial"/>
          <w:sz w:val="24"/>
          <w:szCs w:val="24"/>
        </w:rPr>
        <w:t xml:space="preserve">multiple </w:t>
      </w:r>
      <w:r w:rsidR="002C49A6">
        <w:rPr>
          <w:rFonts w:ascii="Arial" w:hAnsi="Arial" w:cs="Arial"/>
          <w:sz w:val="24"/>
          <w:szCs w:val="24"/>
        </w:rPr>
        <w:t>therapy</w:t>
      </w:r>
      <w:r w:rsidR="00CB022E">
        <w:rPr>
          <w:rFonts w:ascii="Arial" w:hAnsi="Arial" w:cs="Arial"/>
          <w:sz w:val="24"/>
          <w:szCs w:val="24"/>
        </w:rPr>
        <w:t xml:space="preserve"> </w:t>
      </w:r>
      <w:r w:rsidR="00213663">
        <w:rPr>
          <w:rFonts w:ascii="Arial" w:hAnsi="Arial" w:cs="Arial"/>
          <w:sz w:val="24"/>
          <w:szCs w:val="24"/>
        </w:rPr>
        <w:t xml:space="preserve">rounds </w:t>
      </w:r>
      <w:r w:rsidR="0031754E">
        <w:rPr>
          <w:rFonts w:ascii="Arial" w:hAnsi="Arial" w:cs="Arial"/>
          <w:sz w:val="24"/>
          <w:szCs w:val="24"/>
        </w:rPr>
        <w:t>(Figure S2F</w:t>
      </w:r>
      <w:r w:rsidR="00CB022E">
        <w:rPr>
          <w:rFonts w:ascii="Arial" w:hAnsi="Arial" w:cs="Arial"/>
          <w:sz w:val="24"/>
          <w:szCs w:val="24"/>
        </w:rPr>
        <w:t>)</w:t>
      </w:r>
      <w:r w:rsidR="00C344B2">
        <w:rPr>
          <w:rFonts w:ascii="Arial" w:hAnsi="Arial" w:cs="Arial"/>
          <w:sz w:val="24"/>
          <w:szCs w:val="24"/>
        </w:rPr>
        <w:t xml:space="preserve">. </w:t>
      </w:r>
      <w:r w:rsidR="00013C50">
        <w:rPr>
          <w:rFonts w:ascii="Arial" w:hAnsi="Arial" w:cs="Arial"/>
          <w:sz w:val="24"/>
          <w:szCs w:val="24"/>
        </w:rPr>
        <w:t>We recall that</w:t>
      </w:r>
      <w:r w:rsidR="00391412">
        <w:rPr>
          <w:rFonts w:ascii="Arial" w:hAnsi="Arial" w:cs="Arial"/>
          <w:sz w:val="24"/>
          <w:szCs w:val="24"/>
        </w:rPr>
        <w:t xml:space="preserve"> the killing of transit and differentiated cells </w:t>
      </w:r>
      <w:r w:rsidR="002134B6">
        <w:rPr>
          <w:rFonts w:ascii="Arial" w:hAnsi="Arial" w:cs="Arial"/>
          <w:sz w:val="24"/>
          <w:szCs w:val="24"/>
        </w:rPr>
        <w:t xml:space="preserve">during therapy </w:t>
      </w:r>
      <w:r w:rsidR="00013C50">
        <w:rPr>
          <w:rFonts w:ascii="Arial" w:hAnsi="Arial" w:cs="Arial"/>
          <w:sz w:val="24"/>
          <w:szCs w:val="24"/>
        </w:rPr>
        <w:t>can free</w:t>
      </w:r>
      <w:r w:rsidR="00CA3AF6">
        <w:rPr>
          <w:rFonts w:ascii="Arial" w:hAnsi="Arial" w:cs="Arial"/>
          <w:sz w:val="24"/>
          <w:szCs w:val="24"/>
        </w:rPr>
        <w:t xml:space="preserve"> up</w:t>
      </w:r>
      <w:r w:rsidR="0057051B">
        <w:rPr>
          <w:rFonts w:ascii="Arial" w:hAnsi="Arial" w:cs="Arial"/>
          <w:sz w:val="24"/>
          <w:szCs w:val="24"/>
        </w:rPr>
        <w:t xml:space="preserve"> space for stem cells to divide. This process can lead to stem enrichment, which presumably is ultima</w:t>
      </w:r>
      <w:r w:rsidR="00013C50">
        <w:rPr>
          <w:rFonts w:ascii="Arial" w:hAnsi="Arial" w:cs="Arial"/>
          <w:sz w:val="24"/>
          <w:szCs w:val="24"/>
        </w:rPr>
        <w:t>tely responsible for the</w:t>
      </w:r>
      <w:r w:rsidR="00686129">
        <w:rPr>
          <w:rFonts w:ascii="Arial" w:hAnsi="Arial" w:cs="Arial"/>
          <w:sz w:val="24"/>
          <w:szCs w:val="24"/>
        </w:rPr>
        <w:t xml:space="preserve"> </w:t>
      </w:r>
      <w:r w:rsidR="00013C50">
        <w:rPr>
          <w:rFonts w:ascii="Arial" w:hAnsi="Arial" w:cs="Arial"/>
          <w:sz w:val="24"/>
          <w:szCs w:val="24"/>
        </w:rPr>
        <w:lastRenderedPageBreak/>
        <w:t>decrease in chemotherapy sensitivity observed in the spatial model</w:t>
      </w:r>
      <w:r w:rsidR="004D55C9">
        <w:rPr>
          <w:rFonts w:ascii="Arial" w:hAnsi="Arial" w:cs="Arial"/>
          <w:sz w:val="24"/>
          <w:szCs w:val="24"/>
        </w:rPr>
        <w:t xml:space="preserve">. </w:t>
      </w:r>
      <w:r w:rsidR="00686129">
        <w:rPr>
          <w:rFonts w:ascii="Arial" w:hAnsi="Arial" w:cs="Arial"/>
          <w:sz w:val="24"/>
          <w:szCs w:val="24"/>
        </w:rPr>
        <w:t>(</w:t>
      </w:r>
      <w:r w:rsidR="00DB2100">
        <w:rPr>
          <w:rFonts w:ascii="Arial" w:hAnsi="Arial" w:cs="Arial"/>
          <w:sz w:val="24"/>
          <w:szCs w:val="24"/>
        </w:rPr>
        <w:t>See the section on spatial growth in the main text.)</w:t>
      </w:r>
    </w:p>
    <w:p w14:paraId="797306AE" w14:textId="77777777" w:rsidR="005D4104" w:rsidRPr="00DD5080" w:rsidRDefault="005D4104" w:rsidP="00D6498F">
      <w:pPr>
        <w:spacing w:line="480" w:lineRule="auto"/>
        <w:rPr>
          <w:rFonts w:ascii="Arial" w:hAnsi="Arial" w:cs="Arial"/>
          <w:sz w:val="24"/>
          <w:szCs w:val="24"/>
        </w:rPr>
      </w:pPr>
    </w:p>
    <w:p w14:paraId="09F81546" w14:textId="732422DA" w:rsidR="00B9171E" w:rsidRDefault="00A72CC7" w:rsidP="00D6498F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C5A0493" wp14:editId="06928B2B">
            <wp:extent cx="5943600" cy="34658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tial-figure-SI-new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10765" w14:textId="7581FDB3" w:rsidR="003A2871" w:rsidRDefault="004A1FD3" w:rsidP="00132F90">
      <w:pPr>
        <w:spacing w:line="240" w:lineRule="auto"/>
        <w:jc w:val="both"/>
        <w:rPr>
          <w:rFonts w:ascii="Arial" w:hAnsi="Arial" w:cs="Arial"/>
        </w:rPr>
      </w:pPr>
      <w:r w:rsidRPr="00B9171E">
        <w:rPr>
          <w:rFonts w:ascii="Arial" w:hAnsi="Arial" w:cs="Arial"/>
          <w:b/>
        </w:rPr>
        <w:t xml:space="preserve">Figure </w:t>
      </w:r>
      <w:r w:rsidR="00CF22EA" w:rsidRPr="00B9171E">
        <w:rPr>
          <w:rFonts w:ascii="Arial" w:hAnsi="Arial" w:cs="Arial"/>
          <w:b/>
        </w:rPr>
        <w:t>S2. Spatial Model</w:t>
      </w:r>
      <w:r w:rsidRPr="00B9171E">
        <w:rPr>
          <w:rFonts w:ascii="Arial" w:hAnsi="Arial" w:cs="Arial"/>
          <w:b/>
        </w:rPr>
        <w:t xml:space="preserve">. </w:t>
      </w:r>
      <w:r w:rsidR="009F64A2" w:rsidRPr="00B9171E">
        <w:rPr>
          <w:rFonts w:ascii="Arial" w:hAnsi="Arial" w:cs="Arial"/>
        </w:rPr>
        <w:t xml:space="preserve">(A) </w:t>
      </w:r>
      <w:r w:rsidR="00E12AB2" w:rsidRPr="00B9171E">
        <w:rPr>
          <w:rFonts w:ascii="Arial" w:hAnsi="Arial" w:cs="Arial"/>
        </w:rPr>
        <w:t>Negative feedback and its effect on tumor growth without treatment.</w:t>
      </w:r>
      <w:r w:rsidR="009F64A2" w:rsidRPr="00B9171E">
        <w:rPr>
          <w:rFonts w:ascii="Arial" w:hAnsi="Arial" w:cs="Arial"/>
        </w:rPr>
        <w:t xml:space="preserve"> Dotted line: No feedback. Dash</w:t>
      </w:r>
      <w:r w:rsidR="003227D5" w:rsidRPr="00B9171E">
        <w:rPr>
          <w:rFonts w:ascii="Arial" w:hAnsi="Arial" w:cs="Arial"/>
        </w:rPr>
        <w:t>ed</w:t>
      </w:r>
      <w:r w:rsidR="009F64A2" w:rsidRPr="00B9171E">
        <w:rPr>
          <w:rFonts w:ascii="Arial" w:hAnsi="Arial" w:cs="Arial"/>
        </w:rPr>
        <w:t xml:space="preserve"> line: Weak </w:t>
      </w:r>
      <w:r w:rsidR="00105095" w:rsidRPr="00B9171E">
        <w:rPr>
          <w:rFonts w:ascii="Arial" w:hAnsi="Arial" w:cs="Arial"/>
        </w:rPr>
        <w:t xml:space="preserve">negative </w:t>
      </w:r>
      <w:r w:rsidR="009F64A2" w:rsidRPr="00B9171E">
        <w:rPr>
          <w:rFonts w:ascii="Arial" w:hAnsi="Arial" w:cs="Arial"/>
        </w:rPr>
        <w:t xml:space="preserve">feedback. Solid line: Strong </w:t>
      </w:r>
      <w:r w:rsidR="00105095" w:rsidRPr="00B9171E">
        <w:rPr>
          <w:rFonts w:ascii="Arial" w:hAnsi="Arial" w:cs="Arial"/>
        </w:rPr>
        <w:t xml:space="preserve">negative </w:t>
      </w:r>
      <w:r w:rsidR="009F64A2" w:rsidRPr="00B9171E">
        <w:rPr>
          <w:rFonts w:ascii="Arial" w:hAnsi="Arial" w:cs="Arial"/>
        </w:rPr>
        <w:t>feedback.</w:t>
      </w:r>
      <w:r w:rsidR="003A2871" w:rsidRPr="00B9171E">
        <w:rPr>
          <w:rFonts w:ascii="Arial" w:hAnsi="Arial" w:cs="Arial"/>
        </w:rPr>
        <w:t xml:space="preserve"> </w:t>
      </w:r>
      <w:r w:rsidR="00A95179" w:rsidRPr="00B9171E">
        <w:rPr>
          <w:rFonts w:ascii="Arial" w:hAnsi="Arial" w:cs="Arial"/>
          <w:u w:val="single"/>
        </w:rPr>
        <w:t>(B-</w:t>
      </w:r>
      <w:r w:rsidR="00F154D4">
        <w:rPr>
          <w:rFonts w:ascii="Arial" w:hAnsi="Arial" w:cs="Arial"/>
          <w:u w:val="single"/>
        </w:rPr>
        <w:t>D</w:t>
      </w:r>
      <w:r w:rsidR="00D6498F" w:rsidRPr="00B9171E">
        <w:rPr>
          <w:rFonts w:ascii="Arial" w:hAnsi="Arial" w:cs="Arial"/>
          <w:u w:val="single"/>
        </w:rPr>
        <w:t xml:space="preserve">) </w:t>
      </w:r>
      <w:r w:rsidR="00105095" w:rsidRPr="00B9171E">
        <w:rPr>
          <w:rFonts w:ascii="Arial" w:hAnsi="Arial" w:cs="Arial"/>
          <w:u w:val="single"/>
        </w:rPr>
        <w:t>Weak</w:t>
      </w:r>
      <w:r w:rsidR="00800954" w:rsidRPr="00B9171E">
        <w:rPr>
          <w:rFonts w:ascii="Arial" w:hAnsi="Arial" w:cs="Arial"/>
          <w:u w:val="single"/>
        </w:rPr>
        <w:t xml:space="preserve"> negative feedback</w:t>
      </w:r>
      <w:r w:rsidR="00105095" w:rsidRPr="00B9171E">
        <w:rPr>
          <w:rFonts w:ascii="Arial" w:hAnsi="Arial" w:cs="Arial"/>
          <w:u w:val="single"/>
        </w:rPr>
        <w:t xml:space="preserve"> </w:t>
      </w:r>
      <w:r w:rsidR="00D6498F" w:rsidRPr="00B9171E">
        <w:rPr>
          <w:rFonts w:ascii="Arial" w:hAnsi="Arial" w:cs="Arial"/>
        </w:rPr>
        <w:t xml:space="preserve">(B) Tumor dynamics during five treatment cycles, indicated in grey. Black line: </w:t>
      </w:r>
      <w:r w:rsidR="006F3556" w:rsidRPr="00B9171E">
        <w:rPr>
          <w:rFonts w:ascii="Arial" w:hAnsi="Arial" w:cs="Arial"/>
        </w:rPr>
        <w:t>No</w:t>
      </w:r>
      <w:r w:rsidR="00557EE0">
        <w:rPr>
          <w:rFonts w:ascii="Arial" w:hAnsi="Arial" w:cs="Arial"/>
        </w:rPr>
        <w:t xml:space="preserve"> treatment. Blue</w:t>
      </w:r>
      <w:r w:rsidR="00D6498F" w:rsidRPr="00B9171E">
        <w:rPr>
          <w:rFonts w:ascii="Arial" w:hAnsi="Arial" w:cs="Arial"/>
        </w:rPr>
        <w:t xml:space="preserve"> line: </w:t>
      </w:r>
      <w:r w:rsidR="006F3556" w:rsidRPr="00B9171E">
        <w:rPr>
          <w:rFonts w:ascii="Arial" w:hAnsi="Arial" w:cs="Arial"/>
        </w:rPr>
        <w:t>Treated tumor</w:t>
      </w:r>
      <w:r w:rsidR="00C86F37" w:rsidRPr="00B9171E">
        <w:rPr>
          <w:rFonts w:ascii="Arial" w:hAnsi="Arial" w:cs="Arial"/>
        </w:rPr>
        <w:t xml:space="preserve"> </w:t>
      </w:r>
      <w:r w:rsidR="006F3556" w:rsidRPr="00B9171E">
        <w:rPr>
          <w:rFonts w:ascii="Arial" w:hAnsi="Arial" w:cs="Arial"/>
        </w:rPr>
        <w:t>with</w:t>
      </w:r>
      <w:r w:rsidR="00D6498F" w:rsidRPr="00B9171E">
        <w:rPr>
          <w:rFonts w:ascii="Arial" w:hAnsi="Arial" w:cs="Arial"/>
        </w:rPr>
        <w:t xml:space="preserve"> wound-healing response</w:t>
      </w:r>
      <w:r w:rsidR="003A34E3">
        <w:rPr>
          <w:rFonts w:ascii="Arial" w:hAnsi="Arial" w:cs="Arial"/>
        </w:rPr>
        <w:t xml:space="preserve"> (</w:t>
      </w:r>
      <w:r w:rsidR="003A34E3" w:rsidRPr="00B9171E">
        <w:rPr>
          <w:rFonts w:ascii="Arial" w:hAnsi="Arial" w:cs="Arial"/>
        </w:rPr>
        <w:t>c</w:t>
      </w:r>
      <w:r w:rsidR="003A34E3" w:rsidRPr="00B9171E">
        <w:rPr>
          <w:rFonts w:ascii="Arial" w:hAnsi="Arial" w:cs="Arial"/>
          <w:vertAlign w:val="subscript"/>
        </w:rPr>
        <w:t>3</w:t>
      </w:r>
      <w:r w:rsidR="003A34E3">
        <w:rPr>
          <w:rFonts w:ascii="Arial" w:hAnsi="Arial" w:cs="Arial"/>
        </w:rPr>
        <w:t>=0.0</w:t>
      </w:r>
      <w:r w:rsidR="003A34E3" w:rsidRPr="00B9171E">
        <w:rPr>
          <w:rFonts w:ascii="Arial" w:hAnsi="Arial" w:cs="Arial"/>
        </w:rPr>
        <w:t>1</w:t>
      </w:r>
      <w:r w:rsidR="003A34E3">
        <w:rPr>
          <w:rFonts w:ascii="Arial" w:hAnsi="Arial" w:cs="Arial"/>
        </w:rPr>
        <w:t>)</w:t>
      </w:r>
      <w:r w:rsidR="00C86F37" w:rsidRPr="00B9171E">
        <w:rPr>
          <w:rFonts w:ascii="Arial" w:hAnsi="Arial" w:cs="Arial"/>
        </w:rPr>
        <w:t>.</w:t>
      </w:r>
      <w:r w:rsidR="00AE5909" w:rsidRPr="00B9171E">
        <w:rPr>
          <w:rFonts w:ascii="Arial" w:hAnsi="Arial" w:cs="Arial"/>
        </w:rPr>
        <w:t xml:space="preserve"> </w:t>
      </w:r>
      <w:r w:rsidR="002F2084">
        <w:rPr>
          <w:rFonts w:ascii="Arial" w:hAnsi="Arial" w:cs="Arial"/>
        </w:rPr>
        <w:t xml:space="preserve">(C) Same as panel B, but </w:t>
      </w:r>
      <w:r w:rsidR="00280051">
        <w:rPr>
          <w:rFonts w:ascii="Arial" w:hAnsi="Arial" w:cs="Arial"/>
        </w:rPr>
        <w:t>with a smaller</w:t>
      </w:r>
      <w:r w:rsidR="003A34E3">
        <w:rPr>
          <w:rFonts w:ascii="Arial" w:hAnsi="Arial" w:cs="Arial"/>
        </w:rPr>
        <w:t xml:space="preserve"> stem cell death </w:t>
      </w:r>
      <w:r w:rsidR="00353C3F">
        <w:rPr>
          <w:rFonts w:ascii="Arial" w:hAnsi="Arial" w:cs="Arial"/>
        </w:rPr>
        <w:t xml:space="preserve">rate </w:t>
      </w:r>
      <w:r w:rsidR="003A34E3">
        <w:rPr>
          <w:rFonts w:ascii="Arial" w:hAnsi="Arial" w:cs="Arial"/>
        </w:rPr>
        <w:t>in response to chemotherapy (</w:t>
      </w:r>
      <w:r w:rsidR="003A34E3" w:rsidRPr="00B9171E">
        <w:rPr>
          <w:rFonts w:ascii="Arial" w:hAnsi="Arial" w:cs="Arial"/>
        </w:rPr>
        <w:t>c</w:t>
      </w:r>
      <w:r w:rsidR="003A34E3" w:rsidRPr="00B9171E">
        <w:rPr>
          <w:rFonts w:ascii="Arial" w:hAnsi="Arial" w:cs="Arial"/>
          <w:vertAlign w:val="subscript"/>
        </w:rPr>
        <w:t>3</w:t>
      </w:r>
      <w:r w:rsidR="003A34E3">
        <w:rPr>
          <w:rFonts w:ascii="Arial" w:hAnsi="Arial" w:cs="Arial"/>
        </w:rPr>
        <w:t>=0.00</w:t>
      </w:r>
      <w:r w:rsidR="003A34E3" w:rsidRPr="00B9171E">
        <w:rPr>
          <w:rFonts w:ascii="Arial" w:hAnsi="Arial" w:cs="Arial"/>
        </w:rPr>
        <w:t>1</w:t>
      </w:r>
      <w:r w:rsidR="003A34E3">
        <w:rPr>
          <w:rFonts w:ascii="Arial" w:hAnsi="Arial" w:cs="Arial"/>
        </w:rPr>
        <w:t>). (D</w:t>
      </w:r>
      <w:r w:rsidR="00AE5909" w:rsidRPr="00B9171E">
        <w:rPr>
          <w:rFonts w:ascii="Arial" w:hAnsi="Arial" w:cs="Arial"/>
        </w:rPr>
        <w:t xml:space="preserve">) </w:t>
      </w:r>
      <w:r w:rsidR="00B75D52" w:rsidRPr="00B9171E">
        <w:rPr>
          <w:rFonts w:ascii="Arial" w:hAnsi="Arial" w:cs="Arial"/>
        </w:rPr>
        <w:t xml:space="preserve">Percent of tumor reduction </w:t>
      </w:r>
      <w:r w:rsidR="002D2DBB" w:rsidRPr="00B9171E">
        <w:rPr>
          <w:rFonts w:ascii="Arial" w:hAnsi="Arial" w:cs="Arial"/>
        </w:rPr>
        <w:t>in each of the five treatment cycles</w:t>
      </w:r>
      <w:r w:rsidR="003A34E3">
        <w:rPr>
          <w:rFonts w:ascii="Arial" w:hAnsi="Arial" w:cs="Arial"/>
        </w:rPr>
        <w:t xml:space="preserve"> depicted in panel C</w:t>
      </w:r>
      <w:r w:rsidR="002D2DBB" w:rsidRPr="00B9171E">
        <w:rPr>
          <w:rFonts w:ascii="Arial" w:hAnsi="Arial" w:cs="Arial"/>
        </w:rPr>
        <w:t>.</w:t>
      </w:r>
      <w:r w:rsidR="00A95179" w:rsidRPr="00B9171E">
        <w:rPr>
          <w:rFonts w:ascii="Arial" w:hAnsi="Arial" w:cs="Arial"/>
        </w:rPr>
        <w:t xml:space="preserve"> </w:t>
      </w:r>
      <w:r w:rsidR="00B7100A">
        <w:rPr>
          <w:rFonts w:ascii="Arial" w:hAnsi="Arial" w:cs="Arial"/>
          <w:u w:val="single"/>
        </w:rPr>
        <w:t>(E-F</w:t>
      </w:r>
      <w:r w:rsidR="00A95179" w:rsidRPr="00B9171E">
        <w:rPr>
          <w:rFonts w:ascii="Arial" w:hAnsi="Arial" w:cs="Arial"/>
          <w:u w:val="single"/>
        </w:rPr>
        <w:t xml:space="preserve">) </w:t>
      </w:r>
      <w:r w:rsidR="002A131C" w:rsidRPr="00B9171E">
        <w:rPr>
          <w:rFonts w:ascii="Arial" w:hAnsi="Arial" w:cs="Arial"/>
          <w:u w:val="single"/>
        </w:rPr>
        <w:t>No</w:t>
      </w:r>
      <w:r w:rsidR="005F19E7" w:rsidRPr="00B9171E">
        <w:rPr>
          <w:rFonts w:ascii="Arial" w:hAnsi="Arial" w:cs="Arial"/>
          <w:u w:val="single"/>
        </w:rPr>
        <w:t xml:space="preserve"> negative feedback</w:t>
      </w:r>
      <w:r w:rsidR="0005076C">
        <w:rPr>
          <w:rFonts w:ascii="Arial" w:hAnsi="Arial" w:cs="Arial"/>
        </w:rPr>
        <w:t xml:space="preserve"> (E</w:t>
      </w:r>
      <w:r w:rsidR="005F19E7" w:rsidRPr="00B9171E">
        <w:rPr>
          <w:rFonts w:ascii="Arial" w:hAnsi="Arial" w:cs="Arial"/>
        </w:rPr>
        <w:t xml:space="preserve">) Tumor dynamics during </w:t>
      </w:r>
      <w:r w:rsidR="00DA1602" w:rsidRPr="00B9171E">
        <w:rPr>
          <w:rFonts w:ascii="Arial" w:hAnsi="Arial" w:cs="Arial"/>
        </w:rPr>
        <w:t>five treatment cycles</w:t>
      </w:r>
      <w:r w:rsidR="005F19E7" w:rsidRPr="00B9171E">
        <w:rPr>
          <w:rFonts w:ascii="Arial" w:hAnsi="Arial" w:cs="Arial"/>
        </w:rPr>
        <w:t xml:space="preserve">. </w:t>
      </w:r>
      <w:r w:rsidR="00800954" w:rsidRPr="00B9171E">
        <w:rPr>
          <w:rFonts w:ascii="Arial" w:hAnsi="Arial" w:cs="Arial"/>
        </w:rPr>
        <w:t>Red: Intact</w:t>
      </w:r>
      <w:r w:rsidR="00DA1602" w:rsidRPr="00B9171E">
        <w:rPr>
          <w:rFonts w:ascii="Arial" w:hAnsi="Arial" w:cs="Arial"/>
        </w:rPr>
        <w:t xml:space="preserve"> wound-healing response. Green: No wound-healing response</w:t>
      </w:r>
      <w:r w:rsidR="00B738BB" w:rsidRPr="00B9171E">
        <w:rPr>
          <w:rFonts w:ascii="Arial" w:hAnsi="Arial" w:cs="Arial"/>
        </w:rPr>
        <w:t xml:space="preserve"> (corresponding to </w:t>
      </w:r>
      <w:proofErr w:type="spellStart"/>
      <w:r w:rsidR="00B738BB" w:rsidRPr="00B9171E">
        <w:rPr>
          <w:rFonts w:ascii="Arial" w:hAnsi="Arial" w:cs="Arial"/>
        </w:rPr>
        <w:t>celecoxib</w:t>
      </w:r>
      <w:proofErr w:type="spellEnd"/>
      <w:r w:rsidR="00B738BB" w:rsidRPr="00B9171E">
        <w:rPr>
          <w:rFonts w:ascii="Arial" w:hAnsi="Arial" w:cs="Arial"/>
        </w:rPr>
        <w:t xml:space="preserve"> administration)</w:t>
      </w:r>
      <w:r w:rsidR="00DA1602" w:rsidRPr="00B9171E">
        <w:rPr>
          <w:rFonts w:ascii="Arial" w:hAnsi="Arial" w:cs="Arial"/>
        </w:rPr>
        <w:t>. Black: No treatment</w:t>
      </w:r>
      <w:r w:rsidR="0005076C">
        <w:rPr>
          <w:rFonts w:ascii="Arial" w:hAnsi="Arial" w:cs="Arial"/>
        </w:rPr>
        <w:t>. (F</w:t>
      </w:r>
      <w:r w:rsidR="00B738BB" w:rsidRPr="00B9171E">
        <w:rPr>
          <w:rFonts w:ascii="Arial" w:hAnsi="Arial" w:cs="Arial"/>
        </w:rPr>
        <w:t xml:space="preserve">) Percent of tumor reduction during each treatment cycle.  </w:t>
      </w:r>
      <w:r w:rsidR="003A2871" w:rsidRPr="00B9171E">
        <w:rPr>
          <w:rFonts w:ascii="Arial" w:hAnsi="Arial" w:cs="Arial"/>
        </w:rPr>
        <w:t xml:space="preserve">Parameters were chosen as follows. </w:t>
      </w:r>
      <w:r w:rsidR="003A2871" w:rsidRPr="000A6339">
        <w:rPr>
          <w:rFonts w:ascii="Arial" w:hAnsi="Arial" w:cs="Arial"/>
          <w:u w:val="single"/>
        </w:rPr>
        <w:t>Panel A</w:t>
      </w:r>
      <w:r w:rsidR="003A2871" w:rsidRPr="00B9171E">
        <w:rPr>
          <w:rFonts w:ascii="Arial" w:hAnsi="Arial" w:cs="Arial"/>
        </w:rPr>
        <w:t>: r</w:t>
      </w:r>
      <w:r w:rsidR="003A2871" w:rsidRPr="00B9171E">
        <w:rPr>
          <w:rFonts w:ascii="Arial" w:hAnsi="Arial" w:cs="Arial"/>
          <w:vertAlign w:val="subscript"/>
        </w:rPr>
        <w:t>1</w:t>
      </w:r>
      <w:r w:rsidR="003A2871" w:rsidRPr="00B9171E">
        <w:rPr>
          <w:rFonts w:ascii="Arial" w:hAnsi="Arial" w:cs="Arial"/>
        </w:rPr>
        <w:t>=r</w:t>
      </w:r>
      <w:r w:rsidR="003A2871" w:rsidRPr="00B9171E">
        <w:rPr>
          <w:rFonts w:ascii="Arial" w:hAnsi="Arial" w:cs="Arial"/>
          <w:vertAlign w:val="subscript"/>
        </w:rPr>
        <w:t>2</w:t>
      </w:r>
      <w:r w:rsidR="003A2871" w:rsidRPr="00B9171E">
        <w:rPr>
          <w:rFonts w:ascii="Arial" w:hAnsi="Arial" w:cs="Arial"/>
        </w:rPr>
        <w:t>=10; p</w:t>
      </w:r>
      <w:r w:rsidR="003A2871" w:rsidRPr="00B9171E">
        <w:rPr>
          <w:rFonts w:ascii="Arial" w:hAnsi="Arial" w:cs="Arial"/>
          <w:vertAlign w:val="subscript"/>
        </w:rPr>
        <w:t>1</w:t>
      </w:r>
      <w:r w:rsidR="003A2871" w:rsidRPr="00B9171E">
        <w:rPr>
          <w:rFonts w:ascii="Arial" w:hAnsi="Arial" w:cs="Arial"/>
        </w:rPr>
        <w:t>=0.65; p</w:t>
      </w:r>
      <w:r w:rsidR="003A2871" w:rsidRPr="00B9171E">
        <w:rPr>
          <w:rFonts w:ascii="Arial" w:hAnsi="Arial" w:cs="Arial"/>
          <w:vertAlign w:val="subscript"/>
        </w:rPr>
        <w:t>2</w:t>
      </w:r>
      <w:r w:rsidR="003A2871" w:rsidRPr="00B9171E">
        <w:rPr>
          <w:rFonts w:ascii="Arial" w:hAnsi="Arial" w:cs="Arial"/>
        </w:rPr>
        <w:t>=0.45; δ=0.0001; f=0.1; g=0.02; α=1; ε=1; η=0.02; β=0; c</w:t>
      </w:r>
      <w:r w:rsidR="003A2871" w:rsidRPr="00B9171E">
        <w:rPr>
          <w:rFonts w:ascii="Arial" w:hAnsi="Arial" w:cs="Arial"/>
          <w:vertAlign w:val="subscript"/>
        </w:rPr>
        <w:t>1</w:t>
      </w:r>
      <w:r w:rsidR="003A2871" w:rsidRPr="00B9171E">
        <w:rPr>
          <w:rFonts w:ascii="Arial" w:hAnsi="Arial" w:cs="Arial"/>
        </w:rPr>
        <w:t>=c</w:t>
      </w:r>
      <w:r w:rsidR="003A2871" w:rsidRPr="00B9171E">
        <w:rPr>
          <w:rFonts w:ascii="Arial" w:hAnsi="Arial" w:cs="Arial"/>
          <w:vertAlign w:val="subscript"/>
        </w:rPr>
        <w:t>2</w:t>
      </w:r>
      <w:r w:rsidR="003A2871" w:rsidRPr="00B9171E">
        <w:rPr>
          <w:rFonts w:ascii="Arial" w:hAnsi="Arial" w:cs="Arial"/>
        </w:rPr>
        <w:t>=c</w:t>
      </w:r>
      <w:r w:rsidR="003A2871" w:rsidRPr="00B9171E">
        <w:rPr>
          <w:rFonts w:ascii="Arial" w:hAnsi="Arial" w:cs="Arial"/>
          <w:vertAlign w:val="subscript"/>
        </w:rPr>
        <w:t>3</w:t>
      </w:r>
      <w:r w:rsidR="003A2871" w:rsidRPr="00B9171E">
        <w:rPr>
          <w:rFonts w:ascii="Arial" w:hAnsi="Arial" w:cs="Arial"/>
        </w:rPr>
        <w:t>=0 (no treatment). For strong feedback: h=0.5, k=1. For weak feedback h=0.5, k=0.2.</w:t>
      </w:r>
      <w:r w:rsidR="00D21F2F">
        <w:rPr>
          <w:rFonts w:ascii="Arial" w:hAnsi="Arial" w:cs="Arial"/>
        </w:rPr>
        <w:t xml:space="preserve"> For no feedback h=0. </w:t>
      </w:r>
      <w:r w:rsidR="00D21F2F" w:rsidRPr="00D21F2F">
        <w:rPr>
          <w:rFonts w:ascii="Arial" w:hAnsi="Arial" w:cs="Arial"/>
          <w:u w:val="single"/>
        </w:rPr>
        <w:t>Panels B-D</w:t>
      </w:r>
      <w:r w:rsidR="003A2871" w:rsidRPr="00D21F2F">
        <w:rPr>
          <w:rFonts w:ascii="Arial" w:hAnsi="Arial" w:cs="Arial"/>
          <w:u w:val="single"/>
        </w:rPr>
        <w:t xml:space="preserve"> (weak feedback): </w:t>
      </w:r>
      <w:r w:rsidR="003A2871" w:rsidRPr="00B9171E">
        <w:rPr>
          <w:rFonts w:ascii="Arial" w:hAnsi="Arial" w:cs="Arial"/>
        </w:rPr>
        <w:t>r</w:t>
      </w:r>
      <w:r w:rsidR="003A2871" w:rsidRPr="00B9171E">
        <w:rPr>
          <w:rFonts w:ascii="Arial" w:hAnsi="Arial" w:cs="Arial"/>
          <w:vertAlign w:val="subscript"/>
        </w:rPr>
        <w:t>1</w:t>
      </w:r>
      <w:r w:rsidR="003A2871" w:rsidRPr="00B9171E">
        <w:rPr>
          <w:rFonts w:ascii="Arial" w:hAnsi="Arial" w:cs="Arial"/>
        </w:rPr>
        <w:t>=r</w:t>
      </w:r>
      <w:r w:rsidR="003A2871" w:rsidRPr="00B9171E">
        <w:rPr>
          <w:rFonts w:ascii="Arial" w:hAnsi="Arial" w:cs="Arial"/>
          <w:vertAlign w:val="subscript"/>
        </w:rPr>
        <w:t>2</w:t>
      </w:r>
      <w:r w:rsidR="003A2871" w:rsidRPr="00B9171E">
        <w:rPr>
          <w:rFonts w:ascii="Arial" w:hAnsi="Arial" w:cs="Arial"/>
        </w:rPr>
        <w:t>=10; p</w:t>
      </w:r>
      <w:r w:rsidR="003A2871" w:rsidRPr="00B9171E">
        <w:rPr>
          <w:rFonts w:ascii="Arial" w:hAnsi="Arial" w:cs="Arial"/>
          <w:vertAlign w:val="subscript"/>
        </w:rPr>
        <w:t>1</w:t>
      </w:r>
      <w:r w:rsidR="003A2871" w:rsidRPr="00B9171E">
        <w:rPr>
          <w:rFonts w:ascii="Arial" w:hAnsi="Arial" w:cs="Arial"/>
        </w:rPr>
        <w:t>=0.55; p</w:t>
      </w:r>
      <w:r w:rsidR="003A2871" w:rsidRPr="00B9171E">
        <w:rPr>
          <w:rFonts w:ascii="Arial" w:hAnsi="Arial" w:cs="Arial"/>
          <w:vertAlign w:val="subscript"/>
        </w:rPr>
        <w:t>2</w:t>
      </w:r>
      <w:r w:rsidR="003A2871" w:rsidRPr="00B9171E">
        <w:rPr>
          <w:rFonts w:ascii="Arial" w:hAnsi="Arial" w:cs="Arial"/>
        </w:rPr>
        <w:t>=0.45; δ=0.00025; f=0.1; g=0.01; α=1; ε=1; η=0.02; h=2; β=0.5; c</w:t>
      </w:r>
      <w:r w:rsidR="003A2871" w:rsidRPr="00B9171E">
        <w:rPr>
          <w:rFonts w:ascii="Arial" w:hAnsi="Arial" w:cs="Arial"/>
          <w:vertAlign w:val="subscript"/>
        </w:rPr>
        <w:t>1</w:t>
      </w:r>
      <w:r w:rsidR="003A2871" w:rsidRPr="00B9171E">
        <w:rPr>
          <w:rFonts w:ascii="Arial" w:hAnsi="Arial" w:cs="Arial"/>
        </w:rPr>
        <w:t>=c</w:t>
      </w:r>
      <w:r w:rsidR="003A2871" w:rsidRPr="00B9171E">
        <w:rPr>
          <w:rFonts w:ascii="Arial" w:hAnsi="Arial" w:cs="Arial"/>
          <w:vertAlign w:val="subscript"/>
        </w:rPr>
        <w:t>2</w:t>
      </w:r>
      <w:r w:rsidR="003A2871" w:rsidRPr="00B9171E">
        <w:rPr>
          <w:rFonts w:ascii="Arial" w:hAnsi="Arial" w:cs="Arial"/>
        </w:rPr>
        <w:t>=20, k=0.2</w:t>
      </w:r>
      <w:r w:rsidR="00D21F2F">
        <w:rPr>
          <w:rFonts w:ascii="Arial" w:hAnsi="Arial" w:cs="Arial"/>
        </w:rPr>
        <w:t xml:space="preserve"> (in panel B, </w:t>
      </w:r>
      <w:r w:rsidR="00D21F2F" w:rsidRPr="00B9171E">
        <w:rPr>
          <w:rFonts w:ascii="Arial" w:hAnsi="Arial" w:cs="Arial"/>
        </w:rPr>
        <w:t>c</w:t>
      </w:r>
      <w:r w:rsidR="00D21F2F" w:rsidRPr="00B9171E">
        <w:rPr>
          <w:rFonts w:ascii="Arial" w:hAnsi="Arial" w:cs="Arial"/>
          <w:vertAlign w:val="subscript"/>
        </w:rPr>
        <w:t>3</w:t>
      </w:r>
      <w:r w:rsidR="00D21F2F">
        <w:rPr>
          <w:rFonts w:ascii="Arial" w:hAnsi="Arial" w:cs="Arial"/>
        </w:rPr>
        <w:t>=0.0</w:t>
      </w:r>
      <w:r w:rsidR="00D21F2F" w:rsidRPr="00B9171E">
        <w:rPr>
          <w:rFonts w:ascii="Arial" w:hAnsi="Arial" w:cs="Arial"/>
        </w:rPr>
        <w:t>1</w:t>
      </w:r>
      <w:r w:rsidR="00D21F2F">
        <w:rPr>
          <w:rFonts w:ascii="Arial" w:hAnsi="Arial" w:cs="Arial"/>
        </w:rPr>
        <w:t xml:space="preserve">, in panel C, </w:t>
      </w:r>
      <w:r w:rsidR="00D21F2F" w:rsidRPr="00B9171E">
        <w:rPr>
          <w:rFonts w:ascii="Arial" w:hAnsi="Arial" w:cs="Arial"/>
        </w:rPr>
        <w:t>c</w:t>
      </w:r>
      <w:r w:rsidR="00D21F2F" w:rsidRPr="00B9171E">
        <w:rPr>
          <w:rFonts w:ascii="Arial" w:hAnsi="Arial" w:cs="Arial"/>
          <w:vertAlign w:val="subscript"/>
        </w:rPr>
        <w:t>3</w:t>
      </w:r>
      <w:r w:rsidR="00D21F2F">
        <w:rPr>
          <w:rFonts w:ascii="Arial" w:hAnsi="Arial" w:cs="Arial"/>
        </w:rPr>
        <w:t>=0.00</w:t>
      </w:r>
      <w:r w:rsidR="00D21F2F" w:rsidRPr="00B9171E">
        <w:rPr>
          <w:rFonts w:ascii="Arial" w:hAnsi="Arial" w:cs="Arial"/>
        </w:rPr>
        <w:t>1</w:t>
      </w:r>
      <w:r w:rsidR="00D21F2F">
        <w:rPr>
          <w:rFonts w:ascii="Arial" w:hAnsi="Arial" w:cs="Arial"/>
        </w:rPr>
        <w:t>)</w:t>
      </w:r>
      <w:r w:rsidR="000A6339">
        <w:rPr>
          <w:rFonts w:ascii="Arial" w:hAnsi="Arial" w:cs="Arial"/>
        </w:rPr>
        <w:t xml:space="preserve">. </w:t>
      </w:r>
      <w:r w:rsidR="000A6339" w:rsidRPr="000A6339">
        <w:rPr>
          <w:rFonts w:ascii="Arial" w:hAnsi="Arial" w:cs="Arial"/>
          <w:u w:val="single"/>
        </w:rPr>
        <w:t>Panels E-F</w:t>
      </w:r>
      <w:r w:rsidR="003A2871" w:rsidRPr="000A6339">
        <w:rPr>
          <w:rFonts w:ascii="Arial" w:hAnsi="Arial" w:cs="Arial"/>
          <w:u w:val="single"/>
        </w:rPr>
        <w:t xml:space="preserve"> (no feedback):</w:t>
      </w:r>
      <w:r w:rsidR="003A2871" w:rsidRPr="00B9171E">
        <w:rPr>
          <w:rFonts w:ascii="Arial" w:hAnsi="Arial" w:cs="Arial"/>
        </w:rPr>
        <w:t xml:space="preserve"> r</w:t>
      </w:r>
      <w:r w:rsidR="003A2871" w:rsidRPr="00B9171E">
        <w:rPr>
          <w:rFonts w:ascii="Arial" w:hAnsi="Arial" w:cs="Arial"/>
          <w:vertAlign w:val="subscript"/>
        </w:rPr>
        <w:t>1</w:t>
      </w:r>
      <w:r w:rsidR="003A2871" w:rsidRPr="00B9171E">
        <w:rPr>
          <w:rFonts w:ascii="Arial" w:hAnsi="Arial" w:cs="Arial"/>
        </w:rPr>
        <w:t>=r</w:t>
      </w:r>
      <w:r w:rsidR="003A2871" w:rsidRPr="00B9171E">
        <w:rPr>
          <w:rFonts w:ascii="Arial" w:hAnsi="Arial" w:cs="Arial"/>
          <w:vertAlign w:val="subscript"/>
        </w:rPr>
        <w:t>2</w:t>
      </w:r>
      <w:r w:rsidR="003A2871" w:rsidRPr="00B9171E">
        <w:rPr>
          <w:rFonts w:ascii="Arial" w:hAnsi="Arial" w:cs="Arial"/>
        </w:rPr>
        <w:t>=10; p</w:t>
      </w:r>
      <w:r w:rsidR="003A2871" w:rsidRPr="00B9171E">
        <w:rPr>
          <w:rFonts w:ascii="Arial" w:hAnsi="Arial" w:cs="Arial"/>
          <w:vertAlign w:val="subscript"/>
        </w:rPr>
        <w:t>1</w:t>
      </w:r>
      <w:r w:rsidR="003A2871" w:rsidRPr="00B9171E">
        <w:rPr>
          <w:rFonts w:ascii="Arial" w:hAnsi="Arial" w:cs="Arial"/>
        </w:rPr>
        <w:t>=0.65; p</w:t>
      </w:r>
      <w:r w:rsidR="003A2871" w:rsidRPr="00B9171E">
        <w:rPr>
          <w:rFonts w:ascii="Arial" w:hAnsi="Arial" w:cs="Arial"/>
          <w:vertAlign w:val="subscript"/>
        </w:rPr>
        <w:t>2</w:t>
      </w:r>
      <w:r w:rsidR="003A2871" w:rsidRPr="00B9171E">
        <w:rPr>
          <w:rFonts w:ascii="Arial" w:hAnsi="Arial" w:cs="Arial"/>
        </w:rPr>
        <w:t>=0.45; δ=0.0001; f=0.5; g=0.1; α=1; ε=1; η=0.01; h=0; β=50; c</w:t>
      </w:r>
      <w:r w:rsidR="003A2871" w:rsidRPr="00B9171E">
        <w:rPr>
          <w:rFonts w:ascii="Arial" w:hAnsi="Arial" w:cs="Arial"/>
          <w:vertAlign w:val="subscript"/>
        </w:rPr>
        <w:t>1</w:t>
      </w:r>
      <w:r w:rsidR="003A2871" w:rsidRPr="00B9171E">
        <w:rPr>
          <w:rFonts w:ascii="Arial" w:hAnsi="Arial" w:cs="Arial"/>
        </w:rPr>
        <w:t>=c</w:t>
      </w:r>
      <w:r w:rsidR="003A2871" w:rsidRPr="00B9171E">
        <w:rPr>
          <w:rFonts w:ascii="Arial" w:hAnsi="Arial" w:cs="Arial"/>
          <w:vertAlign w:val="subscript"/>
        </w:rPr>
        <w:t>2</w:t>
      </w:r>
      <w:r w:rsidR="003A2871" w:rsidRPr="00B9171E">
        <w:rPr>
          <w:rFonts w:ascii="Arial" w:hAnsi="Arial" w:cs="Arial"/>
        </w:rPr>
        <w:t>=100;</w:t>
      </w:r>
      <w:r w:rsidR="003A2871" w:rsidRPr="00B9171E">
        <w:rPr>
          <w:rFonts w:ascii="Arial" w:hAnsi="Arial" w:cs="Arial"/>
          <w:vertAlign w:val="subscript"/>
        </w:rPr>
        <w:t xml:space="preserve"> </w:t>
      </w:r>
      <w:r w:rsidR="003A2871" w:rsidRPr="00B9171E">
        <w:rPr>
          <w:rFonts w:ascii="Arial" w:hAnsi="Arial" w:cs="Arial"/>
        </w:rPr>
        <w:t>c</w:t>
      </w:r>
      <w:r w:rsidR="003A2871" w:rsidRPr="00B9171E">
        <w:rPr>
          <w:rFonts w:ascii="Arial" w:hAnsi="Arial" w:cs="Arial"/>
          <w:vertAlign w:val="subscript"/>
        </w:rPr>
        <w:t>3</w:t>
      </w:r>
      <w:r w:rsidR="003A2871" w:rsidRPr="00B9171E">
        <w:rPr>
          <w:rFonts w:ascii="Arial" w:hAnsi="Arial" w:cs="Arial"/>
        </w:rPr>
        <w:t>=0.001.</w:t>
      </w:r>
    </w:p>
    <w:p w14:paraId="29C33699" w14:textId="77777777" w:rsidR="00F32374" w:rsidRDefault="00F32374" w:rsidP="00132F90">
      <w:pPr>
        <w:spacing w:line="240" w:lineRule="auto"/>
        <w:jc w:val="both"/>
        <w:rPr>
          <w:rFonts w:ascii="Arial" w:hAnsi="Arial" w:cs="Arial"/>
        </w:rPr>
      </w:pPr>
    </w:p>
    <w:p w14:paraId="700DDF5A" w14:textId="77777777" w:rsidR="005D4104" w:rsidRDefault="005D4104" w:rsidP="0032570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F3E709C" w14:textId="77777777" w:rsidR="005D4104" w:rsidRDefault="005D4104" w:rsidP="0032570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AAFF2D4" w14:textId="77777777" w:rsidR="00325704" w:rsidRDefault="004C4AF1" w:rsidP="0032570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Percent of the tumor killed in each treatment cycle </w:t>
      </w:r>
    </w:p>
    <w:p w14:paraId="65F972CE" w14:textId="77777777" w:rsidR="001260F6" w:rsidRDefault="001260F6" w:rsidP="001260F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7273007" w14:textId="3A180688" w:rsidR="00D7120D" w:rsidRPr="00325704" w:rsidRDefault="00231E72" w:rsidP="005D4104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D7120D">
        <w:rPr>
          <w:rFonts w:ascii="Arial" w:hAnsi="Arial" w:cs="Arial"/>
          <w:sz w:val="24"/>
          <w:szCs w:val="24"/>
        </w:rPr>
        <w:t>simulations for the</w:t>
      </w:r>
      <w:r>
        <w:rPr>
          <w:rFonts w:ascii="Arial" w:hAnsi="Arial" w:cs="Arial"/>
          <w:sz w:val="24"/>
          <w:szCs w:val="24"/>
        </w:rPr>
        <w:t xml:space="preserve"> non-spatial model the percent of the tumor</w:t>
      </w:r>
      <w:r w:rsidR="00D7120D">
        <w:rPr>
          <w:rFonts w:ascii="Arial" w:hAnsi="Arial" w:cs="Arial"/>
          <w:sz w:val="24"/>
          <w:szCs w:val="24"/>
        </w:rPr>
        <w:t xml:space="preserve"> that is removed during each treatment cycle does not change (</w:t>
      </w:r>
      <w:r w:rsidR="00FE3571" w:rsidRPr="00140455">
        <w:rPr>
          <w:rFonts w:ascii="Arial" w:hAnsi="Arial" w:cs="Arial"/>
          <w:b/>
          <w:sz w:val="24"/>
          <w:szCs w:val="24"/>
        </w:rPr>
        <w:t>Figure 1E</w:t>
      </w:r>
      <w:r w:rsidR="00FE3571">
        <w:rPr>
          <w:rFonts w:ascii="Arial" w:hAnsi="Arial" w:cs="Arial"/>
          <w:sz w:val="24"/>
          <w:szCs w:val="24"/>
        </w:rPr>
        <w:t xml:space="preserve"> in the manuscript).</w:t>
      </w:r>
      <w:r w:rsidR="00D7120D">
        <w:rPr>
          <w:rFonts w:ascii="Arial" w:hAnsi="Arial" w:cs="Arial"/>
          <w:sz w:val="24"/>
          <w:szCs w:val="24"/>
        </w:rPr>
        <w:t xml:space="preserve"> </w:t>
      </w:r>
      <w:r w:rsidR="00164417">
        <w:rPr>
          <w:rFonts w:ascii="Arial" w:hAnsi="Arial" w:cs="Arial"/>
          <w:sz w:val="24"/>
          <w:szCs w:val="24"/>
        </w:rPr>
        <w:t xml:space="preserve">A mathematical motivation for this behavior is as follows. When treatment stops </w:t>
      </w:r>
      <w:r w:rsidR="00F45308" w:rsidRPr="00F45308">
        <w:rPr>
          <w:position w:val="-12"/>
        </w:rPr>
        <w:object w:dxaOrig="600" w:dyaOrig="380" w14:anchorId="68C80B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1pt;height:19.35pt" o:ole="">
            <v:imagedata r:id="rId9" o:title=""/>
          </v:shape>
          <o:OLEObject Type="Embed" ProgID="Equation.DSMT4" ShapeID="_x0000_i1025" DrawAspect="Content" ObjectID="_1542801985" r:id="rId10"/>
        </w:object>
      </w:r>
      <w:r w:rsidR="00164417">
        <w:rPr>
          <w:rFonts w:ascii="Arial" w:hAnsi="Arial" w:cs="Arial"/>
          <w:sz w:val="24"/>
          <w:szCs w:val="24"/>
        </w:rPr>
        <w:t xml:space="preserve"> in Equation (1) </w:t>
      </w:r>
      <w:r w:rsidR="00B70F58">
        <w:rPr>
          <w:rFonts w:ascii="Arial" w:hAnsi="Arial" w:cs="Arial"/>
          <w:sz w:val="24"/>
          <w:szCs w:val="24"/>
        </w:rPr>
        <w:t>of the main text</w:t>
      </w:r>
      <w:r w:rsidR="00F45308">
        <w:rPr>
          <w:rFonts w:ascii="Arial" w:hAnsi="Arial" w:cs="Arial"/>
          <w:sz w:val="24"/>
          <w:szCs w:val="24"/>
        </w:rPr>
        <w:t xml:space="preserve"> and consequently</w:t>
      </w:r>
      <w:r w:rsidR="00331F87">
        <w:rPr>
          <w:rFonts w:ascii="Arial" w:hAnsi="Arial" w:cs="Arial"/>
          <w:sz w:val="24"/>
          <w:szCs w:val="24"/>
        </w:rPr>
        <w:t>,</w:t>
      </w:r>
      <w:r w:rsidR="00F45308">
        <w:rPr>
          <w:rFonts w:ascii="Arial" w:hAnsi="Arial" w:cs="Arial"/>
          <w:sz w:val="24"/>
          <w:szCs w:val="24"/>
        </w:rPr>
        <w:t xml:space="preserve"> the concentration of the wound-healing factor </w:t>
      </w:r>
      <w:r w:rsidR="008B7429" w:rsidRPr="008B7429">
        <w:rPr>
          <w:position w:val="-10"/>
        </w:rPr>
        <w:object w:dxaOrig="460" w:dyaOrig="320" w14:anchorId="586C70B1">
          <v:shape id="_x0000_i1026" type="#_x0000_t75" style="width:22.55pt;height:15.6pt" o:ole="">
            <v:imagedata r:id="rId11" o:title=""/>
          </v:shape>
          <o:OLEObject Type="Embed" ProgID="Equation.DSMT4" ShapeID="_x0000_i1026" DrawAspect="Content" ObjectID="_1542801986" r:id="rId12"/>
        </w:object>
      </w:r>
      <w:r w:rsidR="00164417">
        <w:rPr>
          <w:rFonts w:ascii="Arial" w:hAnsi="Arial" w:cs="Arial"/>
          <w:sz w:val="24"/>
          <w:szCs w:val="24"/>
        </w:rPr>
        <w:t xml:space="preserve"> </w:t>
      </w:r>
      <w:r w:rsidR="00F45308">
        <w:rPr>
          <w:rFonts w:ascii="Arial" w:hAnsi="Arial" w:cs="Arial"/>
          <w:sz w:val="24"/>
          <w:szCs w:val="24"/>
        </w:rPr>
        <w:t xml:space="preserve">decreases </w:t>
      </w:r>
      <w:r w:rsidR="008B7429">
        <w:rPr>
          <w:rFonts w:ascii="Arial" w:hAnsi="Arial" w:cs="Arial"/>
          <w:sz w:val="24"/>
          <w:szCs w:val="24"/>
        </w:rPr>
        <w:t xml:space="preserve">to zero </w:t>
      </w:r>
      <w:r w:rsidR="00F45308">
        <w:rPr>
          <w:rFonts w:ascii="Arial" w:hAnsi="Arial" w:cs="Arial"/>
          <w:sz w:val="24"/>
          <w:szCs w:val="24"/>
        </w:rPr>
        <w:t xml:space="preserve">exponentially fast. </w:t>
      </w:r>
      <w:r w:rsidR="00D63A87">
        <w:rPr>
          <w:rFonts w:ascii="Arial" w:hAnsi="Arial" w:cs="Arial"/>
          <w:sz w:val="24"/>
          <w:szCs w:val="24"/>
        </w:rPr>
        <w:t>At this point, it is reasonable to consider</w:t>
      </w:r>
      <w:r w:rsidR="00F45308">
        <w:rPr>
          <w:rFonts w:ascii="Arial" w:hAnsi="Arial" w:cs="Arial"/>
          <w:sz w:val="24"/>
          <w:szCs w:val="24"/>
        </w:rPr>
        <w:t xml:space="preserve"> the simpler system obtained by setting </w:t>
      </w:r>
      <w:r w:rsidR="00CD757D" w:rsidRPr="00025957">
        <w:rPr>
          <w:position w:val="-4"/>
        </w:rPr>
        <w:object w:dxaOrig="640" w:dyaOrig="240" w14:anchorId="514CC371">
          <v:shape id="_x0000_i1027" type="#_x0000_t75" style="width:32.25pt;height:11.8pt" o:ole="">
            <v:imagedata r:id="rId13" o:title=""/>
          </v:shape>
          <o:OLEObject Type="Embed" ProgID="Equation.DSMT4" ShapeID="_x0000_i1027" DrawAspect="Content" ObjectID="_1542801987" r:id="rId14"/>
        </w:object>
      </w:r>
      <w:r w:rsidR="00321827">
        <w:rPr>
          <w:rFonts w:ascii="Arial" w:hAnsi="Arial" w:cs="Arial"/>
          <w:sz w:val="24"/>
          <w:szCs w:val="24"/>
        </w:rPr>
        <w:t xml:space="preserve"> in Equation 1. The resulting simplified system is a 4-dimensional linear homogeneous </w:t>
      </w:r>
      <w:r w:rsidR="00EF06DB">
        <w:rPr>
          <w:rFonts w:ascii="Arial" w:hAnsi="Arial" w:cs="Arial"/>
          <w:sz w:val="24"/>
          <w:szCs w:val="24"/>
        </w:rPr>
        <w:t xml:space="preserve">system of </w:t>
      </w:r>
      <w:r w:rsidR="00321827">
        <w:rPr>
          <w:rFonts w:ascii="Arial" w:hAnsi="Arial" w:cs="Arial"/>
          <w:sz w:val="24"/>
          <w:szCs w:val="24"/>
        </w:rPr>
        <w:t>ODE</w:t>
      </w:r>
      <w:r w:rsidR="00EF06DB">
        <w:rPr>
          <w:rFonts w:ascii="Arial" w:hAnsi="Arial" w:cs="Arial"/>
          <w:sz w:val="24"/>
          <w:szCs w:val="24"/>
        </w:rPr>
        <w:t>s</w:t>
      </w:r>
      <w:r w:rsidR="00321827">
        <w:rPr>
          <w:rFonts w:ascii="Arial" w:hAnsi="Arial" w:cs="Arial"/>
          <w:sz w:val="24"/>
          <w:szCs w:val="24"/>
        </w:rPr>
        <w:t xml:space="preserve"> </w:t>
      </w:r>
      <w:r w:rsidR="00572A6E">
        <w:rPr>
          <w:rFonts w:ascii="Arial" w:hAnsi="Arial" w:cs="Arial"/>
          <w:sz w:val="24"/>
          <w:szCs w:val="24"/>
        </w:rPr>
        <w:t>with constant coefficients</w:t>
      </w:r>
      <w:r w:rsidR="00016325">
        <w:rPr>
          <w:rFonts w:ascii="Arial" w:hAnsi="Arial" w:cs="Arial"/>
          <w:sz w:val="24"/>
          <w:szCs w:val="24"/>
        </w:rPr>
        <w:t xml:space="preserve"> </w:t>
      </w:r>
      <w:r w:rsidR="00CD757D">
        <w:rPr>
          <w:rFonts w:ascii="Arial" w:hAnsi="Arial" w:cs="Arial"/>
          <w:sz w:val="24"/>
          <w:szCs w:val="24"/>
        </w:rPr>
        <w:t>and</w:t>
      </w:r>
      <w:r w:rsidR="00016325">
        <w:rPr>
          <w:rFonts w:ascii="Arial" w:hAnsi="Arial" w:cs="Arial"/>
          <w:sz w:val="24"/>
          <w:szCs w:val="24"/>
        </w:rPr>
        <w:t xml:space="preserve"> the following eigenvalues (note the plus</w:t>
      </w:r>
      <w:r w:rsidR="00CA570D">
        <w:rPr>
          <w:rFonts w:ascii="Arial" w:hAnsi="Arial" w:cs="Arial"/>
          <w:sz w:val="24"/>
          <w:szCs w:val="24"/>
        </w:rPr>
        <w:t>/minus sign):</w:t>
      </w:r>
    </w:p>
    <w:p w14:paraId="352FB1CF" w14:textId="37C8DAE8" w:rsidR="00C87E38" w:rsidRDefault="00F32374" w:rsidP="00B9171E">
      <w:pPr>
        <w:spacing w:line="240" w:lineRule="auto"/>
      </w:pPr>
      <w:r w:rsidRPr="00F32374">
        <w:rPr>
          <w:position w:val="-30"/>
        </w:rPr>
        <w:object w:dxaOrig="8340" w:dyaOrig="740" w14:anchorId="068CE0A1">
          <v:shape id="_x0000_i1028" type="#_x0000_t75" style="width:416.95pt;height:36.55pt" o:ole="">
            <v:imagedata r:id="rId15" o:title=""/>
          </v:shape>
          <o:OLEObject Type="Embed" ProgID="Equation.DSMT4" ShapeID="_x0000_i1028" DrawAspect="Content" ObjectID="_1542801988" r:id="rId16"/>
        </w:object>
      </w:r>
    </w:p>
    <w:p w14:paraId="0578E0F8" w14:textId="6626CB00" w:rsidR="00786488" w:rsidRDefault="00786488" w:rsidP="00900FE7">
      <w:pPr>
        <w:spacing w:line="480" w:lineRule="auto"/>
        <w:rPr>
          <w:rFonts w:ascii="Arial" w:hAnsi="Arial" w:cs="Arial"/>
          <w:sz w:val="24"/>
          <w:szCs w:val="24"/>
        </w:rPr>
      </w:pPr>
      <w:r w:rsidRPr="00900FE7">
        <w:rPr>
          <w:rFonts w:ascii="Arial" w:hAnsi="Arial" w:cs="Arial"/>
          <w:sz w:val="24"/>
          <w:szCs w:val="24"/>
        </w:rPr>
        <w:t xml:space="preserve">Given that all parameters are positive, </w:t>
      </w:r>
      <w:r w:rsidRPr="00900FE7">
        <w:rPr>
          <w:rFonts w:ascii="Arial" w:hAnsi="Arial" w:cs="Arial"/>
          <w:position w:val="-12"/>
          <w:sz w:val="24"/>
          <w:szCs w:val="24"/>
        </w:rPr>
        <w:object w:dxaOrig="820" w:dyaOrig="380" w14:anchorId="174C70EF">
          <v:shape id="_x0000_i1029" type="#_x0000_t75" style="width:41.35pt;height:19.35pt" o:ole="">
            <v:imagedata r:id="rId17" o:title=""/>
          </v:shape>
          <o:OLEObject Type="Embed" ProgID="Equation.DSMT4" ShapeID="_x0000_i1029" DrawAspect="Content" ObjectID="_1542801989" r:id="rId18"/>
        </w:object>
      </w:r>
      <w:r w:rsidRPr="00900FE7">
        <w:rPr>
          <w:rFonts w:ascii="Arial" w:hAnsi="Arial" w:cs="Arial"/>
          <w:sz w:val="24"/>
          <w:szCs w:val="24"/>
        </w:rPr>
        <w:t xml:space="preserve">, and </w:t>
      </w:r>
      <w:r w:rsidR="00900FE7" w:rsidRPr="00900FE7">
        <w:rPr>
          <w:rFonts w:ascii="Arial" w:hAnsi="Arial" w:cs="Arial"/>
          <w:position w:val="-12"/>
          <w:sz w:val="24"/>
          <w:szCs w:val="24"/>
        </w:rPr>
        <w:object w:dxaOrig="840" w:dyaOrig="380" w14:anchorId="1EA4D537">
          <v:shape id="_x0000_i1030" type="#_x0000_t75" style="width:41.9pt;height:19.35pt" o:ole="">
            <v:imagedata r:id="rId19" o:title=""/>
          </v:shape>
          <o:OLEObject Type="Embed" ProgID="Equation.DSMT4" ShapeID="_x0000_i1030" DrawAspect="Content" ObjectID="_1542801990" r:id="rId20"/>
        </w:object>
      </w:r>
      <w:r w:rsidR="00900FE7">
        <w:rPr>
          <w:rFonts w:ascii="Arial" w:hAnsi="Arial" w:cs="Arial"/>
          <w:sz w:val="24"/>
          <w:szCs w:val="24"/>
        </w:rPr>
        <w:t xml:space="preserve">, </w:t>
      </w:r>
      <w:r w:rsidR="00900FE7" w:rsidRPr="00900FE7">
        <w:rPr>
          <w:rFonts w:ascii="Arial" w:hAnsi="Arial" w:cs="Arial"/>
          <w:sz w:val="24"/>
          <w:szCs w:val="24"/>
        </w:rPr>
        <w:t>it follows that there is exactly one positive eigenvalue, while all the rest are negative.</w:t>
      </w:r>
      <w:r w:rsidR="003978E0">
        <w:rPr>
          <w:rFonts w:ascii="Arial" w:hAnsi="Arial" w:cs="Arial"/>
          <w:sz w:val="24"/>
          <w:szCs w:val="24"/>
        </w:rPr>
        <w:t xml:space="preserve"> It is then</w:t>
      </w:r>
      <w:r w:rsidR="00AF02FC">
        <w:rPr>
          <w:rFonts w:ascii="Arial" w:hAnsi="Arial" w:cs="Arial"/>
          <w:sz w:val="24"/>
          <w:szCs w:val="24"/>
        </w:rPr>
        <w:t xml:space="preserve"> trivial to verify that </w:t>
      </w:r>
      <w:r w:rsidR="003978E0">
        <w:rPr>
          <w:rFonts w:ascii="Arial" w:hAnsi="Arial" w:cs="Arial"/>
          <w:sz w:val="24"/>
          <w:szCs w:val="24"/>
        </w:rPr>
        <w:t xml:space="preserve">the </w:t>
      </w:r>
      <w:r w:rsidR="00AF02FC">
        <w:rPr>
          <w:rFonts w:ascii="Arial" w:hAnsi="Arial" w:cs="Arial"/>
          <w:sz w:val="24"/>
          <w:szCs w:val="24"/>
        </w:rPr>
        <w:t xml:space="preserve">ratio </w:t>
      </w:r>
      <w:r w:rsidR="00AE5CF0" w:rsidRPr="003978E0">
        <w:rPr>
          <w:position w:val="-10"/>
        </w:rPr>
        <w:object w:dxaOrig="2420" w:dyaOrig="320" w14:anchorId="1F067740">
          <v:shape id="_x0000_i1031" type="#_x0000_t75" style="width:121.45pt;height:15.6pt" o:ole="">
            <v:imagedata r:id="rId21" o:title=""/>
          </v:shape>
          <o:OLEObject Type="Embed" ProgID="Equation.DSMT4" ShapeID="_x0000_i1031" DrawAspect="Content" ObjectID="_1542801991" r:id="rId22"/>
        </w:object>
      </w:r>
      <w:r w:rsidR="00AF02FC">
        <w:rPr>
          <w:rFonts w:ascii="Arial" w:hAnsi="Arial" w:cs="Arial"/>
          <w:sz w:val="24"/>
          <w:szCs w:val="24"/>
        </w:rPr>
        <w:t xml:space="preserve"> converge</w:t>
      </w:r>
      <w:r w:rsidR="003978E0">
        <w:rPr>
          <w:rFonts w:ascii="Arial" w:hAnsi="Arial" w:cs="Arial"/>
          <w:sz w:val="24"/>
          <w:szCs w:val="24"/>
        </w:rPr>
        <w:t>s exponential</w:t>
      </w:r>
      <w:r w:rsidR="00FE5F8B">
        <w:rPr>
          <w:rFonts w:ascii="Arial" w:hAnsi="Arial" w:cs="Arial"/>
          <w:sz w:val="24"/>
          <w:szCs w:val="24"/>
        </w:rPr>
        <w:t>ly</w:t>
      </w:r>
      <w:r w:rsidR="003978E0">
        <w:rPr>
          <w:rFonts w:ascii="Arial" w:hAnsi="Arial" w:cs="Arial"/>
          <w:sz w:val="24"/>
          <w:szCs w:val="24"/>
        </w:rPr>
        <w:t xml:space="preserve"> </w:t>
      </w:r>
      <w:r w:rsidR="00656805">
        <w:rPr>
          <w:rFonts w:ascii="Arial" w:hAnsi="Arial" w:cs="Arial"/>
          <w:sz w:val="24"/>
          <w:szCs w:val="24"/>
        </w:rPr>
        <w:t xml:space="preserve">fast </w:t>
      </w:r>
      <w:r w:rsidR="003978E0">
        <w:rPr>
          <w:rFonts w:ascii="Arial" w:hAnsi="Arial" w:cs="Arial"/>
          <w:sz w:val="24"/>
          <w:szCs w:val="24"/>
        </w:rPr>
        <w:t>to a constant</w:t>
      </w:r>
      <w:r w:rsidR="00276A29">
        <w:rPr>
          <w:rFonts w:ascii="Arial" w:hAnsi="Arial" w:cs="Arial"/>
          <w:sz w:val="24"/>
          <w:szCs w:val="24"/>
        </w:rPr>
        <w:t xml:space="preserve"> that is</w:t>
      </w:r>
      <w:r w:rsidR="003978E0">
        <w:rPr>
          <w:rFonts w:ascii="Arial" w:hAnsi="Arial" w:cs="Arial"/>
          <w:sz w:val="24"/>
          <w:szCs w:val="24"/>
        </w:rPr>
        <w:t xml:space="preserve"> independent of the initial conditions. </w:t>
      </w:r>
      <w:r w:rsidR="00A221CA">
        <w:rPr>
          <w:rFonts w:ascii="Arial" w:hAnsi="Arial" w:cs="Arial"/>
          <w:sz w:val="24"/>
          <w:szCs w:val="24"/>
        </w:rPr>
        <w:t>In</w:t>
      </w:r>
      <w:r w:rsidR="00B62361">
        <w:rPr>
          <w:rFonts w:ascii="Arial" w:hAnsi="Arial" w:cs="Arial"/>
          <w:sz w:val="24"/>
          <w:szCs w:val="24"/>
        </w:rPr>
        <w:t xml:space="preserve"> terms of the model </w:t>
      </w:r>
      <w:r w:rsidR="00A221CA">
        <w:rPr>
          <w:rFonts w:ascii="Arial" w:hAnsi="Arial" w:cs="Arial"/>
          <w:sz w:val="24"/>
          <w:szCs w:val="24"/>
        </w:rPr>
        <w:t>this means that</w:t>
      </w:r>
      <w:r w:rsidR="00B62361">
        <w:rPr>
          <w:rFonts w:ascii="Arial" w:hAnsi="Arial" w:cs="Arial"/>
          <w:sz w:val="24"/>
          <w:szCs w:val="24"/>
        </w:rPr>
        <w:t xml:space="preserve"> when treatment stops, the proportion of tumor stem cells quickly re-equilibrates to pre-treatment </w:t>
      </w:r>
      <w:r w:rsidR="00293B2E">
        <w:rPr>
          <w:rFonts w:ascii="Arial" w:hAnsi="Arial" w:cs="Arial"/>
          <w:sz w:val="24"/>
          <w:szCs w:val="24"/>
        </w:rPr>
        <w:t>levels. Thus, with each treatment cycle, the degree to which the tumor responds to chemotherapy remains largely unchanged.</w:t>
      </w:r>
    </w:p>
    <w:p w14:paraId="5AB13E15" w14:textId="7CEC72C6" w:rsidR="00D41262" w:rsidRPr="00C320D4" w:rsidRDefault="00B67628" w:rsidP="00D41262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other hand, w</w:t>
      </w:r>
      <w:r w:rsidR="00D41262">
        <w:rPr>
          <w:rFonts w:ascii="Arial" w:hAnsi="Arial" w:cs="Arial"/>
          <w:sz w:val="24"/>
          <w:szCs w:val="24"/>
        </w:rPr>
        <w:t xml:space="preserve">hen feedback </w:t>
      </w:r>
      <w:r>
        <w:rPr>
          <w:rFonts w:ascii="Arial" w:hAnsi="Arial" w:cs="Arial"/>
          <w:sz w:val="24"/>
          <w:szCs w:val="24"/>
        </w:rPr>
        <w:t xml:space="preserve">on the division rate is present, </w:t>
      </w:r>
      <w:r w:rsidR="00D41262">
        <w:rPr>
          <w:rFonts w:ascii="Arial" w:hAnsi="Arial" w:cs="Arial"/>
          <w:sz w:val="24"/>
          <w:szCs w:val="24"/>
        </w:rPr>
        <w:t xml:space="preserve">the </w:t>
      </w:r>
      <w:r w:rsidR="009C2980">
        <w:rPr>
          <w:rFonts w:ascii="Arial" w:hAnsi="Arial" w:cs="Arial"/>
          <w:sz w:val="24"/>
          <w:szCs w:val="24"/>
        </w:rPr>
        <w:t>percent of tumor stem cell increases with each treatment cycle</w:t>
      </w:r>
      <w:r w:rsidR="00656005">
        <w:rPr>
          <w:rFonts w:ascii="Arial" w:hAnsi="Arial" w:cs="Arial"/>
          <w:sz w:val="24"/>
          <w:szCs w:val="24"/>
        </w:rPr>
        <w:t>,</w:t>
      </w:r>
      <w:r w:rsidR="00071D35">
        <w:rPr>
          <w:rFonts w:ascii="Arial" w:hAnsi="Arial" w:cs="Arial"/>
          <w:sz w:val="24"/>
          <w:szCs w:val="24"/>
        </w:rPr>
        <w:t xml:space="preserve"> causing a decrease in tumor </w:t>
      </w:r>
      <w:r w:rsidR="00783E06">
        <w:rPr>
          <w:rFonts w:ascii="Arial" w:hAnsi="Arial" w:cs="Arial"/>
          <w:sz w:val="24"/>
          <w:szCs w:val="24"/>
        </w:rPr>
        <w:t xml:space="preserve">response to therapy over time. This behavior was </w:t>
      </w:r>
      <w:r w:rsidR="000A7426">
        <w:rPr>
          <w:rFonts w:ascii="Arial" w:hAnsi="Arial" w:cs="Arial"/>
          <w:sz w:val="24"/>
          <w:szCs w:val="24"/>
        </w:rPr>
        <w:t xml:space="preserve">verified numerically (See </w:t>
      </w:r>
      <w:r w:rsidR="00012F5C">
        <w:rPr>
          <w:rFonts w:ascii="Arial" w:hAnsi="Arial" w:cs="Arial"/>
          <w:b/>
          <w:sz w:val="24"/>
          <w:szCs w:val="24"/>
        </w:rPr>
        <w:t>Figure</w:t>
      </w:r>
      <w:r w:rsidR="000A7426" w:rsidRPr="00C320D4">
        <w:rPr>
          <w:rFonts w:ascii="Arial" w:hAnsi="Arial" w:cs="Arial"/>
          <w:b/>
          <w:sz w:val="24"/>
          <w:szCs w:val="24"/>
        </w:rPr>
        <w:t xml:space="preserve"> </w:t>
      </w:r>
      <w:r w:rsidR="002648C4">
        <w:rPr>
          <w:rFonts w:ascii="Arial" w:hAnsi="Arial" w:cs="Arial"/>
          <w:b/>
          <w:sz w:val="24"/>
          <w:szCs w:val="24"/>
        </w:rPr>
        <w:t>3</w:t>
      </w:r>
      <w:r w:rsidR="002648C4">
        <w:rPr>
          <w:rFonts w:ascii="Arial" w:hAnsi="Arial" w:cs="Arial"/>
          <w:sz w:val="24"/>
          <w:szCs w:val="24"/>
        </w:rPr>
        <w:t xml:space="preserve"> </w:t>
      </w:r>
      <w:r w:rsidR="002648C4">
        <w:rPr>
          <w:rFonts w:ascii="Arial" w:hAnsi="Arial" w:cs="Arial"/>
          <w:sz w:val="24"/>
          <w:szCs w:val="24"/>
        </w:rPr>
        <w:lastRenderedPageBreak/>
        <w:t>and</w:t>
      </w:r>
      <w:r w:rsidR="00C320D4" w:rsidRPr="00C320D4">
        <w:rPr>
          <w:rFonts w:ascii="Arial" w:hAnsi="Arial" w:cs="Arial"/>
          <w:b/>
          <w:sz w:val="24"/>
          <w:szCs w:val="24"/>
        </w:rPr>
        <w:t xml:space="preserve"> </w:t>
      </w:r>
      <w:r w:rsidR="00012F5C">
        <w:rPr>
          <w:rFonts w:ascii="Arial" w:hAnsi="Arial" w:cs="Arial"/>
          <w:b/>
          <w:sz w:val="24"/>
          <w:szCs w:val="24"/>
        </w:rPr>
        <w:t xml:space="preserve">Figure </w:t>
      </w:r>
      <w:r w:rsidR="00C320D4" w:rsidRPr="00C320D4">
        <w:rPr>
          <w:rFonts w:ascii="Arial" w:hAnsi="Arial" w:cs="Arial"/>
          <w:b/>
          <w:sz w:val="24"/>
          <w:szCs w:val="24"/>
        </w:rPr>
        <w:t>4</w:t>
      </w:r>
      <w:r w:rsidR="00C320D4">
        <w:rPr>
          <w:rFonts w:ascii="Arial" w:hAnsi="Arial" w:cs="Arial"/>
          <w:sz w:val="24"/>
          <w:szCs w:val="24"/>
        </w:rPr>
        <w:t xml:space="preserve"> </w:t>
      </w:r>
      <w:r w:rsidR="001260F6">
        <w:rPr>
          <w:rFonts w:ascii="Arial" w:hAnsi="Arial" w:cs="Arial"/>
          <w:sz w:val="24"/>
          <w:szCs w:val="24"/>
        </w:rPr>
        <w:t>in the main text</w:t>
      </w:r>
      <w:r w:rsidR="00AE493F">
        <w:rPr>
          <w:rFonts w:ascii="Arial" w:hAnsi="Arial" w:cs="Arial"/>
          <w:sz w:val="24"/>
          <w:szCs w:val="24"/>
        </w:rPr>
        <w:t>,</w:t>
      </w:r>
      <w:r w:rsidR="001260F6">
        <w:rPr>
          <w:rFonts w:ascii="Arial" w:hAnsi="Arial" w:cs="Arial"/>
          <w:sz w:val="24"/>
          <w:szCs w:val="24"/>
        </w:rPr>
        <w:t xml:space="preserve"> </w:t>
      </w:r>
      <w:r w:rsidR="00C320D4">
        <w:rPr>
          <w:rFonts w:ascii="Arial" w:hAnsi="Arial" w:cs="Arial"/>
          <w:sz w:val="24"/>
          <w:szCs w:val="24"/>
        </w:rPr>
        <w:t xml:space="preserve">and </w:t>
      </w:r>
      <w:r w:rsidR="001260F6" w:rsidRPr="001260F6">
        <w:rPr>
          <w:rFonts w:ascii="Arial" w:hAnsi="Arial" w:cs="Arial"/>
          <w:b/>
          <w:sz w:val="24"/>
          <w:szCs w:val="24"/>
        </w:rPr>
        <w:t>Figure</w:t>
      </w:r>
      <w:r w:rsidR="001260F6">
        <w:rPr>
          <w:rFonts w:ascii="Arial" w:hAnsi="Arial" w:cs="Arial"/>
          <w:sz w:val="24"/>
          <w:szCs w:val="24"/>
        </w:rPr>
        <w:t xml:space="preserve"> </w:t>
      </w:r>
      <w:r w:rsidR="00C320D4" w:rsidRPr="00C320D4">
        <w:rPr>
          <w:rFonts w:ascii="Arial" w:hAnsi="Arial" w:cs="Arial"/>
          <w:b/>
          <w:sz w:val="24"/>
          <w:szCs w:val="24"/>
        </w:rPr>
        <w:t>S2</w:t>
      </w:r>
      <w:r w:rsidR="001260F6">
        <w:rPr>
          <w:rFonts w:ascii="Arial" w:hAnsi="Arial" w:cs="Arial"/>
          <w:b/>
          <w:sz w:val="24"/>
          <w:szCs w:val="24"/>
        </w:rPr>
        <w:t xml:space="preserve"> </w:t>
      </w:r>
      <w:r w:rsidR="001260F6">
        <w:rPr>
          <w:rFonts w:ascii="Arial" w:hAnsi="Arial" w:cs="Arial"/>
          <w:sz w:val="24"/>
          <w:szCs w:val="24"/>
        </w:rPr>
        <w:t>in this appendix</w:t>
      </w:r>
      <w:r w:rsidR="00C320D4">
        <w:rPr>
          <w:rFonts w:ascii="Arial" w:hAnsi="Arial" w:cs="Arial"/>
          <w:sz w:val="24"/>
          <w:szCs w:val="24"/>
        </w:rPr>
        <w:t>).</w:t>
      </w:r>
      <w:r w:rsidR="001260F6">
        <w:rPr>
          <w:rFonts w:ascii="Arial" w:hAnsi="Arial" w:cs="Arial"/>
          <w:sz w:val="24"/>
          <w:szCs w:val="24"/>
        </w:rPr>
        <w:t xml:space="preserve"> For an analytical </w:t>
      </w:r>
      <w:r w:rsidR="0054160C">
        <w:rPr>
          <w:rFonts w:ascii="Arial" w:hAnsi="Arial" w:cs="Arial"/>
          <w:sz w:val="24"/>
          <w:szCs w:val="24"/>
        </w:rPr>
        <w:t xml:space="preserve">proof that explains these dynamics </w:t>
      </w:r>
      <w:r w:rsidR="002648C4">
        <w:rPr>
          <w:rFonts w:ascii="Arial" w:hAnsi="Arial" w:cs="Arial"/>
          <w:sz w:val="24"/>
          <w:szCs w:val="24"/>
        </w:rPr>
        <w:t>for</w:t>
      </w:r>
      <w:r w:rsidR="000755CC">
        <w:rPr>
          <w:rFonts w:ascii="Arial" w:hAnsi="Arial" w:cs="Arial"/>
          <w:sz w:val="24"/>
          <w:szCs w:val="24"/>
        </w:rPr>
        <w:t xml:space="preserve"> a</w:t>
      </w:r>
      <w:r w:rsidR="001260F6">
        <w:rPr>
          <w:rFonts w:ascii="Arial" w:hAnsi="Arial" w:cs="Arial"/>
          <w:sz w:val="24"/>
          <w:szCs w:val="24"/>
        </w:rPr>
        <w:t xml:space="preserve"> related simpler system</w:t>
      </w:r>
      <w:r w:rsidR="002648C4">
        <w:rPr>
          <w:rFonts w:ascii="Arial" w:hAnsi="Arial" w:cs="Arial"/>
          <w:sz w:val="24"/>
          <w:szCs w:val="24"/>
        </w:rPr>
        <w:t>,</w:t>
      </w:r>
      <w:r w:rsidR="001260F6">
        <w:rPr>
          <w:rFonts w:ascii="Arial" w:hAnsi="Arial" w:cs="Arial"/>
          <w:sz w:val="24"/>
          <w:szCs w:val="24"/>
        </w:rPr>
        <w:t xml:space="preserve"> the reader is refer</w:t>
      </w:r>
      <w:r w:rsidR="0054160C">
        <w:rPr>
          <w:rFonts w:ascii="Arial" w:hAnsi="Arial" w:cs="Arial"/>
          <w:sz w:val="24"/>
          <w:szCs w:val="24"/>
        </w:rPr>
        <w:t>r</w:t>
      </w:r>
      <w:r w:rsidR="001260F6">
        <w:rPr>
          <w:rFonts w:ascii="Arial" w:hAnsi="Arial" w:cs="Arial"/>
          <w:sz w:val="24"/>
          <w:szCs w:val="24"/>
        </w:rPr>
        <w:t>ed to</w:t>
      </w:r>
      <w:r w:rsidR="00F00725">
        <w:rPr>
          <w:rFonts w:ascii="Arial" w:hAnsi="Arial" w:cs="Arial"/>
          <w:sz w:val="24"/>
          <w:szCs w:val="24"/>
        </w:rPr>
        <w:t xml:space="preserve"> references </w:t>
      </w:r>
      <w:r w:rsidR="00F00725" w:rsidRPr="00671B1F">
        <w:rPr>
          <w:rFonts w:ascii="Arial" w:hAnsi="Arial" w:cs="Arial"/>
          <w:sz w:val="24"/>
          <w:szCs w:val="24"/>
        </w:rPr>
        <w:t xml:space="preserve">[2] </w:t>
      </w:r>
      <w:r w:rsidR="00671B1F" w:rsidRPr="00671B1F">
        <w:rPr>
          <w:rFonts w:ascii="Arial" w:hAnsi="Arial" w:cs="Arial"/>
          <w:sz w:val="24"/>
          <w:szCs w:val="24"/>
        </w:rPr>
        <w:t>and [3</w:t>
      </w:r>
      <w:r w:rsidR="00F00725" w:rsidRPr="00671B1F">
        <w:rPr>
          <w:rFonts w:ascii="Arial" w:hAnsi="Arial" w:cs="Arial"/>
          <w:sz w:val="24"/>
          <w:szCs w:val="24"/>
        </w:rPr>
        <w:t>]</w:t>
      </w:r>
      <w:r w:rsidR="0054160C">
        <w:rPr>
          <w:rFonts w:ascii="Arial" w:hAnsi="Arial" w:cs="Arial"/>
          <w:sz w:val="24"/>
          <w:szCs w:val="24"/>
        </w:rPr>
        <w:t xml:space="preserve"> in the main text. </w:t>
      </w:r>
      <w:r w:rsidR="001260F6">
        <w:rPr>
          <w:rFonts w:ascii="Arial" w:hAnsi="Arial" w:cs="Arial"/>
          <w:sz w:val="24"/>
          <w:szCs w:val="24"/>
        </w:rPr>
        <w:t xml:space="preserve"> </w:t>
      </w:r>
    </w:p>
    <w:sectPr w:rsidR="00D41262" w:rsidRPr="00C320D4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FBA9B" w14:textId="77777777" w:rsidR="00463BC2" w:rsidRDefault="00463BC2" w:rsidP="00752A37">
      <w:pPr>
        <w:spacing w:after="0" w:line="240" w:lineRule="auto"/>
      </w:pPr>
      <w:r>
        <w:separator/>
      </w:r>
    </w:p>
  </w:endnote>
  <w:endnote w:type="continuationSeparator" w:id="0">
    <w:p w14:paraId="6BB3034E" w14:textId="77777777" w:rsidR="00463BC2" w:rsidRDefault="00463BC2" w:rsidP="0075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241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F622C0" w14:textId="30376A0F" w:rsidR="00752A37" w:rsidRDefault="00752A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93A847" w14:textId="77777777" w:rsidR="00752A37" w:rsidRDefault="00752A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07178" w14:textId="77777777" w:rsidR="00463BC2" w:rsidRDefault="00463BC2" w:rsidP="00752A37">
      <w:pPr>
        <w:spacing w:after="0" w:line="240" w:lineRule="auto"/>
      </w:pPr>
      <w:r>
        <w:separator/>
      </w:r>
    </w:p>
  </w:footnote>
  <w:footnote w:type="continuationSeparator" w:id="0">
    <w:p w14:paraId="7AEFFCEC" w14:textId="77777777" w:rsidR="00463BC2" w:rsidRDefault="00463BC2" w:rsidP="00752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F6"/>
    <w:rsid w:val="0001086D"/>
    <w:rsid w:val="00012F5C"/>
    <w:rsid w:val="00013C50"/>
    <w:rsid w:val="00016325"/>
    <w:rsid w:val="00020CC6"/>
    <w:rsid w:val="00027CBB"/>
    <w:rsid w:val="00041796"/>
    <w:rsid w:val="0005076C"/>
    <w:rsid w:val="00071D35"/>
    <w:rsid w:val="000755CC"/>
    <w:rsid w:val="000A4F0C"/>
    <w:rsid w:val="000A6339"/>
    <w:rsid w:val="000A7426"/>
    <w:rsid w:val="000B2AA2"/>
    <w:rsid w:val="000D6550"/>
    <w:rsid w:val="00105095"/>
    <w:rsid w:val="001260F6"/>
    <w:rsid w:val="00132F90"/>
    <w:rsid w:val="00140455"/>
    <w:rsid w:val="00143D42"/>
    <w:rsid w:val="00161BD1"/>
    <w:rsid w:val="00164417"/>
    <w:rsid w:val="001821E7"/>
    <w:rsid w:val="001B41BF"/>
    <w:rsid w:val="001C5278"/>
    <w:rsid w:val="001D686B"/>
    <w:rsid w:val="001D6A71"/>
    <w:rsid w:val="001E1E3D"/>
    <w:rsid w:val="001F22B9"/>
    <w:rsid w:val="002024D5"/>
    <w:rsid w:val="002134B6"/>
    <w:rsid w:val="00213663"/>
    <w:rsid w:val="00231A3E"/>
    <w:rsid w:val="00231E72"/>
    <w:rsid w:val="002648C4"/>
    <w:rsid w:val="00276A29"/>
    <w:rsid w:val="00276C9A"/>
    <w:rsid w:val="00280051"/>
    <w:rsid w:val="00292BB7"/>
    <w:rsid w:val="00293B2E"/>
    <w:rsid w:val="002A131C"/>
    <w:rsid w:val="002B10FB"/>
    <w:rsid w:val="002C49A6"/>
    <w:rsid w:val="002D2DBB"/>
    <w:rsid w:val="002D40AE"/>
    <w:rsid w:val="002E4E48"/>
    <w:rsid w:val="002E65F0"/>
    <w:rsid w:val="002F2084"/>
    <w:rsid w:val="0031754E"/>
    <w:rsid w:val="00321827"/>
    <w:rsid w:val="003227D5"/>
    <w:rsid w:val="00325704"/>
    <w:rsid w:val="00331F87"/>
    <w:rsid w:val="00351D67"/>
    <w:rsid w:val="00353C3F"/>
    <w:rsid w:val="0035776D"/>
    <w:rsid w:val="003608C2"/>
    <w:rsid w:val="00376F9E"/>
    <w:rsid w:val="00377ECB"/>
    <w:rsid w:val="00390226"/>
    <w:rsid w:val="00391412"/>
    <w:rsid w:val="003978E0"/>
    <w:rsid w:val="003A27F8"/>
    <w:rsid w:val="003A2871"/>
    <w:rsid w:val="003A3124"/>
    <w:rsid w:val="003A34E3"/>
    <w:rsid w:val="003F1815"/>
    <w:rsid w:val="003F28F5"/>
    <w:rsid w:val="003F5694"/>
    <w:rsid w:val="00451941"/>
    <w:rsid w:val="0046191E"/>
    <w:rsid w:val="00463BC2"/>
    <w:rsid w:val="00481C53"/>
    <w:rsid w:val="00497E4A"/>
    <w:rsid w:val="004A1FD3"/>
    <w:rsid w:val="004A284F"/>
    <w:rsid w:val="004B06A6"/>
    <w:rsid w:val="004C4AF1"/>
    <w:rsid w:val="004C7DA1"/>
    <w:rsid w:val="004D55C9"/>
    <w:rsid w:val="004E1D08"/>
    <w:rsid w:val="004E6B7F"/>
    <w:rsid w:val="004F756A"/>
    <w:rsid w:val="005168A0"/>
    <w:rsid w:val="0054160C"/>
    <w:rsid w:val="00543D19"/>
    <w:rsid w:val="00557EE0"/>
    <w:rsid w:val="00566659"/>
    <w:rsid w:val="0057051B"/>
    <w:rsid w:val="00572A6E"/>
    <w:rsid w:val="00596FCC"/>
    <w:rsid w:val="005B102A"/>
    <w:rsid w:val="005B1F7B"/>
    <w:rsid w:val="005C2DC4"/>
    <w:rsid w:val="005D4104"/>
    <w:rsid w:val="005E0B02"/>
    <w:rsid w:val="005F14CF"/>
    <w:rsid w:val="005F19E7"/>
    <w:rsid w:val="00635BF5"/>
    <w:rsid w:val="00646E8B"/>
    <w:rsid w:val="00655E4F"/>
    <w:rsid w:val="00656005"/>
    <w:rsid w:val="00656805"/>
    <w:rsid w:val="00670C1F"/>
    <w:rsid w:val="00671B1F"/>
    <w:rsid w:val="00686129"/>
    <w:rsid w:val="00687038"/>
    <w:rsid w:val="006A3C8A"/>
    <w:rsid w:val="006C4180"/>
    <w:rsid w:val="006F1A14"/>
    <w:rsid w:val="006F3556"/>
    <w:rsid w:val="007170D4"/>
    <w:rsid w:val="00752A37"/>
    <w:rsid w:val="007733DE"/>
    <w:rsid w:val="007738DD"/>
    <w:rsid w:val="00776BB2"/>
    <w:rsid w:val="00777421"/>
    <w:rsid w:val="00783E06"/>
    <w:rsid w:val="007847EC"/>
    <w:rsid w:val="00786488"/>
    <w:rsid w:val="007B547D"/>
    <w:rsid w:val="007C7895"/>
    <w:rsid w:val="007F402A"/>
    <w:rsid w:val="007F477E"/>
    <w:rsid w:val="00800954"/>
    <w:rsid w:val="008063C8"/>
    <w:rsid w:val="00820ADC"/>
    <w:rsid w:val="008649EF"/>
    <w:rsid w:val="008A3BFF"/>
    <w:rsid w:val="008B20BA"/>
    <w:rsid w:val="008B7429"/>
    <w:rsid w:val="008D72C4"/>
    <w:rsid w:val="008E66F0"/>
    <w:rsid w:val="00900FE7"/>
    <w:rsid w:val="0090496B"/>
    <w:rsid w:val="0093659B"/>
    <w:rsid w:val="00976BE9"/>
    <w:rsid w:val="00983007"/>
    <w:rsid w:val="009A33F0"/>
    <w:rsid w:val="009A64B9"/>
    <w:rsid w:val="009A66B9"/>
    <w:rsid w:val="009B3135"/>
    <w:rsid w:val="009C2980"/>
    <w:rsid w:val="009F64A2"/>
    <w:rsid w:val="00A129BD"/>
    <w:rsid w:val="00A12FBB"/>
    <w:rsid w:val="00A221CA"/>
    <w:rsid w:val="00A53611"/>
    <w:rsid w:val="00A72CC7"/>
    <w:rsid w:val="00A92BD5"/>
    <w:rsid w:val="00A95179"/>
    <w:rsid w:val="00AC55DD"/>
    <w:rsid w:val="00AE493F"/>
    <w:rsid w:val="00AE5909"/>
    <w:rsid w:val="00AE5CF0"/>
    <w:rsid w:val="00AF02FC"/>
    <w:rsid w:val="00AF12EA"/>
    <w:rsid w:val="00B20A23"/>
    <w:rsid w:val="00B20C37"/>
    <w:rsid w:val="00B41826"/>
    <w:rsid w:val="00B5365F"/>
    <w:rsid w:val="00B62361"/>
    <w:rsid w:val="00B67628"/>
    <w:rsid w:val="00B70F58"/>
    <w:rsid w:val="00B7100A"/>
    <w:rsid w:val="00B738BB"/>
    <w:rsid w:val="00B75D52"/>
    <w:rsid w:val="00B835FF"/>
    <w:rsid w:val="00B9171E"/>
    <w:rsid w:val="00B92A2C"/>
    <w:rsid w:val="00BC3F97"/>
    <w:rsid w:val="00BE65ED"/>
    <w:rsid w:val="00BE7D9C"/>
    <w:rsid w:val="00BF3A5B"/>
    <w:rsid w:val="00C22AB3"/>
    <w:rsid w:val="00C24B99"/>
    <w:rsid w:val="00C313E3"/>
    <w:rsid w:val="00C320D4"/>
    <w:rsid w:val="00C344B2"/>
    <w:rsid w:val="00C431F6"/>
    <w:rsid w:val="00C5146F"/>
    <w:rsid w:val="00C65E1F"/>
    <w:rsid w:val="00C850B8"/>
    <w:rsid w:val="00C86F37"/>
    <w:rsid w:val="00C87E38"/>
    <w:rsid w:val="00CA0381"/>
    <w:rsid w:val="00CA05F2"/>
    <w:rsid w:val="00CA3AF6"/>
    <w:rsid w:val="00CA570D"/>
    <w:rsid w:val="00CA58A8"/>
    <w:rsid w:val="00CB022E"/>
    <w:rsid w:val="00CC10F5"/>
    <w:rsid w:val="00CC5C29"/>
    <w:rsid w:val="00CD0CB4"/>
    <w:rsid w:val="00CD757D"/>
    <w:rsid w:val="00CE7CBE"/>
    <w:rsid w:val="00CF22EA"/>
    <w:rsid w:val="00D000B0"/>
    <w:rsid w:val="00D116D7"/>
    <w:rsid w:val="00D1468E"/>
    <w:rsid w:val="00D21F2F"/>
    <w:rsid w:val="00D41262"/>
    <w:rsid w:val="00D51955"/>
    <w:rsid w:val="00D63A87"/>
    <w:rsid w:val="00D6498F"/>
    <w:rsid w:val="00D7120D"/>
    <w:rsid w:val="00D71253"/>
    <w:rsid w:val="00D77C02"/>
    <w:rsid w:val="00DA1602"/>
    <w:rsid w:val="00DB2100"/>
    <w:rsid w:val="00DB54C9"/>
    <w:rsid w:val="00DB706B"/>
    <w:rsid w:val="00DD5080"/>
    <w:rsid w:val="00DE2E6B"/>
    <w:rsid w:val="00DF1694"/>
    <w:rsid w:val="00E0301F"/>
    <w:rsid w:val="00E07CA8"/>
    <w:rsid w:val="00E1192B"/>
    <w:rsid w:val="00E12AB2"/>
    <w:rsid w:val="00E46FC7"/>
    <w:rsid w:val="00E9154A"/>
    <w:rsid w:val="00E91E49"/>
    <w:rsid w:val="00EB7ED3"/>
    <w:rsid w:val="00EC7A01"/>
    <w:rsid w:val="00EF06DB"/>
    <w:rsid w:val="00F00725"/>
    <w:rsid w:val="00F0746F"/>
    <w:rsid w:val="00F10733"/>
    <w:rsid w:val="00F154D4"/>
    <w:rsid w:val="00F27893"/>
    <w:rsid w:val="00F32374"/>
    <w:rsid w:val="00F418BE"/>
    <w:rsid w:val="00F45308"/>
    <w:rsid w:val="00F640F9"/>
    <w:rsid w:val="00F71D48"/>
    <w:rsid w:val="00FC2A72"/>
    <w:rsid w:val="00FD6C88"/>
    <w:rsid w:val="00FE3571"/>
    <w:rsid w:val="00F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97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65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55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5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5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5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5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50"/>
    <w:rPr>
      <w:rFonts w:ascii="Lucida Grande" w:hAnsi="Lucida Grande"/>
      <w:sz w:val="18"/>
      <w:szCs w:val="18"/>
    </w:rPr>
  </w:style>
  <w:style w:type="paragraph" w:customStyle="1" w:styleId="MTDisplayEquation">
    <w:name w:val="MTDisplayEquation"/>
    <w:basedOn w:val="Normal"/>
    <w:next w:val="Normal"/>
    <w:rsid w:val="00F32374"/>
    <w:pPr>
      <w:tabs>
        <w:tab w:val="center" w:pos="4680"/>
        <w:tab w:val="right" w:pos="9360"/>
      </w:tabs>
      <w:spacing w:line="240" w:lineRule="auto"/>
      <w:jc w:val="both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5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37"/>
  </w:style>
  <w:style w:type="paragraph" w:styleId="Footer">
    <w:name w:val="footer"/>
    <w:basedOn w:val="Normal"/>
    <w:link w:val="FooterChar"/>
    <w:uiPriority w:val="99"/>
    <w:unhideWhenUsed/>
    <w:rsid w:val="0075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65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55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5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5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5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5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50"/>
    <w:rPr>
      <w:rFonts w:ascii="Lucida Grande" w:hAnsi="Lucida Grande"/>
      <w:sz w:val="18"/>
      <w:szCs w:val="18"/>
    </w:rPr>
  </w:style>
  <w:style w:type="paragraph" w:customStyle="1" w:styleId="MTDisplayEquation">
    <w:name w:val="MTDisplayEquation"/>
    <w:basedOn w:val="Normal"/>
    <w:next w:val="Normal"/>
    <w:rsid w:val="00F32374"/>
    <w:pPr>
      <w:tabs>
        <w:tab w:val="center" w:pos="4680"/>
        <w:tab w:val="right" w:pos="9360"/>
      </w:tabs>
      <w:spacing w:line="240" w:lineRule="auto"/>
      <w:jc w:val="both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5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37"/>
  </w:style>
  <w:style w:type="paragraph" w:styleId="Footer">
    <w:name w:val="footer"/>
    <w:basedOn w:val="Normal"/>
    <w:link w:val="FooterChar"/>
    <w:uiPriority w:val="99"/>
    <w:unhideWhenUsed/>
    <w:rsid w:val="0075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Wodarz</dc:creator>
  <cp:lastModifiedBy>dwodarz</cp:lastModifiedBy>
  <cp:revision>48</cp:revision>
  <cp:lastPrinted>2016-12-09T23:17:00Z</cp:lastPrinted>
  <dcterms:created xsi:type="dcterms:W3CDTF">2016-11-19T04:56:00Z</dcterms:created>
  <dcterms:modified xsi:type="dcterms:W3CDTF">2016-12-09T23:17:00Z</dcterms:modified>
</cp:coreProperties>
</file>