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B408" w14:textId="77777777" w:rsidR="0071273F" w:rsidRDefault="00854804" w:rsidP="00DD0C13">
      <w:pPr>
        <w:spacing w:after="226" w:line="259" w:lineRule="auto"/>
        <w:ind w:left="-5"/>
      </w:pPr>
      <w:r>
        <w:rPr>
          <w:b/>
        </w:rPr>
        <w:t xml:space="preserve">SUPPLEMENTAL FIGURE LEGENDS </w:t>
      </w:r>
    </w:p>
    <w:p w14:paraId="41547025" w14:textId="77777777" w:rsidR="0071273F" w:rsidRDefault="00854804" w:rsidP="00DD0C13">
      <w:pPr>
        <w:spacing w:after="225" w:line="259" w:lineRule="auto"/>
        <w:ind w:left="0" w:firstLine="0"/>
      </w:pPr>
      <w:r>
        <w:rPr>
          <w:b/>
        </w:rPr>
        <w:t xml:space="preserve"> </w:t>
      </w:r>
    </w:p>
    <w:p w14:paraId="5F5F2217" w14:textId="77777777" w:rsidR="0071273F" w:rsidRDefault="00854804" w:rsidP="00DD0C13">
      <w:pPr>
        <w:spacing w:after="2" w:line="466" w:lineRule="auto"/>
        <w:ind w:left="-5"/>
      </w:pPr>
      <w:proofErr w:type="gramStart"/>
      <w:r>
        <w:rPr>
          <w:b/>
        </w:rPr>
        <w:t>Supplemental Figure 1.</w:t>
      </w:r>
      <w:proofErr w:type="gramEnd"/>
      <w:r>
        <w:rPr>
          <w:b/>
        </w:rPr>
        <w:t xml:space="preserve"> Keratin staining of cervical lymph nodes from Ndrg2-deficient mice treated with 4-NQO. </w:t>
      </w:r>
      <w:r>
        <w:t xml:space="preserve"> </w:t>
      </w:r>
    </w:p>
    <w:p w14:paraId="5FABC6B6" w14:textId="5B4DFD29" w:rsidR="0071273F" w:rsidRDefault="00854804" w:rsidP="00DD0C13">
      <w:pPr>
        <w:ind w:left="-5" w:right="-11"/>
        <w:rPr>
          <w:b/>
        </w:rPr>
      </w:pPr>
      <w:r>
        <w:t>Representative IHC images showing no metastasis of SCC in the cervical lymph nodes of the mice.</w:t>
      </w:r>
      <w:r>
        <w:rPr>
          <w:b/>
        </w:rPr>
        <w:t xml:space="preserve"> </w:t>
      </w:r>
    </w:p>
    <w:p w14:paraId="5BF325B5" w14:textId="595CE1C4" w:rsidR="0071273F" w:rsidRDefault="0071273F" w:rsidP="00DD0C13">
      <w:pPr>
        <w:spacing w:after="227" w:line="259" w:lineRule="auto"/>
        <w:ind w:left="0" w:firstLine="0"/>
      </w:pPr>
    </w:p>
    <w:p w14:paraId="19FA78AF" w14:textId="77777777" w:rsidR="0071273F" w:rsidRDefault="00854804" w:rsidP="00DD0C13">
      <w:pPr>
        <w:spacing w:after="2" w:line="466" w:lineRule="auto"/>
        <w:ind w:left="-5"/>
      </w:pPr>
      <w:proofErr w:type="gramStart"/>
      <w:r>
        <w:rPr>
          <w:b/>
        </w:rPr>
        <w:t>Supplemental Figure 2.</w:t>
      </w:r>
      <w:proofErr w:type="gramEnd"/>
      <w:r>
        <w:rPr>
          <w:b/>
        </w:rPr>
        <w:t xml:space="preserve"> Effect of 4-NQO </w:t>
      </w:r>
      <w:proofErr w:type="gramStart"/>
      <w:r>
        <w:rPr>
          <w:b/>
        </w:rPr>
        <w:t>treatment</w:t>
      </w:r>
      <w:proofErr w:type="gramEnd"/>
      <w:r>
        <w:rPr>
          <w:b/>
        </w:rPr>
        <w:t xml:space="preserve"> on an OSCC cell line was observed through the activation of the AKT </w:t>
      </w:r>
      <w:proofErr w:type="spellStart"/>
      <w:r>
        <w:rPr>
          <w:b/>
        </w:rPr>
        <w:t>signalling</w:t>
      </w:r>
      <w:proofErr w:type="spellEnd"/>
      <w:r>
        <w:rPr>
          <w:b/>
        </w:rPr>
        <w:t xml:space="preserve"> pathway and cell migration ability.</w:t>
      </w:r>
      <w:r>
        <w:t xml:space="preserve">  </w:t>
      </w:r>
    </w:p>
    <w:p w14:paraId="61CBF376" w14:textId="0E6B4B7B" w:rsidR="007C2CC7" w:rsidRPr="00485E52" w:rsidRDefault="007C2CC7" w:rsidP="00DD0C13">
      <w:pPr>
        <w:pStyle w:val="a3"/>
        <w:ind w:leftChars="0" w:left="10" w:right="-11" w:firstLine="0"/>
        <w:rPr>
          <w:color w:val="auto"/>
        </w:rPr>
      </w:pPr>
      <w:r w:rsidRPr="00485E52">
        <w:rPr>
          <w:color w:val="auto"/>
        </w:rPr>
        <w:t xml:space="preserve">(A) </w:t>
      </w:r>
      <w:r w:rsidR="00854804" w:rsidRPr="00485E52">
        <w:rPr>
          <w:color w:val="auto"/>
        </w:rPr>
        <w:t xml:space="preserve">Activation of the AKT </w:t>
      </w:r>
      <w:proofErr w:type="spellStart"/>
      <w:r w:rsidR="00854804" w:rsidRPr="00485E52">
        <w:rPr>
          <w:color w:val="auto"/>
        </w:rPr>
        <w:t>signalling</w:t>
      </w:r>
      <w:proofErr w:type="spellEnd"/>
      <w:r w:rsidR="00854804" w:rsidRPr="00485E52">
        <w:rPr>
          <w:color w:val="auto"/>
        </w:rPr>
        <w:t xml:space="preserve"> pathway was observed by western blot analysis at each indicated time after treatment of SAS/OSCC cell line with 4-NQO.  </w:t>
      </w:r>
    </w:p>
    <w:p w14:paraId="174239AA" w14:textId="453B6A73" w:rsidR="0071273F" w:rsidRPr="00485E52" w:rsidRDefault="007C2CC7" w:rsidP="00DD0C13">
      <w:pPr>
        <w:ind w:right="-11" w:firstLine="0"/>
        <w:rPr>
          <w:color w:val="auto"/>
        </w:rPr>
      </w:pPr>
      <w:r w:rsidRPr="00485E52">
        <w:rPr>
          <w:color w:val="auto"/>
        </w:rPr>
        <w:t xml:space="preserve">(B) </w:t>
      </w:r>
      <w:r w:rsidR="00854804" w:rsidRPr="00485E52">
        <w:rPr>
          <w:color w:val="auto"/>
        </w:rPr>
        <w:t xml:space="preserve">The cell migration ability was determined in SAS/OSCC cells using an in vitro scratch assay 12 hours after treatment with various amounts of 4-NQO. Black lines indicate the initial edge of the cells and red arrows indicate the migrated cells after the scratch was made.  </w:t>
      </w:r>
    </w:p>
    <w:p w14:paraId="55CE8046" w14:textId="4E012D98" w:rsidR="00B5187B" w:rsidRPr="00485E52" w:rsidRDefault="00B5187B" w:rsidP="00DD0C13">
      <w:pPr>
        <w:ind w:right="-11" w:firstLine="0"/>
        <w:rPr>
          <w:color w:val="auto"/>
        </w:rPr>
      </w:pPr>
      <w:r w:rsidRPr="00485E52">
        <w:rPr>
          <w:bCs/>
          <w:color w:val="auto"/>
          <w:kern w:val="0"/>
          <w:szCs w:val="26"/>
        </w:rPr>
        <w:t xml:space="preserve">(C) </w:t>
      </w:r>
      <w:proofErr w:type="spellStart"/>
      <w:r w:rsidR="00DC7F1C" w:rsidRPr="00485E52">
        <w:rPr>
          <w:color w:val="auto"/>
          <w:kern w:val="0"/>
        </w:rPr>
        <w:t>HaCaT</w:t>
      </w:r>
      <w:proofErr w:type="spellEnd"/>
      <w:r w:rsidR="00DC7F1C" w:rsidRPr="00485E52">
        <w:rPr>
          <w:color w:val="auto"/>
          <w:kern w:val="0"/>
        </w:rPr>
        <w:t xml:space="preserve"> cell lines expressing shRNA against NDRG2 or luciferase as a control </w:t>
      </w:r>
      <w:r w:rsidRPr="00485E52">
        <w:rPr>
          <w:bCs/>
          <w:color w:val="auto"/>
          <w:kern w:val="0"/>
          <w:szCs w:val="26"/>
        </w:rPr>
        <w:t>were cultured in serum-free DMEM for 24</w:t>
      </w:r>
      <w:r w:rsidR="00DC7F1C" w:rsidRPr="00485E52">
        <w:rPr>
          <w:bCs/>
          <w:color w:val="auto"/>
          <w:kern w:val="0"/>
          <w:szCs w:val="26"/>
        </w:rPr>
        <w:t xml:space="preserve"> </w:t>
      </w:r>
      <w:r w:rsidRPr="00485E52">
        <w:rPr>
          <w:bCs/>
          <w:color w:val="auto"/>
          <w:kern w:val="0"/>
          <w:szCs w:val="26"/>
        </w:rPr>
        <w:t>h</w:t>
      </w:r>
      <w:r w:rsidR="00D53A4A">
        <w:rPr>
          <w:bCs/>
          <w:color w:val="auto"/>
          <w:kern w:val="0"/>
          <w:szCs w:val="26"/>
        </w:rPr>
        <w:t>ours</w:t>
      </w:r>
      <w:r w:rsidRPr="00485E52">
        <w:rPr>
          <w:bCs/>
          <w:color w:val="auto"/>
          <w:kern w:val="0"/>
          <w:szCs w:val="26"/>
        </w:rPr>
        <w:t xml:space="preserve">. The quiescent cells were treated with 4-NQO in serum-free medium and were subjected to Western bolt analysis of PI3K/AKT signaling </w:t>
      </w:r>
      <w:r w:rsidR="001375C7" w:rsidRPr="00485E52">
        <w:rPr>
          <w:bCs/>
          <w:color w:val="auto"/>
          <w:kern w:val="0"/>
          <w:szCs w:val="26"/>
        </w:rPr>
        <w:t>pathway</w:t>
      </w:r>
      <w:r w:rsidRPr="00485E52">
        <w:rPr>
          <w:bCs/>
          <w:color w:val="auto"/>
          <w:kern w:val="0"/>
          <w:szCs w:val="26"/>
        </w:rPr>
        <w:t>.</w:t>
      </w:r>
    </w:p>
    <w:p w14:paraId="6E1BEB0C" w14:textId="045DCA65" w:rsidR="00B5187B" w:rsidRPr="00485E52" w:rsidRDefault="00B5187B" w:rsidP="00DD0C13">
      <w:pPr>
        <w:ind w:right="-11" w:firstLine="0"/>
        <w:rPr>
          <w:color w:val="auto"/>
        </w:rPr>
      </w:pPr>
      <w:r w:rsidRPr="00485E52">
        <w:rPr>
          <w:color w:val="auto"/>
        </w:rPr>
        <w:t xml:space="preserve">(D) </w:t>
      </w:r>
      <w:r w:rsidR="00767751" w:rsidRPr="00485E52">
        <w:rPr>
          <w:color w:val="auto"/>
        </w:rPr>
        <w:t xml:space="preserve">Cell migration ability under four different conditions with/without expression of NDRG2 and with/without 4-NQO treatment in </w:t>
      </w:r>
      <w:proofErr w:type="spellStart"/>
      <w:r w:rsidR="00767751" w:rsidRPr="00485E52">
        <w:rPr>
          <w:color w:val="auto"/>
        </w:rPr>
        <w:t>HaCaT</w:t>
      </w:r>
      <w:proofErr w:type="spellEnd"/>
      <w:r w:rsidR="00767751" w:rsidRPr="00485E52">
        <w:rPr>
          <w:color w:val="auto"/>
        </w:rPr>
        <w:t xml:space="preserve"> cells was determined by in vitro scratch assays. </w:t>
      </w:r>
      <w:r w:rsidRPr="00485E52">
        <w:rPr>
          <w:color w:val="auto"/>
        </w:rPr>
        <w:t xml:space="preserve">Images show </w:t>
      </w:r>
      <w:proofErr w:type="spellStart"/>
      <w:r w:rsidRPr="00485E52">
        <w:rPr>
          <w:color w:val="auto"/>
        </w:rPr>
        <w:t>HaCaT</w:t>
      </w:r>
      <w:proofErr w:type="spellEnd"/>
      <w:r w:rsidRPr="00485E52">
        <w:rPr>
          <w:color w:val="auto"/>
        </w:rPr>
        <w:t xml:space="preserve"> cells under four different conditions on the </w:t>
      </w:r>
      <w:r w:rsidRPr="00485E52">
        <w:rPr>
          <w:color w:val="auto"/>
        </w:rPr>
        <w:lastRenderedPageBreak/>
        <w:t xml:space="preserve">glass slide; the black lines indicate the initial edge of the cells, while the red arrows indicate the migrated cells after the scratch was made. The bar graph illustrates the relative migration rates of </w:t>
      </w:r>
      <w:proofErr w:type="spellStart"/>
      <w:r w:rsidRPr="00485E52">
        <w:rPr>
          <w:color w:val="auto"/>
        </w:rPr>
        <w:t>HaCaT</w:t>
      </w:r>
      <w:proofErr w:type="spellEnd"/>
      <w:r w:rsidRPr="00485E52">
        <w:rPr>
          <w:color w:val="auto"/>
        </w:rPr>
        <w:t xml:space="preserve"> cells under the four different conditions indicated under the bar.</w:t>
      </w:r>
    </w:p>
    <w:p w14:paraId="070C200E" w14:textId="23A0CC13" w:rsidR="00B5187B" w:rsidRPr="00485E52" w:rsidRDefault="00B5187B" w:rsidP="00DD0C13">
      <w:pPr>
        <w:pStyle w:val="a3"/>
        <w:autoSpaceDE w:val="0"/>
        <w:autoSpaceDN w:val="0"/>
        <w:adjustRightInd w:val="0"/>
        <w:ind w:leftChars="0" w:left="10" w:firstLine="0"/>
        <w:rPr>
          <w:bCs/>
          <w:color w:val="auto"/>
          <w:kern w:val="0"/>
          <w:szCs w:val="26"/>
        </w:rPr>
      </w:pPr>
      <w:r w:rsidRPr="00485E52">
        <w:rPr>
          <w:color w:val="auto"/>
        </w:rPr>
        <w:t xml:space="preserve">(E) The images show migrated </w:t>
      </w:r>
      <w:proofErr w:type="spellStart"/>
      <w:r w:rsidRPr="00485E52">
        <w:rPr>
          <w:color w:val="auto"/>
        </w:rPr>
        <w:t>HaCaT</w:t>
      </w:r>
      <w:proofErr w:type="spellEnd"/>
      <w:r w:rsidRPr="00485E52">
        <w:rPr>
          <w:color w:val="auto"/>
        </w:rPr>
        <w:t>/shNDRG2 cells under the four different conditions indicated in the figure; these cells were stained with crystal violet in a cell invasion assay using Boyden chambers (magnification, ×100). The bar graph shows the number of migrated cells under the four different conditions. Star (*) indicates statistical significance of p&lt;0.05.</w:t>
      </w:r>
    </w:p>
    <w:p w14:paraId="62AAF6B0" w14:textId="350AAA5B" w:rsidR="0071273F" w:rsidRPr="00485E52" w:rsidRDefault="00B5187B" w:rsidP="00DD0C13">
      <w:pPr>
        <w:ind w:right="-11" w:firstLine="0"/>
        <w:rPr>
          <w:color w:val="auto"/>
        </w:rPr>
      </w:pPr>
      <w:r w:rsidRPr="00485E52">
        <w:rPr>
          <w:color w:val="auto"/>
        </w:rPr>
        <w:t>(F</w:t>
      </w:r>
      <w:r w:rsidR="007C2CC7" w:rsidRPr="00485E52">
        <w:rPr>
          <w:color w:val="auto"/>
        </w:rPr>
        <w:t xml:space="preserve">) </w:t>
      </w:r>
      <w:r w:rsidR="00854804" w:rsidRPr="00485E52">
        <w:rPr>
          <w:color w:val="auto"/>
        </w:rPr>
        <w:t xml:space="preserve">Activation of the AKT </w:t>
      </w:r>
      <w:proofErr w:type="spellStart"/>
      <w:r w:rsidR="00854804" w:rsidRPr="00485E52">
        <w:rPr>
          <w:color w:val="auto"/>
        </w:rPr>
        <w:t>signalling</w:t>
      </w:r>
      <w:proofErr w:type="spellEnd"/>
      <w:r w:rsidR="00854804" w:rsidRPr="00485E52">
        <w:rPr>
          <w:color w:val="auto"/>
        </w:rPr>
        <w:t xml:space="preserve"> pathway in MEF cells from wild-type mice treated with 4-NQO was observed along with increased levels of phosphorylated AKT, GSK3β and S6 up to 20 minutes; however, the constitutive activation of the AKT </w:t>
      </w:r>
      <w:proofErr w:type="spellStart"/>
      <w:r w:rsidR="00854804" w:rsidRPr="00485E52">
        <w:rPr>
          <w:color w:val="auto"/>
        </w:rPr>
        <w:t>signalling</w:t>
      </w:r>
      <w:proofErr w:type="spellEnd"/>
      <w:r w:rsidR="00854804" w:rsidRPr="00485E52">
        <w:rPr>
          <w:color w:val="auto"/>
        </w:rPr>
        <w:t xml:space="preserve"> pathway was observed in MEF cells from Ndrg2-deficient mice before and after the treatment with 4-NQO.  </w:t>
      </w:r>
    </w:p>
    <w:p w14:paraId="53C6A629" w14:textId="5F93C363" w:rsidR="0071273F" w:rsidRPr="00485E52" w:rsidRDefault="00B5187B" w:rsidP="00DD0C13">
      <w:pPr>
        <w:ind w:right="-11" w:firstLine="0"/>
        <w:rPr>
          <w:color w:val="auto"/>
        </w:rPr>
      </w:pPr>
      <w:r w:rsidRPr="00485E52">
        <w:rPr>
          <w:color w:val="auto"/>
        </w:rPr>
        <w:t>(G</w:t>
      </w:r>
      <w:r w:rsidR="007C2CC7" w:rsidRPr="00485E52">
        <w:rPr>
          <w:color w:val="auto"/>
        </w:rPr>
        <w:t xml:space="preserve">) </w:t>
      </w:r>
      <w:r w:rsidR="00854804" w:rsidRPr="00485E52">
        <w:rPr>
          <w:color w:val="auto"/>
        </w:rPr>
        <w:t xml:space="preserve">A cell migration assay was performed in HSC3/OSCC cells with or without NDRG2 expression and 4-NQO </w:t>
      </w:r>
      <w:proofErr w:type="gramStart"/>
      <w:r w:rsidR="00854804" w:rsidRPr="00485E52">
        <w:rPr>
          <w:color w:val="auto"/>
        </w:rPr>
        <w:t>treatment</w:t>
      </w:r>
      <w:proofErr w:type="gramEnd"/>
      <w:r w:rsidR="00854804" w:rsidRPr="00485E52">
        <w:rPr>
          <w:color w:val="auto"/>
        </w:rPr>
        <w:t xml:space="preserve">. The activation of cell migration by 4-NQO was completely suppressed by forced NDRG2 expression, which can be observed in microscopy images (top) and according to the distance the cells migrated (bottom). Black lines indicate the initial edge of the cells and red arrows indicate the migrated cells after the scratch was made. Star (*) indicates statistical significance at p&lt;0.05. </w:t>
      </w:r>
      <w:r w:rsidR="00854804" w:rsidRPr="00485E52">
        <w:rPr>
          <w:b/>
          <w:color w:val="auto"/>
        </w:rPr>
        <w:t xml:space="preserve"> </w:t>
      </w:r>
    </w:p>
    <w:p w14:paraId="06E16623" w14:textId="31D89FDC" w:rsidR="0071273F" w:rsidRPr="00485E52" w:rsidRDefault="00ED60CF" w:rsidP="00DD0C13">
      <w:pPr>
        <w:ind w:right="-11" w:firstLine="0"/>
        <w:rPr>
          <w:color w:val="auto"/>
        </w:rPr>
      </w:pPr>
      <w:r w:rsidRPr="00485E52">
        <w:rPr>
          <w:color w:val="auto"/>
        </w:rPr>
        <w:t>(</w:t>
      </w:r>
      <w:r w:rsidR="00B5187B" w:rsidRPr="00485E52">
        <w:rPr>
          <w:color w:val="auto"/>
        </w:rPr>
        <w:t>H)</w:t>
      </w:r>
      <w:r w:rsidRPr="00485E52">
        <w:rPr>
          <w:color w:val="auto"/>
        </w:rPr>
        <w:t xml:space="preserve"> </w:t>
      </w:r>
      <w:r w:rsidR="00854804" w:rsidRPr="00485E52">
        <w:rPr>
          <w:color w:val="auto"/>
        </w:rPr>
        <w:t xml:space="preserve">The activation of invasion by HSC3/OSCC cells after 4-NQO </w:t>
      </w:r>
      <w:proofErr w:type="gramStart"/>
      <w:r w:rsidR="00854804" w:rsidRPr="00485E52">
        <w:rPr>
          <w:color w:val="auto"/>
        </w:rPr>
        <w:t>treatment</w:t>
      </w:r>
      <w:proofErr w:type="gramEnd"/>
      <w:r w:rsidR="00854804" w:rsidRPr="00485E52">
        <w:rPr>
          <w:color w:val="auto"/>
        </w:rPr>
        <w:t xml:space="preserve"> was suppressed by forced NDRG2 expression, which was observed by staining the </w:t>
      </w:r>
      <w:r w:rsidR="00854804" w:rsidRPr="00485E52">
        <w:rPr>
          <w:color w:val="auto"/>
        </w:rPr>
        <w:lastRenderedPageBreak/>
        <w:t>migrated cells (top) and the number of cells that migrated (bottom). Star (*) indicates statistical significance at p&lt;0.05.</w:t>
      </w:r>
      <w:r w:rsidR="00854804" w:rsidRPr="00485E52">
        <w:rPr>
          <w:b/>
          <w:color w:val="auto"/>
        </w:rPr>
        <w:t xml:space="preserve"> </w:t>
      </w:r>
    </w:p>
    <w:p w14:paraId="737CA855" w14:textId="5E7982B4" w:rsidR="0071273F" w:rsidRPr="00485E52" w:rsidRDefault="0071273F" w:rsidP="00DD0C13">
      <w:pPr>
        <w:spacing w:after="231" w:line="259" w:lineRule="auto"/>
        <w:ind w:left="0" w:firstLine="0"/>
        <w:rPr>
          <w:color w:val="auto"/>
        </w:rPr>
      </w:pPr>
    </w:p>
    <w:p w14:paraId="1052BAF8" w14:textId="77777777" w:rsidR="0071273F" w:rsidRPr="00485E52" w:rsidRDefault="00854804" w:rsidP="00DD0C13">
      <w:pPr>
        <w:spacing w:after="2" w:line="466" w:lineRule="auto"/>
        <w:ind w:left="-5"/>
        <w:rPr>
          <w:color w:val="auto"/>
        </w:rPr>
      </w:pPr>
      <w:proofErr w:type="gramStart"/>
      <w:r w:rsidRPr="00485E52">
        <w:rPr>
          <w:b/>
          <w:color w:val="auto"/>
        </w:rPr>
        <w:t>Supplemental Figure 3.</w:t>
      </w:r>
      <w:proofErr w:type="gramEnd"/>
      <w:r w:rsidRPr="00485E52">
        <w:rPr>
          <w:color w:val="auto"/>
        </w:rPr>
        <w:t xml:space="preserve"> </w:t>
      </w:r>
      <w:r w:rsidRPr="00485E52">
        <w:rPr>
          <w:b/>
          <w:color w:val="auto"/>
        </w:rPr>
        <w:t xml:space="preserve">Immunofluorescence staining of E-cadherin, </w:t>
      </w:r>
      <w:proofErr w:type="spellStart"/>
      <w:r w:rsidRPr="00485E52">
        <w:rPr>
          <w:b/>
          <w:color w:val="auto"/>
        </w:rPr>
        <w:t>Vimentin</w:t>
      </w:r>
      <w:proofErr w:type="spellEnd"/>
      <w:r w:rsidRPr="00485E52">
        <w:rPr>
          <w:b/>
          <w:color w:val="auto"/>
        </w:rPr>
        <w:t>, and NDRG2 in OSCC cell lines for determining EMT progression by treatment with 4-NQO</w:t>
      </w:r>
      <w:r w:rsidRPr="00485E52">
        <w:rPr>
          <w:color w:val="auto"/>
        </w:rPr>
        <w:t xml:space="preserve"> </w:t>
      </w:r>
    </w:p>
    <w:p w14:paraId="50DB79C2" w14:textId="683A6A38" w:rsidR="0071273F" w:rsidRPr="00485E52" w:rsidRDefault="003E4D76" w:rsidP="00DD0C13">
      <w:pPr>
        <w:ind w:left="-5" w:right="-11"/>
        <w:rPr>
          <w:color w:val="auto"/>
        </w:rPr>
      </w:pPr>
      <w:r w:rsidRPr="00485E52">
        <w:rPr>
          <w:color w:val="auto"/>
        </w:rPr>
        <w:t xml:space="preserve">(A, B) </w:t>
      </w:r>
      <w:r w:rsidR="00854804" w:rsidRPr="00485E52">
        <w:rPr>
          <w:color w:val="auto"/>
        </w:rPr>
        <w:t xml:space="preserve">Immunofluorescence staining was used to determine the expression of NDRG2 and E-cadherin </w:t>
      </w:r>
      <w:r w:rsidR="00854804" w:rsidRPr="00485E52">
        <w:rPr>
          <w:b/>
          <w:color w:val="auto"/>
        </w:rPr>
        <w:t>(A)</w:t>
      </w:r>
      <w:r w:rsidR="00854804" w:rsidRPr="00485E52">
        <w:rPr>
          <w:color w:val="auto"/>
        </w:rPr>
        <w:t>,</w:t>
      </w:r>
      <w:r w:rsidR="00854804" w:rsidRPr="00485E52">
        <w:rPr>
          <w:b/>
          <w:color w:val="auto"/>
        </w:rPr>
        <w:t xml:space="preserve"> </w:t>
      </w:r>
      <w:r w:rsidR="00854804" w:rsidRPr="00485E52">
        <w:rPr>
          <w:color w:val="auto"/>
        </w:rPr>
        <w:t xml:space="preserve">and NDRG2 and </w:t>
      </w:r>
      <w:proofErr w:type="spellStart"/>
      <w:r w:rsidR="00854804" w:rsidRPr="00485E52">
        <w:rPr>
          <w:color w:val="auto"/>
        </w:rPr>
        <w:t>Vimentin</w:t>
      </w:r>
      <w:proofErr w:type="spellEnd"/>
      <w:r w:rsidR="00854804" w:rsidRPr="00485E52">
        <w:rPr>
          <w:color w:val="auto"/>
        </w:rPr>
        <w:t xml:space="preserve"> </w:t>
      </w:r>
      <w:r w:rsidR="00854804" w:rsidRPr="00485E52">
        <w:rPr>
          <w:b/>
          <w:color w:val="auto"/>
        </w:rPr>
        <w:t>(B)</w:t>
      </w:r>
      <w:r w:rsidR="00854804" w:rsidRPr="00485E52">
        <w:rPr>
          <w:color w:val="auto"/>
        </w:rPr>
        <w:t xml:space="preserve"> before and after the treatment of SAS/OSCC </w:t>
      </w:r>
      <w:proofErr w:type="gramStart"/>
      <w:r w:rsidR="00854804" w:rsidRPr="00485E52">
        <w:rPr>
          <w:color w:val="auto"/>
        </w:rPr>
        <w:t>cells</w:t>
      </w:r>
      <w:proofErr w:type="gramEnd"/>
      <w:r w:rsidR="00854804" w:rsidRPr="00485E52">
        <w:rPr>
          <w:color w:val="auto"/>
        </w:rPr>
        <w:t xml:space="preserve">, with or without NDRG2 expression, with 4-NQO. The nuclei were stained with DAPI (blue), and </w:t>
      </w:r>
      <w:proofErr w:type="gramStart"/>
      <w:r w:rsidR="00854804" w:rsidRPr="00485E52">
        <w:rPr>
          <w:color w:val="auto"/>
        </w:rPr>
        <w:t xml:space="preserve">each protein was stained by each specific antibody-conjugated fluorescent dye; NDRG2 by Alexa flour 488 (green), E-cadherin by Alexa flour 623 (yellow), and </w:t>
      </w:r>
      <w:proofErr w:type="spellStart"/>
      <w:r w:rsidR="00854804" w:rsidRPr="00485E52">
        <w:rPr>
          <w:color w:val="auto"/>
        </w:rPr>
        <w:t>Vimentin</w:t>
      </w:r>
      <w:proofErr w:type="spellEnd"/>
      <w:r w:rsidR="00854804" w:rsidRPr="00485E52">
        <w:rPr>
          <w:color w:val="auto"/>
        </w:rPr>
        <w:t xml:space="preserve"> by Alexa </w:t>
      </w:r>
      <w:r w:rsidR="00094BB1" w:rsidRPr="00485E52">
        <w:rPr>
          <w:color w:val="auto"/>
        </w:rPr>
        <w:t xml:space="preserve">flour </w:t>
      </w:r>
      <w:r w:rsidR="00854804" w:rsidRPr="00485E52">
        <w:rPr>
          <w:color w:val="auto"/>
        </w:rPr>
        <w:t>555</w:t>
      </w:r>
      <w:proofErr w:type="gramEnd"/>
      <w:r w:rsidR="00854804" w:rsidRPr="00485E52">
        <w:rPr>
          <w:color w:val="auto"/>
        </w:rPr>
        <w:t xml:space="preserve"> (red). </w:t>
      </w:r>
    </w:p>
    <w:p w14:paraId="5B64F20F" w14:textId="2D2CE5B1" w:rsidR="003E4D76" w:rsidRPr="00485E52" w:rsidRDefault="003E4D76" w:rsidP="00DD0C13">
      <w:pPr>
        <w:ind w:left="-5" w:right="-11"/>
        <w:rPr>
          <w:color w:val="auto"/>
        </w:rPr>
      </w:pPr>
      <w:r w:rsidRPr="00485E52">
        <w:rPr>
          <w:color w:val="auto"/>
        </w:rPr>
        <w:t xml:space="preserve">(C) Images show the morphology of </w:t>
      </w:r>
      <w:proofErr w:type="spellStart"/>
      <w:r w:rsidRPr="00485E52">
        <w:rPr>
          <w:color w:val="auto"/>
        </w:rPr>
        <w:t>HaCaT</w:t>
      </w:r>
      <w:proofErr w:type="spellEnd"/>
      <w:r w:rsidRPr="00485E52">
        <w:rPr>
          <w:color w:val="auto"/>
        </w:rPr>
        <w:t xml:space="preserve"> cells with or without NDRG2 expression before and 24 hours after the 4-NQO </w:t>
      </w:r>
      <w:proofErr w:type="gramStart"/>
      <w:r w:rsidRPr="00485E52">
        <w:rPr>
          <w:color w:val="auto"/>
        </w:rPr>
        <w:t>treatment</w:t>
      </w:r>
      <w:proofErr w:type="gramEnd"/>
      <w:r w:rsidRPr="00485E52">
        <w:rPr>
          <w:color w:val="auto"/>
        </w:rPr>
        <w:t>.</w:t>
      </w:r>
    </w:p>
    <w:p w14:paraId="2E74860D" w14:textId="1E3F0094" w:rsidR="003E4D76" w:rsidRPr="00485E52" w:rsidRDefault="003E4D76" w:rsidP="00DD0C13">
      <w:pPr>
        <w:ind w:left="-5" w:right="-11"/>
        <w:rPr>
          <w:color w:val="auto"/>
          <w:kern w:val="0"/>
        </w:rPr>
      </w:pPr>
      <w:r w:rsidRPr="00485E52">
        <w:rPr>
          <w:color w:val="auto"/>
        </w:rPr>
        <w:t>(D) Reverse-transcription PCR (RT-PCR) analysis of EMT-related genes in</w:t>
      </w:r>
      <w:r w:rsidR="00D53A4A">
        <w:rPr>
          <w:color w:val="auto"/>
        </w:rPr>
        <w:t xml:space="preserve"> </w:t>
      </w:r>
      <w:r w:rsidRPr="00485E52">
        <w:rPr>
          <w:color w:val="auto"/>
          <w:kern w:val="0"/>
        </w:rPr>
        <w:t xml:space="preserve">4-NQO-treated </w:t>
      </w:r>
      <w:proofErr w:type="spellStart"/>
      <w:r w:rsidRPr="00485E52">
        <w:rPr>
          <w:color w:val="auto"/>
          <w:kern w:val="0"/>
        </w:rPr>
        <w:t>HaCaT</w:t>
      </w:r>
      <w:proofErr w:type="spellEnd"/>
      <w:r w:rsidRPr="00485E52">
        <w:rPr>
          <w:color w:val="auto"/>
          <w:kern w:val="0"/>
        </w:rPr>
        <w:t>.</w:t>
      </w:r>
    </w:p>
    <w:p w14:paraId="6936152D" w14:textId="73B05CE4" w:rsidR="003E4D76" w:rsidRPr="00485E52" w:rsidRDefault="003E4D76" w:rsidP="00DD0C13">
      <w:pPr>
        <w:ind w:left="-5" w:right="-11"/>
        <w:rPr>
          <w:color w:val="auto"/>
        </w:rPr>
      </w:pPr>
      <w:r w:rsidRPr="00485E52">
        <w:rPr>
          <w:color w:val="auto"/>
          <w:kern w:val="0"/>
        </w:rPr>
        <w:t xml:space="preserve">(E) </w:t>
      </w:r>
      <w:r w:rsidRPr="00485E52">
        <w:rPr>
          <w:color w:val="auto"/>
        </w:rPr>
        <w:t xml:space="preserve">Quantitative RT-PCR analysis of EMT-related targets mRNA in </w:t>
      </w:r>
      <w:proofErr w:type="spellStart"/>
      <w:r w:rsidRPr="00485E52">
        <w:rPr>
          <w:color w:val="auto"/>
        </w:rPr>
        <w:t>HaCaT</w:t>
      </w:r>
      <w:proofErr w:type="spellEnd"/>
      <w:r w:rsidRPr="00485E52">
        <w:rPr>
          <w:color w:val="auto"/>
        </w:rPr>
        <w:t>/</w:t>
      </w:r>
      <w:proofErr w:type="spellStart"/>
      <w:r w:rsidRPr="00485E52">
        <w:rPr>
          <w:color w:val="auto"/>
        </w:rPr>
        <w:t>shluc</w:t>
      </w:r>
      <w:proofErr w:type="spellEnd"/>
      <w:r w:rsidRPr="00485E52">
        <w:rPr>
          <w:color w:val="auto"/>
        </w:rPr>
        <w:t xml:space="preserve"> and </w:t>
      </w:r>
      <w:proofErr w:type="spellStart"/>
      <w:r w:rsidRPr="00485E52">
        <w:rPr>
          <w:color w:val="auto"/>
        </w:rPr>
        <w:t>HaCaT</w:t>
      </w:r>
      <w:proofErr w:type="spellEnd"/>
      <w:r w:rsidRPr="00485E52">
        <w:rPr>
          <w:color w:val="auto"/>
        </w:rPr>
        <w:t>/shNDRG2. Star (*) indicates statistical significance at p&lt;0.05. The data represent at least three experiments performed in triplicate.</w:t>
      </w:r>
    </w:p>
    <w:p w14:paraId="0EDAF420" w14:textId="0BDD5F9A" w:rsidR="0071273F" w:rsidRPr="00485E52" w:rsidRDefault="0071273F" w:rsidP="00DD0C13">
      <w:pPr>
        <w:spacing w:after="210" w:line="259" w:lineRule="auto"/>
        <w:ind w:left="0" w:firstLine="0"/>
        <w:rPr>
          <w:color w:val="auto"/>
        </w:rPr>
      </w:pPr>
    </w:p>
    <w:p w14:paraId="00D431A4" w14:textId="77777777" w:rsidR="0071273F" w:rsidRPr="00485E52" w:rsidRDefault="00854804" w:rsidP="00DD0C13">
      <w:pPr>
        <w:spacing w:after="2" w:line="466" w:lineRule="auto"/>
        <w:ind w:left="-5"/>
        <w:rPr>
          <w:color w:val="auto"/>
        </w:rPr>
      </w:pPr>
      <w:proofErr w:type="gramStart"/>
      <w:r w:rsidRPr="00485E52">
        <w:rPr>
          <w:b/>
          <w:color w:val="auto"/>
        </w:rPr>
        <w:t>Supplemental Figure 4.</w:t>
      </w:r>
      <w:proofErr w:type="gramEnd"/>
      <w:r w:rsidRPr="00485E52">
        <w:rPr>
          <w:b/>
          <w:color w:val="auto"/>
        </w:rPr>
        <w:t xml:space="preserve"> Activation of NF-</w:t>
      </w:r>
      <w:proofErr w:type="spellStart"/>
      <w:r w:rsidRPr="00485E52">
        <w:rPr>
          <w:b/>
          <w:color w:val="auto"/>
        </w:rPr>
        <w:t>κB</w:t>
      </w:r>
      <w:proofErr w:type="spellEnd"/>
      <w:r w:rsidRPr="00485E52">
        <w:rPr>
          <w:b/>
          <w:color w:val="auto"/>
        </w:rPr>
        <w:t xml:space="preserve"> </w:t>
      </w:r>
      <w:proofErr w:type="spellStart"/>
      <w:r w:rsidRPr="00485E52">
        <w:rPr>
          <w:b/>
          <w:color w:val="auto"/>
        </w:rPr>
        <w:t>signalling</w:t>
      </w:r>
      <w:proofErr w:type="spellEnd"/>
      <w:r w:rsidRPr="00485E52">
        <w:rPr>
          <w:b/>
          <w:color w:val="auto"/>
        </w:rPr>
        <w:t xml:space="preserve"> in SAS/OSCC cell line treated with 4-NQO.</w:t>
      </w:r>
      <w:r w:rsidRPr="00485E52">
        <w:rPr>
          <w:rFonts w:ascii="Century" w:eastAsia="Century" w:hAnsi="Century" w:cs="Century"/>
          <w:color w:val="auto"/>
        </w:rPr>
        <w:t xml:space="preserve"> </w:t>
      </w:r>
    </w:p>
    <w:p w14:paraId="76980DAD" w14:textId="493B10EB" w:rsidR="00B5187B" w:rsidRPr="00485E52" w:rsidRDefault="003E4D76" w:rsidP="00DD0C13">
      <w:pPr>
        <w:ind w:left="-5" w:right="-11"/>
        <w:rPr>
          <w:color w:val="auto"/>
        </w:rPr>
      </w:pPr>
      <w:r w:rsidRPr="00485E52">
        <w:rPr>
          <w:color w:val="auto"/>
        </w:rPr>
        <w:lastRenderedPageBreak/>
        <w:t xml:space="preserve">(A) </w:t>
      </w:r>
      <w:r w:rsidR="00854804" w:rsidRPr="00485E52">
        <w:rPr>
          <w:color w:val="auto"/>
        </w:rPr>
        <w:t>Activation of NF-</w:t>
      </w:r>
      <w:proofErr w:type="spellStart"/>
      <w:r w:rsidR="00854804" w:rsidRPr="00485E52">
        <w:rPr>
          <w:color w:val="auto"/>
        </w:rPr>
        <w:t>κB</w:t>
      </w:r>
      <w:proofErr w:type="spellEnd"/>
      <w:r w:rsidR="00854804" w:rsidRPr="00485E52">
        <w:rPr>
          <w:color w:val="auto"/>
        </w:rPr>
        <w:t xml:space="preserve"> </w:t>
      </w:r>
      <w:proofErr w:type="spellStart"/>
      <w:r w:rsidR="00854804" w:rsidRPr="00485E52">
        <w:rPr>
          <w:color w:val="auto"/>
        </w:rPr>
        <w:t>signalling</w:t>
      </w:r>
      <w:proofErr w:type="spellEnd"/>
      <w:r w:rsidR="00854804" w:rsidRPr="00485E52">
        <w:rPr>
          <w:color w:val="auto"/>
        </w:rPr>
        <w:t xml:space="preserve"> was determined at the level of the nuclear transfer of p65, an NF-</w:t>
      </w:r>
      <w:proofErr w:type="spellStart"/>
      <w:r w:rsidR="00854804" w:rsidRPr="00485E52">
        <w:rPr>
          <w:color w:val="auto"/>
        </w:rPr>
        <w:t>κB</w:t>
      </w:r>
      <w:proofErr w:type="spellEnd"/>
      <w:r w:rsidR="00854804" w:rsidRPr="00485E52">
        <w:rPr>
          <w:color w:val="auto"/>
        </w:rPr>
        <w:t xml:space="preserve"> transcription factor, before and 2 hours after 4-NQO treatment under low (mock) or high NDRG2 expression conditions. The cytosolic fraction was confirmed by β-actin and the nuclear fraction was confirmed by histone H1.  </w:t>
      </w:r>
    </w:p>
    <w:p w14:paraId="5999C362" w14:textId="7205F7DE" w:rsidR="003E4D76" w:rsidRPr="00485E52" w:rsidRDefault="003E4D76" w:rsidP="00DD0C13">
      <w:pPr>
        <w:autoSpaceDE w:val="0"/>
        <w:autoSpaceDN w:val="0"/>
        <w:adjustRightInd w:val="0"/>
        <w:ind w:left="0" w:firstLine="0"/>
        <w:rPr>
          <w:bCs/>
          <w:color w:val="auto"/>
          <w:kern w:val="0"/>
          <w:szCs w:val="26"/>
        </w:rPr>
      </w:pPr>
      <w:r w:rsidRPr="00485E52">
        <w:rPr>
          <w:bCs/>
          <w:color w:val="auto"/>
          <w:kern w:val="0"/>
          <w:szCs w:val="26"/>
        </w:rPr>
        <w:t>(</w:t>
      </w:r>
      <w:r w:rsidR="00B5187B" w:rsidRPr="00485E52">
        <w:rPr>
          <w:bCs/>
          <w:color w:val="auto"/>
          <w:kern w:val="0"/>
          <w:szCs w:val="26"/>
        </w:rPr>
        <w:t>B</w:t>
      </w:r>
      <w:r w:rsidRPr="00485E52">
        <w:rPr>
          <w:b/>
          <w:bCs/>
          <w:color w:val="auto"/>
          <w:kern w:val="0"/>
          <w:szCs w:val="26"/>
        </w:rPr>
        <w:t>)</w:t>
      </w:r>
      <w:r w:rsidRPr="00485E52">
        <w:rPr>
          <w:bCs/>
          <w:color w:val="auto"/>
          <w:kern w:val="0"/>
          <w:szCs w:val="26"/>
        </w:rPr>
        <w:t xml:space="preserve"> </w:t>
      </w:r>
      <w:proofErr w:type="spellStart"/>
      <w:r w:rsidR="00B025E3" w:rsidRPr="00485E52">
        <w:rPr>
          <w:color w:val="auto"/>
          <w:kern w:val="0"/>
        </w:rPr>
        <w:t>HaCaT</w:t>
      </w:r>
      <w:proofErr w:type="spellEnd"/>
      <w:r w:rsidR="00B025E3" w:rsidRPr="00485E52">
        <w:rPr>
          <w:color w:val="auto"/>
          <w:kern w:val="0"/>
        </w:rPr>
        <w:t xml:space="preserve"> cell lines expressing shRNA against NDRG2 or luciferase as a control</w:t>
      </w:r>
      <w:r w:rsidRPr="00485E52">
        <w:rPr>
          <w:bCs/>
          <w:color w:val="auto"/>
          <w:kern w:val="0"/>
          <w:szCs w:val="26"/>
        </w:rPr>
        <w:t xml:space="preserve"> were cultured in serum-free DMEM for 24</w:t>
      </w:r>
      <w:r w:rsidR="00B025E3" w:rsidRPr="00485E52">
        <w:rPr>
          <w:rFonts w:ascii="Microsoft Tai Le" w:hAnsi="Microsoft Tai Le" w:cs="Microsoft Tai Le"/>
          <w:bCs/>
          <w:color w:val="auto"/>
          <w:kern w:val="0"/>
          <w:szCs w:val="26"/>
        </w:rPr>
        <w:t xml:space="preserve">　</w:t>
      </w:r>
      <w:r w:rsidRPr="00485E52">
        <w:rPr>
          <w:bCs/>
          <w:color w:val="auto"/>
          <w:kern w:val="0"/>
          <w:szCs w:val="26"/>
        </w:rPr>
        <w:t>h</w:t>
      </w:r>
      <w:r w:rsidR="00D53A4A">
        <w:rPr>
          <w:bCs/>
          <w:color w:val="auto"/>
          <w:kern w:val="0"/>
          <w:szCs w:val="26"/>
        </w:rPr>
        <w:t>ours</w:t>
      </w:r>
      <w:bookmarkStart w:id="0" w:name="_GoBack"/>
      <w:bookmarkEnd w:id="0"/>
      <w:r w:rsidRPr="00485E52">
        <w:rPr>
          <w:bCs/>
          <w:color w:val="auto"/>
          <w:kern w:val="0"/>
          <w:szCs w:val="26"/>
        </w:rPr>
        <w:t>. The quiescent cells were treated with 4-NQO in serum-free medium and were subjected to Western bolt analysis of NF-</w:t>
      </w:r>
      <w:r w:rsidRPr="00485E52">
        <w:rPr>
          <w:rFonts w:ascii="Symbol" w:hAnsi="Symbol"/>
          <w:bCs/>
          <w:color w:val="auto"/>
          <w:kern w:val="0"/>
          <w:szCs w:val="26"/>
        </w:rPr>
        <w:t></w:t>
      </w:r>
      <w:r w:rsidRPr="00485E52">
        <w:rPr>
          <w:bCs/>
          <w:color w:val="auto"/>
          <w:kern w:val="0"/>
          <w:szCs w:val="26"/>
        </w:rPr>
        <w:t>B signaling pathway.</w:t>
      </w:r>
    </w:p>
    <w:p w14:paraId="681CAA17" w14:textId="1E29AF1E" w:rsidR="003E4D76" w:rsidRPr="00485E52" w:rsidRDefault="003E4D76" w:rsidP="00DD0C13">
      <w:pPr>
        <w:autoSpaceDE w:val="0"/>
        <w:autoSpaceDN w:val="0"/>
        <w:adjustRightInd w:val="0"/>
        <w:rPr>
          <w:color w:val="auto"/>
          <w:kern w:val="0"/>
        </w:rPr>
      </w:pPr>
      <w:r w:rsidRPr="00485E52">
        <w:rPr>
          <w:color w:val="auto"/>
          <w:kern w:val="0"/>
        </w:rPr>
        <w:t>(</w:t>
      </w:r>
      <w:r w:rsidR="00B5187B" w:rsidRPr="00485E52">
        <w:rPr>
          <w:color w:val="auto"/>
          <w:kern w:val="0"/>
        </w:rPr>
        <w:t>C</w:t>
      </w:r>
      <w:r w:rsidRPr="00485E52">
        <w:rPr>
          <w:color w:val="auto"/>
          <w:kern w:val="0"/>
        </w:rPr>
        <w:t xml:space="preserve">) Cytosolic and nuclear proteins were subjected to Western bolt analysis as indicated. </w:t>
      </w:r>
    </w:p>
    <w:p w14:paraId="2EB6158A" w14:textId="081A92DB" w:rsidR="003E4D76" w:rsidRPr="00485E52" w:rsidRDefault="003E4D76" w:rsidP="00DD0C13">
      <w:pPr>
        <w:autoSpaceDE w:val="0"/>
        <w:autoSpaceDN w:val="0"/>
        <w:adjustRightInd w:val="0"/>
        <w:rPr>
          <w:color w:val="auto"/>
        </w:rPr>
      </w:pPr>
      <w:r w:rsidRPr="00485E52">
        <w:rPr>
          <w:color w:val="auto"/>
          <w:kern w:val="0"/>
        </w:rPr>
        <w:t>(</w:t>
      </w:r>
      <w:r w:rsidR="00B5187B" w:rsidRPr="00485E52">
        <w:rPr>
          <w:color w:val="auto"/>
          <w:kern w:val="0"/>
        </w:rPr>
        <w:t>D</w:t>
      </w:r>
      <w:r w:rsidRPr="00485E52">
        <w:rPr>
          <w:color w:val="auto"/>
          <w:kern w:val="0"/>
        </w:rPr>
        <w:t xml:space="preserve">) Cells were transfected with </w:t>
      </w:r>
      <w:proofErr w:type="spellStart"/>
      <w:r w:rsidRPr="00485E52">
        <w:rPr>
          <w:color w:val="auto"/>
          <w:kern w:val="0"/>
        </w:rPr>
        <w:t>pNF</w:t>
      </w:r>
      <w:proofErr w:type="spellEnd"/>
      <w:r w:rsidRPr="00485E52">
        <w:rPr>
          <w:color w:val="auto"/>
          <w:kern w:val="0"/>
        </w:rPr>
        <w:t>-</w:t>
      </w:r>
      <w:proofErr w:type="spellStart"/>
      <w:r w:rsidRPr="00485E52">
        <w:rPr>
          <w:color w:val="auto"/>
          <w:kern w:val="0"/>
        </w:rPr>
        <w:t>κB</w:t>
      </w:r>
      <w:proofErr w:type="spellEnd"/>
      <w:r w:rsidRPr="00485E52">
        <w:rPr>
          <w:color w:val="auto"/>
          <w:kern w:val="0"/>
        </w:rPr>
        <w:t xml:space="preserve">-Luc and </w:t>
      </w:r>
      <w:proofErr w:type="spellStart"/>
      <w:r w:rsidRPr="00485E52">
        <w:rPr>
          <w:color w:val="auto"/>
          <w:kern w:val="0"/>
        </w:rPr>
        <w:t>pRL</w:t>
      </w:r>
      <w:proofErr w:type="spellEnd"/>
      <w:r w:rsidRPr="00485E52">
        <w:rPr>
          <w:color w:val="auto"/>
          <w:kern w:val="0"/>
        </w:rPr>
        <w:t>-TK plasmid, stimulated with 4-NQO, and then subjected to NF-</w:t>
      </w:r>
      <w:proofErr w:type="spellStart"/>
      <w:r w:rsidRPr="00485E52">
        <w:rPr>
          <w:color w:val="auto"/>
          <w:kern w:val="0"/>
        </w:rPr>
        <w:t>κB</w:t>
      </w:r>
      <w:proofErr w:type="spellEnd"/>
      <w:r w:rsidRPr="00485E52">
        <w:rPr>
          <w:color w:val="auto"/>
          <w:kern w:val="0"/>
        </w:rPr>
        <w:t xml:space="preserve"> reporter assays. </w:t>
      </w:r>
      <w:r w:rsidRPr="00485E52">
        <w:rPr>
          <w:color w:val="auto"/>
        </w:rPr>
        <w:t>Star (*) indicates statistical significance at p&lt;0.05.</w:t>
      </w:r>
    </w:p>
    <w:p w14:paraId="345D8E4D" w14:textId="2449E5F6" w:rsidR="00B5187B" w:rsidRPr="00485E52" w:rsidRDefault="00B5187B" w:rsidP="00DD0C13">
      <w:pPr>
        <w:autoSpaceDE w:val="0"/>
        <w:autoSpaceDN w:val="0"/>
        <w:adjustRightInd w:val="0"/>
        <w:rPr>
          <w:color w:val="auto"/>
        </w:rPr>
      </w:pPr>
      <w:r w:rsidRPr="00485E52">
        <w:rPr>
          <w:color w:val="auto"/>
        </w:rPr>
        <w:t xml:space="preserve">(E) Images show the morphology of SAS cells with or without BAY 11-7082 before and 24 hours after the 4-NQO </w:t>
      </w:r>
      <w:proofErr w:type="gramStart"/>
      <w:r w:rsidRPr="00485E52">
        <w:rPr>
          <w:color w:val="auto"/>
        </w:rPr>
        <w:t>treatment</w:t>
      </w:r>
      <w:proofErr w:type="gramEnd"/>
      <w:r w:rsidRPr="00485E52">
        <w:rPr>
          <w:color w:val="auto"/>
        </w:rPr>
        <w:t xml:space="preserve">. </w:t>
      </w:r>
    </w:p>
    <w:p w14:paraId="5E108D14" w14:textId="77777777" w:rsidR="0071273F" w:rsidRPr="00485E52" w:rsidRDefault="00854804" w:rsidP="00DD0C13">
      <w:pPr>
        <w:spacing w:after="228" w:line="259" w:lineRule="auto"/>
        <w:ind w:left="0" w:firstLine="0"/>
        <w:rPr>
          <w:color w:val="auto"/>
        </w:rPr>
      </w:pPr>
      <w:r w:rsidRPr="00485E52">
        <w:rPr>
          <w:color w:val="auto"/>
        </w:rPr>
        <w:t xml:space="preserve"> </w:t>
      </w:r>
    </w:p>
    <w:p w14:paraId="3C010DE9" w14:textId="77777777" w:rsidR="0071273F" w:rsidRPr="00485E52" w:rsidRDefault="00854804" w:rsidP="00DD0C13">
      <w:pPr>
        <w:spacing w:after="2" w:line="466" w:lineRule="auto"/>
        <w:ind w:left="-5"/>
        <w:rPr>
          <w:color w:val="auto"/>
        </w:rPr>
      </w:pPr>
      <w:proofErr w:type="gramStart"/>
      <w:r w:rsidRPr="00485E52">
        <w:rPr>
          <w:b/>
          <w:color w:val="auto"/>
        </w:rPr>
        <w:t>Supplemental Figure 5.</w:t>
      </w:r>
      <w:proofErr w:type="gramEnd"/>
      <w:r w:rsidRPr="00485E52">
        <w:rPr>
          <w:rFonts w:ascii="Century" w:eastAsia="Century" w:hAnsi="Century" w:cs="Century"/>
          <w:color w:val="auto"/>
          <w:sz w:val="20"/>
        </w:rPr>
        <w:t xml:space="preserve"> </w:t>
      </w:r>
      <w:proofErr w:type="gramStart"/>
      <w:r w:rsidRPr="00485E52">
        <w:rPr>
          <w:b/>
          <w:color w:val="auto"/>
        </w:rPr>
        <w:t>Hypothetical model for the molecular mechanism of EMT progression in OSCC cells.</w:t>
      </w:r>
      <w:proofErr w:type="gramEnd"/>
      <w:r w:rsidRPr="00485E52">
        <w:rPr>
          <w:b/>
          <w:color w:val="auto"/>
        </w:rPr>
        <w:t xml:space="preserve"> </w:t>
      </w:r>
    </w:p>
    <w:p w14:paraId="4FE722C6" w14:textId="46C92FCE" w:rsidR="0071273F" w:rsidRPr="00485E52" w:rsidRDefault="00854804" w:rsidP="00DD0C13">
      <w:pPr>
        <w:ind w:left="-5" w:right="-11"/>
        <w:rPr>
          <w:color w:val="auto"/>
        </w:rPr>
      </w:pPr>
      <w:r w:rsidRPr="00485E52">
        <w:rPr>
          <w:color w:val="auto"/>
        </w:rPr>
        <w:t>The scheme depicts EMT activation by 4-NQO in the development and metastasis of OSCC in the absence of NDRG2 expression due to the activation of NF-</w:t>
      </w:r>
      <w:proofErr w:type="spellStart"/>
      <w:r w:rsidRPr="00485E52">
        <w:rPr>
          <w:color w:val="auto"/>
        </w:rPr>
        <w:t>κB</w:t>
      </w:r>
      <w:proofErr w:type="spellEnd"/>
      <w:r w:rsidRPr="00485E52">
        <w:rPr>
          <w:color w:val="auto"/>
        </w:rPr>
        <w:t xml:space="preserve"> </w:t>
      </w:r>
      <w:proofErr w:type="spellStart"/>
      <w:r w:rsidRPr="00485E52">
        <w:rPr>
          <w:color w:val="auto"/>
        </w:rPr>
        <w:t>signalling</w:t>
      </w:r>
      <w:proofErr w:type="spellEnd"/>
      <w:r w:rsidRPr="00485E52">
        <w:rPr>
          <w:color w:val="auto"/>
        </w:rPr>
        <w:t xml:space="preserve"> after PI3K/AKT activation. </w:t>
      </w:r>
    </w:p>
    <w:sectPr w:rsidR="0071273F" w:rsidRPr="00485E52">
      <w:footerReference w:type="even" r:id="rId8"/>
      <w:footerReference w:type="default" r:id="rId9"/>
      <w:footerReference w:type="first" r:id="rId10"/>
      <w:pgSz w:w="12240" w:h="15840"/>
      <w:pgMar w:top="2047" w:right="2117" w:bottom="1904" w:left="2123" w:header="720" w:footer="9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7E82" w14:textId="77777777" w:rsidR="00DD0C13" w:rsidRDefault="00DD0C13">
      <w:pPr>
        <w:spacing w:after="0" w:line="240" w:lineRule="auto"/>
      </w:pPr>
      <w:r>
        <w:separator/>
      </w:r>
    </w:p>
  </w:endnote>
  <w:endnote w:type="continuationSeparator" w:id="0">
    <w:p w14:paraId="04518F4F" w14:textId="77777777" w:rsidR="00DD0C13" w:rsidRDefault="00DD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altName w:val="Century Schoolbook"/>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Microsoft Tai Le">
    <w:altName w:val="Athelas Bold Italic"/>
    <w:panose1 w:val="020B0502040204020203"/>
    <w:charset w:val="00"/>
    <w:family w:val="auto"/>
    <w:pitch w:val="variable"/>
    <w:sig w:usb0="00000003" w:usb1="00000000" w:usb2="4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1714" w14:textId="77777777" w:rsidR="00DD0C13" w:rsidRDefault="00DD0C13">
    <w:pPr>
      <w:tabs>
        <w:tab w:val="center" w:pos="3997"/>
      </w:tabs>
      <w:spacing w:after="0" w:line="259" w:lineRule="auto"/>
      <w:ind w:left="0" w:firstLine="0"/>
      <w:jc w:val="left"/>
    </w:pPr>
    <w:r>
      <w:rPr>
        <w:rFonts w:ascii="Century" w:eastAsia="Century" w:hAnsi="Century" w:cs="Century"/>
        <w:sz w:val="20"/>
      </w:rPr>
      <w:t xml:space="preserve"> </w:t>
    </w:r>
    <w:r>
      <w:rPr>
        <w:rFonts w:ascii="Century" w:eastAsia="Century" w:hAnsi="Century" w:cs="Century"/>
        <w:sz w:val="20"/>
      </w:rPr>
      <w:tab/>
    </w: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8885" w14:textId="77777777" w:rsidR="00DD0C13" w:rsidRDefault="00DD0C13">
    <w:pPr>
      <w:tabs>
        <w:tab w:val="center" w:pos="3997"/>
      </w:tabs>
      <w:spacing w:after="0" w:line="259" w:lineRule="auto"/>
      <w:ind w:left="0" w:firstLine="0"/>
      <w:jc w:val="left"/>
    </w:pPr>
    <w:r>
      <w:rPr>
        <w:rFonts w:ascii="Century" w:eastAsia="Century" w:hAnsi="Century" w:cs="Century"/>
        <w:sz w:val="20"/>
      </w:rPr>
      <w:t xml:space="preserve"> </w:t>
    </w:r>
    <w:r>
      <w:rPr>
        <w:rFonts w:ascii="Century" w:eastAsia="Century" w:hAnsi="Century" w:cs="Century"/>
        <w:sz w:val="20"/>
      </w:rPr>
      <w:tab/>
    </w:r>
    <w:r>
      <w:fldChar w:fldCharType="begin"/>
    </w:r>
    <w:r>
      <w:instrText xml:space="preserve"> PAGE   \* MERGEFORMAT </w:instrText>
    </w:r>
    <w:r>
      <w:fldChar w:fldCharType="separate"/>
    </w:r>
    <w:r w:rsidR="00D53A4A" w:rsidRPr="00D53A4A">
      <w:rPr>
        <w:rFonts w:ascii="Century" w:eastAsia="Century" w:hAnsi="Century" w:cs="Century"/>
        <w:noProof/>
        <w:sz w:val="20"/>
      </w:rPr>
      <w:t>4</w:t>
    </w:r>
    <w:r>
      <w:rPr>
        <w:rFonts w:ascii="Century" w:eastAsia="Century" w:hAnsi="Century" w:cs="Century"/>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CF6A" w14:textId="77777777" w:rsidR="00DD0C13" w:rsidRDefault="00DD0C13">
    <w:pPr>
      <w:tabs>
        <w:tab w:val="center" w:pos="3997"/>
      </w:tabs>
      <w:spacing w:after="0" w:line="259" w:lineRule="auto"/>
      <w:ind w:left="0" w:firstLine="0"/>
      <w:jc w:val="left"/>
    </w:pPr>
    <w:r>
      <w:rPr>
        <w:rFonts w:ascii="Century" w:eastAsia="Century" w:hAnsi="Century" w:cs="Century"/>
        <w:sz w:val="20"/>
      </w:rPr>
      <w:t xml:space="preserve"> </w:t>
    </w:r>
    <w:r>
      <w:rPr>
        <w:rFonts w:ascii="Century" w:eastAsia="Century" w:hAnsi="Century" w:cs="Century"/>
        <w:sz w:val="20"/>
      </w:rPr>
      <w:tab/>
    </w: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D713" w14:textId="77777777" w:rsidR="00DD0C13" w:rsidRDefault="00DD0C13">
      <w:pPr>
        <w:spacing w:after="0" w:line="240" w:lineRule="auto"/>
      </w:pPr>
      <w:r>
        <w:separator/>
      </w:r>
    </w:p>
  </w:footnote>
  <w:footnote w:type="continuationSeparator" w:id="0">
    <w:p w14:paraId="6620B461" w14:textId="77777777" w:rsidR="00DD0C13" w:rsidRDefault="00DD0C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082"/>
    <w:multiLevelType w:val="hybridMultilevel"/>
    <w:tmpl w:val="11FC6AD4"/>
    <w:lvl w:ilvl="0" w:tplc="DDDCEDF6">
      <w:start w:val="1"/>
      <w:numFmt w:val="upperLetter"/>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94276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C26B5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E47D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28EFE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6A27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280F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A00D1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805A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3F"/>
    <w:rsid w:val="000320B2"/>
    <w:rsid w:val="00094BB1"/>
    <w:rsid w:val="00114F49"/>
    <w:rsid w:val="001375C7"/>
    <w:rsid w:val="00231290"/>
    <w:rsid w:val="00290A13"/>
    <w:rsid w:val="003E4D76"/>
    <w:rsid w:val="00485E52"/>
    <w:rsid w:val="00553460"/>
    <w:rsid w:val="0071273F"/>
    <w:rsid w:val="00767751"/>
    <w:rsid w:val="007C2CC7"/>
    <w:rsid w:val="00854804"/>
    <w:rsid w:val="009E0511"/>
    <w:rsid w:val="00B025E3"/>
    <w:rsid w:val="00B5187B"/>
    <w:rsid w:val="00D31A38"/>
    <w:rsid w:val="00D53A4A"/>
    <w:rsid w:val="00DC7F1C"/>
    <w:rsid w:val="00DD0C13"/>
    <w:rsid w:val="00DE7FBD"/>
    <w:rsid w:val="00ED0748"/>
    <w:rsid w:val="00ED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126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465" w:lineRule="auto"/>
      <w:ind w:left="10" w:hanging="10"/>
      <w:jc w:val="both"/>
    </w:pPr>
    <w:rPr>
      <w:rFonts w:ascii="Times New Roman" w:eastAsia="Times New Roman" w:hAnsi="Times New Roman" w:cs="Times New Roman"/>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3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465" w:lineRule="auto"/>
      <w:ind w:left="10" w:hanging="10"/>
      <w:jc w:val="both"/>
    </w:pPr>
    <w:rPr>
      <w:rFonts w:ascii="Times New Roman" w:eastAsia="Times New Roman" w:hAnsi="Times New Roman" w:cs="Times New Roman"/>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3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4735</Characters>
  <Application>Microsoft Macintosh Word</Application>
  <DocSecurity>0</DocSecurity>
  <Lines>78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cp:lastModifiedBy>ひろせ いちろう</cp:lastModifiedBy>
  <cp:revision>2</cp:revision>
  <dcterms:created xsi:type="dcterms:W3CDTF">2016-12-28T13:20:00Z</dcterms:created>
  <dcterms:modified xsi:type="dcterms:W3CDTF">2016-12-28T13:20:00Z</dcterms:modified>
</cp:coreProperties>
</file>