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E" w:rsidRPr="00865046" w:rsidRDefault="00906E0E" w:rsidP="00906E0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65046">
        <w:rPr>
          <w:rFonts w:ascii="Times New Roman" w:hAnsi="Times New Roman" w:cs="Times New Roman" w:hint="eastAsia"/>
          <w:b/>
          <w:color w:val="000000" w:themeColor="text1"/>
          <w:sz w:val="28"/>
          <w:szCs w:val="24"/>
        </w:rPr>
        <w:t>Supplementary Materials and Methods</w:t>
      </w:r>
      <w:bookmarkStart w:id="0" w:name="_GoBack"/>
      <w:bookmarkEnd w:id="0"/>
    </w:p>
    <w:p w:rsidR="00906E0E" w:rsidRPr="00865046" w:rsidRDefault="00906E0E" w:rsidP="00906E0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RNA extraction and quantitative-PCR analysis</w:t>
      </w:r>
    </w:p>
    <w:p w:rsidR="00906E0E" w:rsidRPr="00865046" w:rsidRDefault="00906E0E" w:rsidP="00906E0E">
      <w:pPr>
        <w:spacing w:line="480" w:lineRule="auto"/>
        <w:ind w:firstLineChars="100" w:firstLine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RNA was extracted from the human prostate cancer cell lines or prostate cancer tissues using the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TRIzol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reagent (Invitrogen). </w:t>
      </w:r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cDNA</w:t>
      </w:r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was performed using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PrimeScript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RT Reagent Kit</w:t>
      </w:r>
      <w:r w:rsidR="000A39E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(Takara). Primers used in the quantitative-PCR were listed in the Supplementary Table 2. Quantitative-PCR experiments were conducted using SYBR Green PCR System (Takara). </w:t>
      </w:r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mRNA</w:t>
      </w:r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level of the examined genes were normalized to GAPDH and calculated according to the 2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∆∆Ct</w:t>
      </w:r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method. All quantitative-PCR reactions were conducted in triplicate.</w:t>
      </w:r>
    </w:p>
    <w:p w:rsidR="001F4321" w:rsidRDefault="001F4321" w:rsidP="001F432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E0E" w:rsidRPr="001F4321" w:rsidRDefault="00906E0E" w:rsidP="001F43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 vitro scratch assay</w:t>
      </w:r>
    </w:p>
    <w:p w:rsidR="00906E0E" w:rsidRPr="00865046" w:rsidRDefault="00906E0E" w:rsidP="00906E0E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Confluent PC3 or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monolayers grown in 24-well</w:t>
      </w:r>
      <w:r w:rsidR="000A39E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plates pre-coated </w:t>
      </w:r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5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/mL collagen</w:t>
      </w:r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Cells were then cultured with RIPA 1640 medium with 1% FBS to inhibit cell proliferation. The cells were wounded with 10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pipette tips and washed with phosphate-buffered saline (PBS) to remove the debris. Images of the cells were captured after 24 hours of incubation at 37°C in a 95%: 5% (v/v)</w:t>
      </w:r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mixture of air and CO2. The migrated cells were counted, and the migrating rate was calculated manually. Three independent experiments were performed.</w:t>
      </w:r>
    </w:p>
    <w:p w:rsidR="001C6869" w:rsidRPr="00865046" w:rsidRDefault="001C6869" w:rsidP="00906E0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E0E" w:rsidRPr="00865046" w:rsidRDefault="00906E0E" w:rsidP="00906E0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Immunoprecipitation</w:t>
      </w:r>
      <w:proofErr w:type="spellEnd"/>
      <w:r w:rsidR="001C686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(IP) </w:t>
      </w: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 w:rsidR="001C686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immunoblotting</w:t>
      </w:r>
      <w:r w:rsidR="001C686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(IB)</w:t>
      </w:r>
    </w:p>
    <w:p w:rsidR="00906E0E" w:rsidRPr="00865046" w:rsidRDefault="00906E0E" w:rsidP="00906E0E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1C686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IP experiments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cells were washed with ice-cold phosphate-buffer saline and lysed in a lysis buffer (50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mmol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/L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Tris-HCl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8.0; 150mmol/L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1% NP-40)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supplemented with protease and phosphatase inhibitors (Roche,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Penzberg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Germany). Cell lysates were incubated with 2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primary antibodies overnight at 4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 Rabbit or mouse immunoglobulin G (Sigma-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Alrich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USA) was used as isotype controls in the experiments.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TrueBlot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anti-mouse/rabbit IgG IP beads (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eBioscience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, San Diego, CA) were then added and incubated for another 4 h at 4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immunoprecipitates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washed 4 times with the lysis buffer and then boiled for 5 min at 99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protein loading buffer.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Immunoprecipitated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proteins were detected by following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immunoblots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immunoprecipitated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proteins were separated on 10% SDS-PAGE gels and then transferred to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polyvinylidene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fluoride membranes (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Whatman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, GE healthcare). The membranes were blocked by 5% (w/v) non-fat milk in phosphate buffer saline and incubated with diluted primary antibodies at 4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overnight, followed by wash then incubation with secondary antibodies for 1 h at room temperature. After wash with PBST (PBS containing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0.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1% Tween20) thoroughly, the membranes were developed by enhanced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chemiluminescence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substrates (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Thermo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Scientific). The antibodies used in the study are listed in Supplementary Table 1.</w:t>
      </w:r>
    </w:p>
    <w:p w:rsidR="00906E0E" w:rsidRPr="00865046" w:rsidRDefault="00906E0E" w:rsidP="00906E0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E0E" w:rsidRPr="00865046" w:rsidRDefault="00906E0E" w:rsidP="00906E0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OLE_LINK3"/>
      <w:bookmarkStart w:id="2" w:name="OLE_LINK6"/>
      <w:proofErr w:type="spellStart"/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Immunohistochemical</w:t>
      </w:r>
      <w:proofErr w:type="spellEnd"/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686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(IHC) </w:t>
      </w: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</w:t>
      </w:r>
      <w:proofErr w:type="spellStart"/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immunofluorescent</w:t>
      </w:r>
      <w:proofErr w:type="spellEnd"/>
      <w:r w:rsidR="001C686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(IF)</w:t>
      </w: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staining</w:t>
      </w:r>
      <w:bookmarkEnd w:id="1"/>
      <w:bookmarkEnd w:id="2"/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06E0E" w:rsidRPr="00865046" w:rsidRDefault="00906E0E" w:rsidP="00906E0E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1C686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IHC</w:t>
      </w:r>
      <w:r w:rsidR="001C6869"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staining experiments, prostate cancer tissues were fixed in 10% formalin at room temperature overnight and then embedded in paraffin. Paraffin-embedded tissues were cut into 5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sections. Sections were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deparaffinized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rehydrated, and subjected to a heat-induced epitope retrieval step in 0.01 M sodium citrate (pH 6.0). Endogenous peroxidase activity was eliminated by 0.3% (v/v) hydrogen peroxide in distilled water. The sections were then incubated with 10% goat serum in PBS for 1 h, incubated with indicated primary antibodies for 1 h, washed 3 times by PBS and incubated with horseradish peroxidase conjugated secondary antibodies. The staining was developed with the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GTVision</w:t>
      </w:r>
      <w:proofErr w:type="spellEnd"/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Ⅲ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Immunohistochemistry Detection Kit (Gene Tech Inc., Shanghai, China) according to the manufacturer’s instructions.</w:t>
      </w:r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Sections were counterstained with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Hematoxylin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E0E" w:rsidRPr="00865046" w:rsidRDefault="00906E0E" w:rsidP="00906E0E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1C686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IF</w:t>
      </w:r>
      <w:r w:rsidR="001C6869"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staining, cells were </w:t>
      </w:r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seeded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glass coverslips in 24-well culture dishes.</w:t>
      </w:r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cells propagated to 60% confluence or gave rise to typical clones (diameter</w:t>
      </w:r>
      <w:r w:rsidRPr="00865046">
        <w:rPr>
          <w:rFonts w:ascii="Times New Roman" w:hAnsi="Times New Roman" w:cs="SimSun" w:hint="eastAsia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), cells were fixed by 4%paraformaldehydefor 15 min at room temperature, washed 3 times with PBS,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permeabilized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PBST for 15 min at room temperature. Primary antibodies were then added and incubated overnight at 4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wash with PBS, secondary antibodies were applied to the samples and incubated at room temperature for 1 h. Slides were washed with PBS for 3 times and then mounted with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Vectashield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mounting medium containing DAPI (Vector laboratories, Inc. H-1200).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Immunostaining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images were captured using a Leica DM2500 microscope and processed by the Image-J software.</w:t>
      </w:r>
    </w:p>
    <w:p w:rsidR="00906E0E" w:rsidRPr="00865046" w:rsidRDefault="00906E0E" w:rsidP="00906E0E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E0E" w:rsidRPr="00865046" w:rsidRDefault="00906E0E" w:rsidP="00906E0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Telomerase activity assay</w:t>
      </w:r>
    </w:p>
    <w:p w:rsidR="00E73475" w:rsidRPr="001F4321" w:rsidRDefault="00906E0E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quantitative real time PCR-based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Telomeric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Repeat Amplification assay (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qTRAP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assay) was used in this study to detect telomerase activity. 10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were lysed in 200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0.5% (v/v) CHAPS buffer (pH 7.5) containing 10mM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Tris-HCl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0A39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EGTA, 0.1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benzamidine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β-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mercaptoethanol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, and 10% glycerol for 30 min on ice. The lysates were then centrifuged at 12,000g for 30 min at 4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.Supernatants were collected for protein concentration determination using the BCA Protein Assay kit (Thermo scientific). The telomerase reaction was performed in 10μL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2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×TRAP buffer containing 20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Tris-HCl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8.3), 1.5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63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="00DF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KCl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0.05% Tween 20, 1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EGTA, and 0.1 mg/mL BSA. Besides, 50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of the four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dNTPs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, 80 ng/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TS primer (5’-AAT CCG TCG AGC AGA GTT-3’) and 2μg protein containing cell lysates were added into the reaction mixture. The telomerase reaction was carried out at 30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30 min and was stopped by incubation at 94</w:t>
      </w:r>
      <w:r w:rsidRPr="00865046">
        <w:rPr>
          <w:rFonts w:ascii="SimSun" w:hAnsi="SimSun" w:cs="SimSun" w:hint="eastAsia"/>
          <w:color w:val="000000" w:themeColor="text1"/>
          <w:sz w:val="24"/>
          <w:szCs w:val="24"/>
        </w:rPr>
        <w:t>℃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10 min. Subsequently, 10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following 2×PCR mixture including 2×TRAP buffer, 1 mg/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BSA, 15% glycerol, 1: 10,000 SYBR-green, 0.08 unit/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μLTaq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polymerase and 40 ng/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ACX primer (5’-GCG CGG CTT ACC CTT ACC CTT ACC CTA ACC-3’) were added to the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qTRAP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 mixture. The following quantitative PCR was performed in triplicates on the 7900HT Fast Real Time PCR System (Applied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Biosystem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CHAPS lysis buffer were used as negative controls and all the samples were normalized to the standard curve generated by 293T cells. </w:t>
      </w:r>
    </w:p>
    <w:sectPr w:rsidR="00E73475" w:rsidRPr="001F4321" w:rsidSect="003F18A6"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6D" w:rsidRDefault="00AB746D" w:rsidP="00906E0E">
      <w:r>
        <w:separator/>
      </w:r>
    </w:p>
  </w:endnote>
  <w:endnote w:type="continuationSeparator" w:id="0">
    <w:p w:rsidR="00AB746D" w:rsidRDefault="00AB746D" w:rsidP="009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6D" w:rsidRDefault="00AB746D" w:rsidP="00906E0E">
      <w:r>
        <w:separator/>
      </w:r>
    </w:p>
  </w:footnote>
  <w:footnote w:type="continuationSeparator" w:id="0">
    <w:p w:rsidR="00AB746D" w:rsidRDefault="00AB746D" w:rsidP="0090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E"/>
    <w:rsid w:val="000A39E0"/>
    <w:rsid w:val="001C6869"/>
    <w:rsid w:val="001F4321"/>
    <w:rsid w:val="003F18A6"/>
    <w:rsid w:val="0047619E"/>
    <w:rsid w:val="004D1554"/>
    <w:rsid w:val="00501EA4"/>
    <w:rsid w:val="00526871"/>
    <w:rsid w:val="0059678C"/>
    <w:rsid w:val="00817DB0"/>
    <w:rsid w:val="008F1F4C"/>
    <w:rsid w:val="00906E0E"/>
    <w:rsid w:val="00916B74"/>
    <w:rsid w:val="00A13F88"/>
    <w:rsid w:val="00AB746D"/>
    <w:rsid w:val="00DA52AA"/>
    <w:rsid w:val="00DF61D8"/>
    <w:rsid w:val="00E73475"/>
    <w:rsid w:val="00EF765B"/>
    <w:rsid w:val="00F00782"/>
    <w:rsid w:val="00F3001A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0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6E0E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F18A6"/>
  </w:style>
  <w:style w:type="character" w:styleId="Hyperlink">
    <w:name w:val="Hyperlink"/>
    <w:basedOn w:val="DefaultParagraphFont"/>
    <w:uiPriority w:val="99"/>
    <w:unhideWhenUsed/>
    <w:rsid w:val="004D1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0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6E0E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F18A6"/>
  </w:style>
  <w:style w:type="character" w:styleId="Hyperlink">
    <w:name w:val="Hyperlink"/>
    <w:basedOn w:val="DefaultParagraphFont"/>
    <w:uiPriority w:val="99"/>
    <w:unhideWhenUsed/>
    <w:rsid w:val="004D1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Jones, Jennifer</cp:lastModifiedBy>
  <cp:revision>2</cp:revision>
  <dcterms:created xsi:type="dcterms:W3CDTF">2017-02-13T18:04:00Z</dcterms:created>
  <dcterms:modified xsi:type="dcterms:W3CDTF">2017-02-13T18:04:00Z</dcterms:modified>
</cp:coreProperties>
</file>