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56513" w14:textId="77777777" w:rsidR="007B3426" w:rsidRPr="00261597" w:rsidRDefault="007B3426" w:rsidP="007B3426">
      <w:pPr>
        <w:rPr>
          <w:b/>
          <w:color w:val="000000" w:themeColor="text1"/>
        </w:rPr>
      </w:pPr>
      <w:r w:rsidRPr="00261597">
        <w:rPr>
          <w:b/>
          <w:color w:val="000000" w:themeColor="text1"/>
        </w:rPr>
        <w:t xml:space="preserve">Supplementary </w:t>
      </w:r>
      <w:r>
        <w:rPr>
          <w:b/>
          <w:color w:val="000000" w:themeColor="text1"/>
        </w:rPr>
        <w:t>Information</w:t>
      </w:r>
    </w:p>
    <w:p w14:paraId="7B834FE2" w14:textId="77777777" w:rsidR="007B3426" w:rsidRDefault="007B3426" w:rsidP="007B3426">
      <w:pPr>
        <w:rPr>
          <w:color w:val="000000" w:themeColor="text1"/>
        </w:rPr>
      </w:pPr>
    </w:p>
    <w:p w14:paraId="779C83F7" w14:textId="77777777" w:rsidR="007B3426" w:rsidRPr="007B3426" w:rsidRDefault="007B3426" w:rsidP="007B3426">
      <w:pPr>
        <w:rPr>
          <w:color w:val="000000" w:themeColor="text1"/>
        </w:rPr>
      </w:pPr>
      <w:r w:rsidRPr="007B3426">
        <w:rPr>
          <w:color w:val="000000" w:themeColor="text1"/>
        </w:rPr>
        <w:t>Recommended guidelines for validation, quality control and reporting of TP53 variants in clinical practice</w:t>
      </w:r>
    </w:p>
    <w:p w14:paraId="4A7F861A" w14:textId="77777777" w:rsidR="007B3426" w:rsidRPr="007B3426" w:rsidRDefault="007B3426" w:rsidP="007B3426">
      <w:pPr>
        <w:rPr>
          <w:color w:val="000000" w:themeColor="text1"/>
        </w:rPr>
      </w:pPr>
    </w:p>
    <w:p w14:paraId="19487887" w14:textId="77777777" w:rsidR="007B3426" w:rsidRPr="007B3426" w:rsidRDefault="007B3426" w:rsidP="007B3426">
      <w:pPr>
        <w:rPr>
          <w:color w:val="000000" w:themeColor="text1"/>
        </w:rPr>
      </w:pPr>
      <w:r w:rsidRPr="007B3426">
        <w:rPr>
          <w:color w:val="000000" w:themeColor="text1"/>
        </w:rPr>
        <w:t>Bernard Leroy</w:t>
      </w:r>
      <w:r>
        <w:rPr>
          <w:color w:val="000000" w:themeColor="text1"/>
        </w:rPr>
        <w:t>,</w:t>
      </w:r>
      <w:r w:rsidRPr="007B3426">
        <w:rPr>
          <w:color w:val="000000" w:themeColor="text1"/>
        </w:rPr>
        <w:t xml:space="preserve"> Mandy L. Ballinger</w:t>
      </w:r>
      <w:r>
        <w:rPr>
          <w:color w:val="000000" w:themeColor="text1"/>
        </w:rPr>
        <w:t>,</w:t>
      </w:r>
      <w:r w:rsidRPr="007B3426">
        <w:rPr>
          <w:color w:val="000000" w:themeColor="text1"/>
        </w:rPr>
        <w:t xml:space="preserve">  Fanny Baran-Marszak</w:t>
      </w:r>
      <w:r>
        <w:rPr>
          <w:color w:val="000000" w:themeColor="text1"/>
        </w:rPr>
        <w:t>,</w:t>
      </w:r>
      <w:r w:rsidRPr="007B3426">
        <w:rPr>
          <w:color w:val="000000" w:themeColor="text1"/>
        </w:rPr>
        <w:t xml:space="preserve"> Gareth L. Bond</w:t>
      </w:r>
      <w:r>
        <w:rPr>
          <w:color w:val="000000" w:themeColor="text1"/>
        </w:rPr>
        <w:t>,</w:t>
      </w:r>
      <w:r w:rsidRPr="007B3426">
        <w:rPr>
          <w:color w:val="000000" w:themeColor="text1"/>
        </w:rPr>
        <w:t xml:space="preserve"> Antony Braithwaite</w:t>
      </w:r>
      <w:r>
        <w:rPr>
          <w:color w:val="000000" w:themeColor="text1"/>
        </w:rPr>
        <w:t>,,</w:t>
      </w:r>
      <w:r w:rsidRPr="007B3426">
        <w:rPr>
          <w:color w:val="000000" w:themeColor="text1"/>
        </w:rPr>
        <w:t xml:space="preserve"> Nicole Concin</w:t>
      </w:r>
      <w:r>
        <w:rPr>
          <w:color w:val="000000" w:themeColor="text1"/>
        </w:rPr>
        <w:t>,</w:t>
      </w:r>
      <w:r w:rsidRPr="007B3426">
        <w:rPr>
          <w:color w:val="000000" w:themeColor="text1"/>
        </w:rPr>
        <w:t xml:space="preserve"> Lawrence A. Donehower</w:t>
      </w:r>
      <w:r>
        <w:rPr>
          <w:color w:val="000000" w:themeColor="text1"/>
        </w:rPr>
        <w:t>,</w:t>
      </w:r>
      <w:r w:rsidRPr="007B3426">
        <w:rPr>
          <w:color w:val="000000" w:themeColor="text1"/>
        </w:rPr>
        <w:t xml:space="preserve"> Wafik S. El-Deiry</w:t>
      </w:r>
      <w:r>
        <w:rPr>
          <w:color w:val="000000" w:themeColor="text1"/>
        </w:rPr>
        <w:t>,</w:t>
      </w:r>
      <w:r w:rsidRPr="007B3426">
        <w:rPr>
          <w:color w:val="000000" w:themeColor="text1"/>
        </w:rPr>
        <w:t xml:space="preserve"> Pierre Fenaux</w:t>
      </w:r>
      <w:r>
        <w:rPr>
          <w:color w:val="000000" w:themeColor="text1"/>
        </w:rPr>
        <w:t>,</w:t>
      </w:r>
      <w:r w:rsidRPr="007B3426">
        <w:rPr>
          <w:color w:val="000000" w:themeColor="text1"/>
        </w:rPr>
        <w:t xml:space="preserve"> Gianluca Gaidano</w:t>
      </w:r>
      <w:r>
        <w:rPr>
          <w:color w:val="000000" w:themeColor="text1"/>
        </w:rPr>
        <w:t>,</w:t>
      </w:r>
      <w:r w:rsidRPr="007B3426">
        <w:rPr>
          <w:color w:val="000000" w:themeColor="text1"/>
        </w:rPr>
        <w:t xml:space="preserve"> Anita Langerød</w:t>
      </w:r>
      <w:r>
        <w:rPr>
          <w:color w:val="000000" w:themeColor="text1"/>
        </w:rPr>
        <w:t>,</w:t>
      </w:r>
      <w:r w:rsidRPr="007B3426">
        <w:rPr>
          <w:color w:val="000000" w:themeColor="text1"/>
        </w:rPr>
        <w:t xml:space="preserve"> Eva Hellstrom-Lindberg</w:t>
      </w:r>
      <w:r>
        <w:rPr>
          <w:color w:val="000000" w:themeColor="text1"/>
        </w:rPr>
        <w:t>,</w:t>
      </w:r>
      <w:r w:rsidRPr="007B3426">
        <w:rPr>
          <w:color w:val="000000" w:themeColor="text1"/>
        </w:rPr>
        <w:t xml:space="preserve"> Richard Iggo</w:t>
      </w:r>
      <w:r>
        <w:rPr>
          <w:color w:val="000000" w:themeColor="text1"/>
        </w:rPr>
        <w:t>,</w:t>
      </w:r>
      <w:r w:rsidRPr="007B3426">
        <w:rPr>
          <w:color w:val="000000" w:themeColor="text1"/>
        </w:rPr>
        <w:t xml:space="preserve"> Jacqueline Lehmann-Che</w:t>
      </w:r>
      <w:r>
        <w:rPr>
          <w:color w:val="000000" w:themeColor="text1"/>
        </w:rPr>
        <w:t>,</w:t>
      </w:r>
      <w:r w:rsidRPr="007B3426">
        <w:rPr>
          <w:color w:val="000000" w:themeColor="text1"/>
        </w:rPr>
        <w:t xml:space="preserve"> Phuong L. Mai</w:t>
      </w:r>
      <w:r>
        <w:rPr>
          <w:color w:val="000000" w:themeColor="text1"/>
        </w:rPr>
        <w:t>,</w:t>
      </w:r>
      <w:r w:rsidRPr="007B3426">
        <w:rPr>
          <w:color w:val="000000" w:themeColor="text1"/>
        </w:rPr>
        <w:t xml:space="preserve"> David Malkin</w:t>
      </w:r>
      <w:r>
        <w:rPr>
          <w:color w:val="000000" w:themeColor="text1"/>
        </w:rPr>
        <w:t>,</w:t>
      </w:r>
      <w:r w:rsidRPr="007B3426">
        <w:rPr>
          <w:color w:val="000000" w:themeColor="text1"/>
        </w:rPr>
        <w:t xml:space="preserve"> Ute M. Moll</w:t>
      </w:r>
      <w:r>
        <w:rPr>
          <w:color w:val="000000" w:themeColor="text1"/>
        </w:rPr>
        <w:t>,</w:t>
      </w:r>
      <w:r w:rsidRPr="007B3426">
        <w:rPr>
          <w:color w:val="000000" w:themeColor="text1"/>
        </w:rPr>
        <w:t xml:space="preserve"> Jeffrey N. Myers</w:t>
      </w:r>
      <w:r>
        <w:rPr>
          <w:color w:val="000000" w:themeColor="text1"/>
        </w:rPr>
        <w:t>,</w:t>
      </w:r>
      <w:r w:rsidRPr="007B3426">
        <w:rPr>
          <w:color w:val="000000" w:themeColor="text1"/>
        </w:rPr>
        <w:t xml:space="preserve"> Kim E. Nichols</w:t>
      </w:r>
      <w:r>
        <w:rPr>
          <w:color w:val="000000" w:themeColor="text1"/>
        </w:rPr>
        <w:t>,</w:t>
      </w:r>
      <w:r w:rsidRPr="007B3426">
        <w:rPr>
          <w:color w:val="000000" w:themeColor="text1"/>
        </w:rPr>
        <w:t xml:space="preserve"> Sarka Pospisilova</w:t>
      </w:r>
      <w:r>
        <w:rPr>
          <w:color w:val="000000" w:themeColor="text1"/>
        </w:rPr>
        <w:t>,</w:t>
      </w:r>
      <w:r w:rsidRPr="007B3426">
        <w:rPr>
          <w:color w:val="000000" w:themeColor="text1"/>
        </w:rPr>
        <w:t xml:space="preserve"> Patrici</w:t>
      </w:r>
      <w:r>
        <w:rPr>
          <w:color w:val="000000" w:themeColor="text1"/>
        </w:rPr>
        <w:t>a Ashton-Prolla, Davide Rossi</w:t>
      </w:r>
      <w:r w:rsidRPr="007B3426">
        <w:rPr>
          <w:color w:val="000000" w:themeColor="text1"/>
        </w:rPr>
        <w:t xml:space="preserve"> Sharon A. Savage</w:t>
      </w:r>
      <w:r>
        <w:rPr>
          <w:color w:val="000000" w:themeColor="text1"/>
        </w:rPr>
        <w:t>,</w:t>
      </w:r>
      <w:r w:rsidRPr="007B3426">
        <w:rPr>
          <w:color w:val="000000" w:themeColor="text1"/>
        </w:rPr>
        <w:t xml:space="preserve"> Louise C. Strong</w:t>
      </w:r>
      <w:r>
        <w:rPr>
          <w:color w:val="000000" w:themeColor="text1"/>
        </w:rPr>
        <w:t>,</w:t>
      </w:r>
      <w:r w:rsidRPr="007B3426">
        <w:rPr>
          <w:color w:val="000000" w:themeColor="text1"/>
        </w:rPr>
        <w:t xml:space="preserve"> Patricia N. Tonin</w:t>
      </w:r>
      <w:r>
        <w:rPr>
          <w:color w:val="000000" w:themeColor="text1"/>
        </w:rPr>
        <w:t>,</w:t>
      </w:r>
      <w:r w:rsidRPr="007B3426">
        <w:rPr>
          <w:color w:val="000000" w:themeColor="text1"/>
        </w:rPr>
        <w:t xml:space="preserve"> Robert Zeillinger</w:t>
      </w:r>
      <w:r>
        <w:rPr>
          <w:color w:val="000000" w:themeColor="text1"/>
        </w:rPr>
        <w:t>,</w:t>
      </w:r>
      <w:r w:rsidRPr="007B3426">
        <w:rPr>
          <w:color w:val="000000" w:themeColor="text1"/>
        </w:rPr>
        <w:t xml:space="preserve"> Thorsten Zenz</w:t>
      </w:r>
      <w:r>
        <w:rPr>
          <w:color w:val="000000" w:themeColor="text1"/>
        </w:rPr>
        <w:t>,</w:t>
      </w:r>
      <w:r w:rsidRPr="007B3426">
        <w:rPr>
          <w:color w:val="000000" w:themeColor="text1"/>
        </w:rPr>
        <w:t>Joseph F. Fraumeni Jr.</w:t>
      </w:r>
      <w:r>
        <w:rPr>
          <w:color w:val="000000" w:themeColor="text1"/>
        </w:rPr>
        <w:t>,</w:t>
      </w:r>
      <w:r w:rsidRPr="007B3426">
        <w:rPr>
          <w:color w:val="000000" w:themeColor="text1"/>
        </w:rPr>
        <w:t xml:space="preserve"> Peter E.M. Taschner</w:t>
      </w:r>
      <w:r>
        <w:rPr>
          <w:color w:val="000000" w:themeColor="text1"/>
        </w:rPr>
        <w:t>,</w:t>
      </w:r>
      <w:r w:rsidRPr="007B3426">
        <w:rPr>
          <w:color w:val="000000" w:themeColor="text1"/>
        </w:rPr>
        <w:t>Pierre Ha</w:t>
      </w:r>
      <w:r>
        <w:rPr>
          <w:color w:val="000000" w:themeColor="text1"/>
        </w:rPr>
        <w:t>inaut  and Thierry Soussi</w:t>
      </w:r>
    </w:p>
    <w:p w14:paraId="57DA6471" w14:textId="77777777" w:rsidR="007B3426" w:rsidRPr="00261597" w:rsidRDefault="007B3426" w:rsidP="007B3426">
      <w:pPr>
        <w:rPr>
          <w:color w:val="000000" w:themeColor="text1"/>
        </w:rPr>
      </w:pPr>
    </w:p>
    <w:p w14:paraId="704C17A4" w14:textId="77777777" w:rsidR="007B3426" w:rsidRPr="00261597" w:rsidRDefault="00A4594E" w:rsidP="007B3426">
      <w:r w:rsidRPr="00A4594E">
        <w:rPr>
          <w:lang w:val="en-US"/>
        </w:rPr>
        <w:drawing>
          <wp:inline distT="0" distB="0" distL="0" distR="0" wp14:anchorId="60A90F38" wp14:editId="50B9B41B">
            <wp:extent cx="6116320" cy="4119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4119088"/>
                    </a:xfrm>
                    <a:prstGeom prst="rect">
                      <a:avLst/>
                    </a:prstGeom>
                    <a:noFill/>
                    <a:ln>
                      <a:noFill/>
                    </a:ln>
                  </pic:spPr>
                </pic:pic>
              </a:graphicData>
            </a:graphic>
          </wp:inline>
        </w:drawing>
      </w:r>
    </w:p>
    <w:p w14:paraId="3233F18E" w14:textId="77777777" w:rsidR="007B3426" w:rsidRPr="00261597" w:rsidRDefault="007B3426" w:rsidP="007B3426">
      <w:pPr>
        <w:tabs>
          <w:tab w:val="left" w:pos="1227"/>
        </w:tabs>
      </w:pPr>
    </w:p>
    <w:p w14:paraId="0DC69B8C" w14:textId="77777777" w:rsidR="00A4594E" w:rsidRPr="00261597" w:rsidRDefault="00A4594E" w:rsidP="00A4594E">
      <w:pPr>
        <w:rPr>
          <w:b/>
        </w:rPr>
      </w:pPr>
      <w:r w:rsidRPr="00261597">
        <w:rPr>
          <w:b/>
        </w:rPr>
        <w:t>Figure S1</w:t>
      </w:r>
    </w:p>
    <w:p w14:paraId="1749FDDD" w14:textId="77777777" w:rsidR="007B3426" w:rsidRPr="007F54BB" w:rsidRDefault="007B3426" w:rsidP="007B3426">
      <w:pPr>
        <w:tabs>
          <w:tab w:val="left" w:pos="1227"/>
        </w:tabs>
        <w:rPr>
          <w:sz w:val="20"/>
          <w:szCs w:val="20"/>
        </w:rPr>
      </w:pPr>
      <w:r w:rsidRPr="007F54BB">
        <w:rPr>
          <w:b/>
          <w:i/>
          <w:sz w:val="20"/>
          <w:szCs w:val="20"/>
        </w:rPr>
        <w:t>TP53</w:t>
      </w:r>
      <w:r w:rsidRPr="007F54BB">
        <w:rPr>
          <w:b/>
          <w:sz w:val="20"/>
          <w:szCs w:val="20"/>
        </w:rPr>
        <w:t xml:space="preserve"> gene and p53 mRNAs</w:t>
      </w:r>
      <w:r w:rsidRPr="007F54BB">
        <w:rPr>
          <w:sz w:val="20"/>
          <w:szCs w:val="20"/>
        </w:rPr>
        <w:t xml:space="preserve">. The </w:t>
      </w:r>
      <w:r w:rsidRPr="007F54BB">
        <w:rPr>
          <w:i/>
          <w:sz w:val="20"/>
          <w:szCs w:val="20"/>
        </w:rPr>
        <w:t>TP53</w:t>
      </w:r>
      <w:r w:rsidRPr="007F54BB">
        <w:rPr>
          <w:sz w:val="20"/>
          <w:szCs w:val="20"/>
        </w:rPr>
        <w:t xml:space="preserve"> gene (upper part of the figure) is transcribed into eight different mRNAs. Transcripts t1 to t4 originate from promoter P1 localized upstream </w:t>
      </w:r>
      <w:r w:rsidRPr="007F54BB">
        <w:rPr>
          <w:sz w:val="20"/>
          <w:szCs w:val="20"/>
          <w:lang w:val="fr-FR"/>
        </w:rPr>
        <w:t>from</w:t>
      </w:r>
      <w:r w:rsidRPr="007F54BB">
        <w:rPr>
          <w:sz w:val="20"/>
          <w:szCs w:val="20"/>
        </w:rPr>
        <w:t xml:space="preserve"> the gene. Transcripts t5 to t8 originate from promoter P2 localized in intron 4. Translated exons are shown in blue. The two novel exons β and γ are shown in red and blue, respectively. Untranslated regions are shown in black. For transcripts t3, t4, t6, and t7, which include exons β or γ, exons 10 and 11 are noncoding. Transcript t8 encodes only p8 (DeltaTP53α) and exons 1 to 3 are noncoding (black boxes). Proteins translated from the various transcripts are described on the right. Frequent </w:t>
      </w:r>
      <w:r w:rsidRPr="007F54BB">
        <w:rPr>
          <w:i/>
          <w:sz w:val="20"/>
          <w:szCs w:val="20"/>
        </w:rPr>
        <w:t>TP53</w:t>
      </w:r>
      <w:r w:rsidRPr="007F54BB">
        <w:rPr>
          <w:sz w:val="20"/>
          <w:szCs w:val="20"/>
        </w:rPr>
        <w:t xml:space="preserve"> germline SNP are shown on the </w:t>
      </w:r>
      <w:r w:rsidRPr="007F54BB">
        <w:rPr>
          <w:i/>
          <w:sz w:val="20"/>
          <w:szCs w:val="20"/>
        </w:rPr>
        <w:t>TP53</w:t>
      </w:r>
      <w:r w:rsidRPr="007F54BB">
        <w:rPr>
          <w:sz w:val="20"/>
          <w:szCs w:val="20"/>
        </w:rPr>
        <w:t xml:space="preserve"> gene with both coding (green) and non-coding (blue) snp. </w:t>
      </w:r>
    </w:p>
    <w:p w14:paraId="0C9CBD03" w14:textId="77777777" w:rsidR="007B3426" w:rsidRPr="007F54BB" w:rsidRDefault="007B3426" w:rsidP="007B3426">
      <w:pPr>
        <w:tabs>
          <w:tab w:val="left" w:pos="1227"/>
        </w:tabs>
        <w:rPr>
          <w:sz w:val="20"/>
          <w:szCs w:val="20"/>
        </w:rPr>
      </w:pPr>
      <w:r w:rsidRPr="007F54BB">
        <w:rPr>
          <w:sz w:val="20"/>
          <w:szCs w:val="20"/>
        </w:rPr>
        <w:t xml:space="preserve">This figure includes only the eight major </w:t>
      </w:r>
      <w:r w:rsidRPr="007F54BB">
        <w:rPr>
          <w:i/>
          <w:sz w:val="20"/>
          <w:szCs w:val="20"/>
        </w:rPr>
        <w:t>TP53</w:t>
      </w:r>
      <w:r w:rsidRPr="007F54BB">
        <w:rPr>
          <w:sz w:val="20"/>
          <w:szCs w:val="20"/>
        </w:rPr>
        <w:t xml:space="preserve"> transcripts as reported in </w:t>
      </w:r>
      <w:r w:rsidRPr="007F54BB">
        <w:rPr>
          <w:color w:val="000000" w:themeColor="text1"/>
          <w:sz w:val="20"/>
          <w:szCs w:val="20"/>
        </w:rPr>
        <w:t xml:space="preserve">LRG_321. </w:t>
      </w:r>
      <w:r w:rsidRPr="007F54BB">
        <w:rPr>
          <w:sz w:val="20"/>
          <w:szCs w:val="20"/>
        </w:rPr>
        <w:t>Other transcripts have been identified, but it is currently unknown whether they are expressed in normal cells or in all cell types. (http://www.ensembl.org/Homo_sapiens/Gene/Summary?db=core;g=ENSG00000141510;r=17:7661779-7687550)</w:t>
      </w:r>
    </w:p>
    <w:p w14:paraId="740BD8A1" w14:textId="77777777" w:rsidR="007B3426" w:rsidRPr="00261597" w:rsidRDefault="007B3426" w:rsidP="007B3426">
      <w:pPr>
        <w:tabs>
          <w:tab w:val="left" w:pos="1227"/>
        </w:tabs>
      </w:pPr>
    </w:p>
    <w:p w14:paraId="7CCF9F90" w14:textId="60D0DD19" w:rsidR="007F54BB" w:rsidRDefault="007F54BB">
      <w:r>
        <w:br w:type="page"/>
      </w:r>
    </w:p>
    <w:p w14:paraId="47BEE72A" w14:textId="48828FAF" w:rsidR="007B3426" w:rsidRPr="00261597" w:rsidRDefault="007F54BB" w:rsidP="007B3426">
      <w:pPr>
        <w:tabs>
          <w:tab w:val="left" w:pos="1227"/>
        </w:tabs>
      </w:pPr>
      <w:r w:rsidRPr="007F54BB">
        <w:rPr>
          <w:lang w:val="en-US"/>
        </w:rPr>
        <w:drawing>
          <wp:inline distT="0" distB="0" distL="0" distR="0" wp14:anchorId="2E8AB8B1" wp14:editId="7893F7EC">
            <wp:extent cx="4899212" cy="736811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9660" cy="7368791"/>
                    </a:xfrm>
                    <a:prstGeom prst="rect">
                      <a:avLst/>
                    </a:prstGeom>
                    <a:noFill/>
                    <a:ln>
                      <a:noFill/>
                    </a:ln>
                  </pic:spPr>
                </pic:pic>
              </a:graphicData>
            </a:graphic>
          </wp:inline>
        </w:drawing>
      </w:r>
    </w:p>
    <w:p w14:paraId="016850C5" w14:textId="77777777" w:rsidR="007B3426" w:rsidRPr="00261597" w:rsidRDefault="007B3426" w:rsidP="007B3426">
      <w:pPr>
        <w:tabs>
          <w:tab w:val="left" w:pos="1227"/>
        </w:tabs>
      </w:pPr>
    </w:p>
    <w:p w14:paraId="19EF49DE" w14:textId="455F58A8" w:rsidR="007B3426" w:rsidRPr="007F54BB" w:rsidRDefault="007F54BB" w:rsidP="007B3426">
      <w:pPr>
        <w:tabs>
          <w:tab w:val="left" w:pos="1227"/>
        </w:tabs>
        <w:rPr>
          <w:sz w:val="20"/>
          <w:szCs w:val="20"/>
        </w:rPr>
      </w:pPr>
      <w:r w:rsidRPr="007F54BB">
        <w:rPr>
          <w:b/>
          <w:sz w:val="20"/>
          <w:szCs w:val="20"/>
        </w:rPr>
        <w:t>Figure S2</w:t>
      </w:r>
      <w:r w:rsidR="007B3426" w:rsidRPr="007F54BB">
        <w:rPr>
          <w:b/>
          <w:sz w:val="20"/>
          <w:szCs w:val="20"/>
        </w:rPr>
        <w:t>. Correspondence between the LRG, the NCBI RefSeq TP53 protein and their corresponding transcripts</w:t>
      </w:r>
      <w:r w:rsidR="007B3426" w:rsidRPr="007F54BB">
        <w:rPr>
          <w:sz w:val="20"/>
          <w:szCs w:val="20"/>
        </w:rPr>
        <w:t xml:space="preserve">. All </w:t>
      </w:r>
      <w:r w:rsidR="007B3426" w:rsidRPr="007F54BB">
        <w:rPr>
          <w:i/>
          <w:sz w:val="20"/>
          <w:szCs w:val="20"/>
        </w:rPr>
        <w:t>TP53</w:t>
      </w:r>
      <w:r w:rsidR="007B3426" w:rsidRPr="007F54BB">
        <w:rPr>
          <w:sz w:val="20"/>
          <w:szCs w:val="20"/>
        </w:rPr>
        <w:t xml:space="preserve"> transcripts (except one) have alternative translation start sites and can encode two TP53 isoforms. Each TP53 isoform has a single LRG_321 p (protein) number, but might be encoded by more than one transcript with its own t (transcript) number. In contrast, full-length TP53 protein (p1) and the Delta40p53α isoform (p8) have multiple RefSeq protein accession numbers. As RefSeq transcripts can be linked to only one RefSeq protein accession number in the NCBI’s data model, a different RefSeq transcript accession number is therefore assigned to the same mRNA sequence for each TP53 isoform it encodes.</w:t>
      </w:r>
    </w:p>
    <w:p w14:paraId="363A0BE6" w14:textId="77777777" w:rsidR="007F54BB" w:rsidRDefault="007F54BB" w:rsidP="007B3426">
      <w:pPr>
        <w:tabs>
          <w:tab w:val="left" w:pos="1227"/>
        </w:tabs>
      </w:pPr>
    </w:p>
    <w:p w14:paraId="6BE74527" w14:textId="77777777" w:rsidR="007F54BB" w:rsidRDefault="007F54BB" w:rsidP="007B3426">
      <w:pPr>
        <w:tabs>
          <w:tab w:val="left" w:pos="1227"/>
        </w:tabs>
      </w:pPr>
    </w:p>
    <w:p w14:paraId="2254D7C4" w14:textId="2BE63194" w:rsidR="007F54BB" w:rsidRDefault="007F54BB">
      <w:r>
        <w:br w:type="page"/>
      </w:r>
    </w:p>
    <w:p w14:paraId="3908B729" w14:textId="72082FBF" w:rsidR="007F54BB" w:rsidRPr="00261597" w:rsidRDefault="007F54BB" w:rsidP="007B3426">
      <w:pPr>
        <w:tabs>
          <w:tab w:val="left" w:pos="1227"/>
        </w:tabs>
      </w:pPr>
      <w:bookmarkStart w:id="0" w:name="_GoBack"/>
      <w:r w:rsidRPr="007F54BB">
        <w:rPr>
          <w:lang w:val="en-US"/>
        </w:rPr>
        <w:drawing>
          <wp:inline distT="0" distB="0" distL="0" distR="0" wp14:anchorId="069C6AE5" wp14:editId="51E7CDC3">
            <wp:extent cx="5142665" cy="7859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437" cy="7860852"/>
                    </a:xfrm>
                    <a:prstGeom prst="rect">
                      <a:avLst/>
                    </a:prstGeom>
                    <a:noFill/>
                    <a:ln>
                      <a:noFill/>
                    </a:ln>
                  </pic:spPr>
                </pic:pic>
              </a:graphicData>
            </a:graphic>
          </wp:inline>
        </w:drawing>
      </w:r>
      <w:bookmarkEnd w:id="0"/>
    </w:p>
    <w:p w14:paraId="0BF19B40" w14:textId="19973B58" w:rsidR="007B3426" w:rsidRPr="007F54BB" w:rsidRDefault="007F54BB" w:rsidP="007B3426">
      <w:pPr>
        <w:tabs>
          <w:tab w:val="left" w:pos="1227"/>
        </w:tabs>
        <w:rPr>
          <w:b/>
        </w:rPr>
      </w:pPr>
      <w:r w:rsidRPr="007F54BB">
        <w:rPr>
          <w:b/>
        </w:rPr>
        <w:t>Figure S3</w:t>
      </w:r>
      <w:r w:rsidR="007B3426" w:rsidRPr="007F54BB">
        <w:rPr>
          <w:b/>
        </w:rPr>
        <w:t xml:space="preserve">. Correspondence between the LRG, the NCBI RefSeq </w:t>
      </w:r>
      <w:r w:rsidR="007B3426" w:rsidRPr="007F54BB">
        <w:rPr>
          <w:b/>
          <w:i/>
        </w:rPr>
        <w:t>TP53</w:t>
      </w:r>
      <w:r w:rsidR="007B3426" w:rsidRPr="007F54BB">
        <w:rPr>
          <w:b/>
        </w:rPr>
        <w:t xml:space="preserve"> transcripts and their corresponding putative proteins.</w:t>
      </w:r>
    </w:p>
    <w:p w14:paraId="2A141CFE" w14:textId="77777777" w:rsidR="0096460B" w:rsidRDefault="0096460B"/>
    <w:sectPr w:rsidR="0096460B" w:rsidSect="00F72AD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26"/>
    <w:rsid w:val="00211CD5"/>
    <w:rsid w:val="00605B71"/>
    <w:rsid w:val="007B3426"/>
    <w:rsid w:val="007F54BB"/>
    <w:rsid w:val="00880825"/>
    <w:rsid w:val="0096460B"/>
    <w:rsid w:val="00A4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7A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26"/>
    <w:rPr>
      <w:rFonts w:eastAsiaTheme="minorHAns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94E"/>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26"/>
    <w:rPr>
      <w:rFonts w:eastAsiaTheme="minorHAnsi"/>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94E"/>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Words>
  <Characters>2610</Characters>
  <Application>Microsoft Macintosh Word</Application>
  <DocSecurity>0</DocSecurity>
  <Lines>87</Lines>
  <Paragraphs>43</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Soussi</dc:creator>
  <cp:keywords/>
  <dc:description/>
  <cp:lastModifiedBy>Thierry Soussi</cp:lastModifiedBy>
  <cp:revision>4</cp:revision>
  <dcterms:created xsi:type="dcterms:W3CDTF">2016-11-07T09:52:00Z</dcterms:created>
  <dcterms:modified xsi:type="dcterms:W3CDTF">2016-11-07T09:59:00Z</dcterms:modified>
</cp:coreProperties>
</file>