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FED" w:rsidRPr="001E1FF4" w:rsidRDefault="00F84FED" w:rsidP="00017D03">
      <w:pPr>
        <w:spacing w:line="480" w:lineRule="auto"/>
        <w:rPr>
          <w:rFonts w:asciiTheme="majorBidi" w:hAnsiTheme="majorBidi" w:cstheme="majorBidi"/>
          <w:b/>
          <w:lang w:val="en-US"/>
        </w:rPr>
      </w:pPr>
      <w:r w:rsidRPr="001E1FF4">
        <w:rPr>
          <w:rFonts w:asciiTheme="majorBidi" w:hAnsiTheme="majorBidi" w:cstheme="majorBidi"/>
          <w:b/>
          <w:lang w:val="en-US"/>
        </w:rPr>
        <w:tab/>
      </w:r>
    </w:p>
    <w:p w:rsidR="00F84FED" w:rsidRPr="001E1FF4" w:rsidRDefault="00F84FED" w:rsidP="00017D03">
      <w:pPr>
        <w:spacing w:line="480" w:lineRule="auto"/>
        <w:rPr>
          <w:rFonts w:asciiTheme="majorBidi" w:hAnsiTheme="majorBidi" w:cstheme="majorBidi"/>
          <w:b/>
          <w:lang w:val="en-US"/>
        </w:rPr>
      </w:pPr>
    </w:p>
    <w:p w:rsidR="000460B4" w:rsidRPr="008F7397" w:rsidRDefault="000460B4" w:rsidP="00017D03">
      <w:pPr>
        <w:pStyle w:val="Head"/>
        <w:spacing w:line="480" w:lineRule="auto"/>
        <w:rPr>
          <w:rFonts w:asciiTheme="majorBidi" w:hAnsiTheme="majorBidi" w:cstheme="majorBidi"/>
        </w:rPr>
      </w:pPr>
      <w:bookmarkStart w:id="0" w:name="_GoBack"/>
      <w:bookmarkEnd w:id="0"/>
      <w:r w:rsidRPr="008F7397">
        <w:rPr>
          <w:rFonts w:asciiTheme="majorBidi" w:hAnsiTheme="majorBidi" w:cstheme="majorBidi"/>
        </w:rPr>
        <w:t>Cell-Specific Computational Modeling of the PIM pathway in Acute Myeloid Leukemia</w:t>
      </w:r>
    </w:p>
    <w:p w:rsidR="005D099E" w:rsidRPr="008F7397" w:rsidRDefault="005D099E" w:rsidP="00017D03">
      <w:pPr>
        <w:spacing w:line="480" w:lineRule="auto"/>
        <w:jc w:val="center"/>
        <w:rPr>
          <w:rFonts w:asciiTheme="majorBidi" w:hAnsiTheme="majorBidi" w:cstheme="majorBidi"/>
          <w:b/>
          <w:sz w:val="28"/>
          <w:szCs w:val="28"/>
        </w:rPr>
      </w:pPr>
    </w:p>
    <w:p w:rsidR="000460B4" w:rsidRPr="008F7397" w:rsidRDefault="00D12BFF" w:rsidP="006516F7">
      <w:pPr>
        <w:spacing w:line="480" w:lineRule="auto"/>
        <w:jc w:val="center"/>
        <w:rPr>
          <w:rFonts w:asciiTheme="majorBidi" w:hAnsiTheme="majorBidi" w:cstheme="majorBidi"/>
          <w:b/>
          <w:sz w:val="28"/>
          <w:szCs w:val="28"/>
        </w:rPr>
      </w:pPr>
      <w:r>
        <w:rPr>
          <w:rFonts w:asciiTheme="majorBidi" w:hAnsiTheme="majorBidi" w:cstheme="majorBidi"/>
          <w:b/>
          <w:sz w:val="28"/>
          <w:szCs w:val="28"/>
        </w:rPr>
        <w:t>S</w:t>
      </w:r>
      <w:r w:rsidR="005D099E" w:rsidRPr="008F7397">
        <w:rPr>
          <w:rFonts w:asciiTheme="majorBidi" w:hAnsiTheme="majorBidi" w:cstheme="majorBidi"/>
          <w:b/>
          <w:sz w:val="28"/>
          <w:szCs w:val="28"/>
        </w:rPr>
        <w:t xml:space="preserve">upplemental </w:t>
      </w:r>
      <w:r w:rsidR="006516F7" w:rsidRPr="008F7397">
        <w:rPr>
          <w:rFonts w:asciiTheme="majorBidi" w:hAnsiTheme="majorBidi" w:cstheme="majorBidi"/>
          <w:b/>
          <w:sz w:val="28"/>
          <w:szCs w:val="28"/>
        </w:rPr>
        <w:t>Figures and Tables</w:t>
      </w:r>
    </w:p>
    <w:p w:rsidR="005D099E" w:rsidRPr="008F7397" w:rsidRDefault="005D099E" w:rsidP="00C30FB1">
      <w:pPr>
        <w:pStyle w:val="Teaser"/>
        <w:spacing w:line="480" w:lineRule="auto"/>
        <w:rPr>
          <w:rFonts w:asciiTheme="majorBidi" w:hAnsiTheme="majorBidi" w:cstheme="majorBidi"/>
          <w:lang w:val="sv-SE"/>
        </w:rPr>
      </w:pPr>
    </w:p>
    <w:p w:rsidR="00C30FB1" w:rsidRPr="008F7397" w:rsidRDefault="00C30FB1" w:rsidP="00C30FB1">
      <w:pPr>
        <w:pStyle w:val="Teaser"/>
        <w:spacing w:line="480" w:lineRule="auto"/>
        <w:rPr>
          <w:rFonts w:asciiTheme="majorBidi" w:hAnsiTheme="majorBidi" w:cstheme="majorBidi"/>
          <w:lang w:val="sv-SE"/>
        </w:rPr>
      </w:pPr>
      <w:r w:rsidRPr="008F7397">
        <w:rPr>
          <w:rFonts w:asciiTheme="majorBidi" w:hAnsiTheme="majorBidi" w:cstheme="majorBidi"/>
          <w:lang w:val="sv-SE"/>
        </w:rPr>
        <w:t>Dana Silverbush</w:t>
      </w:r>
      <w:r w:rsidRPr="008F7397">
        <w:rPr>
          <w:rFonts w:asciiTheme="majorBidi" w:hAnsiTheme="majorBidi" w:cstheme="majorBidi"/>
          <w:vertAlign w:val="superscript"/>
          <w:lang w:val="sv-SE"/>
        </w:rPr>
        <w:t>1,2</w:t>
      </w:r>
      <w:r w:rsidRPr="008F7397">
        <w:rPr>
          <w:rFonts w:asciiTheme="majorBidi" w:hAnsiTheme="majorBidi" w:cstheme="majorBidi"/>
          <w:lang w:val="sv-SE"/>
        </w:rPr>
        <w:t xml:space="preserve">^, </w:t>
      </w:r>
      <w:r w:rsidRPr="008F7397">
        <w:rPr>
          <w:rFonts w:asciiTheme="majorBidi" w:hAnsiTheme="majorBidi" w:cstheme="majorBidi"/>
        </w:rPr>
        <w:t>Shaun</w:t>
      </w:r>
      <w:r w:rsidRPr="008F7397">
        <w:rPr>
          <w:rFonts w:asciiTheme="majorBidi" w:hAnsiTheme="majorBidi" w:cstheme="majorBidi"/>
          <w:lang w:val="sv-SE"/>
        </w:rPr>
        <w:t xml:space="preserve"> Grosskurth</w:t>
      </w:r>
      <w:r w:rsidRPr="008F7397">
        <w:rPr>
          <w:rFonts w:asciiTheme="majorBidi" w:hAnsiTheme="majorBidi" w:cstheme="majorBidi"/>
          <w:vertAlign w:val="superscript"/>
          <w:lang w:val="sv-SE"/>
        </w:rPr>
        <w:t>3</w:t>
      </w:r>
      <w:r w:rsidRPr="008F7397">
        <w:rPr>
          <w:rFonts w:asciiTheme="majorBidi" w:hAnsiTheme="majorBidi" w:cstheme="majorBidi"/>
          <w:lang w:val="sv-SE"/>
        </w:rPr>
        <w:t xml:space="preserve">^, </w:t>
      </w:r>
      <w:r w:rsidRPr="008F7397">
        <w:rPr>
          <w:rFonts w:asciiTheme="majorBidi" w:hAnsiTheme="majorBidi" w:cstheme="majorBidi"/>
        </w:rPr>
        <w:t>Dennis</w:t>
      </w:r>
      <w:r w:rsidRPr="008F7397">
        <w:rPr>
          <w:rFonts w:asciiTheme="majorBidi" w:hAnsiTheme="majorBidi" w:cstheme="majorBidi"/>
          <w:lang w:val="sv-SE"/>
        </w:rPr>
        <w:t xml:space="preserve"> Wang</w:t>
      </w:r>
      <w:r w:rsidRPr="008F7397">
        <w:rPr>
          <w:rFonts w:asciiTheme="majorBidi" w:hAnsiTheme="majorBidi" w:cstheme="majorBidi"/>
          <w:vertAlign w:val="superscript"/>
          <w:lang w:val="sv-SE"/>
        </w:rPr>
        <w:t>4</w:t>
      </w:r>
      <w:r w:rsidRPr="008F7397">
        <w:rPr>
          <w:rFonts w:asciiTheme="majorBidi" w:hAnsiTheme="majorBidi" w:cstheme="majorBidi"/>
          <w:lang w:val="sv-SE"/>
        </w:rPr>
        <w:t xml:space="preserve">,  </w:t>
      </w:r>
      <w:r w:rsidRPr="008F7397">
        <w:rPr>
          <w:rFonts w:asciiTheme="majorBidi" w:hAnsiTheme="majorBidi" w:cstheme="majorBidi"/>
        </w:rPr>
        <w:t>Francoise</w:t>
      </w:r>
      <w:r w:rsidRPr="008F7397">
        <w:rPr>
          <w:rFonts w:asciiTheme="majorBidi" w:hAnsiTheme="majorBidi" w:cstheme="majorBidi"/>
          <w:lang w:val="sv-SE"/>
        </w:rPr>
        <w:t xml:space="preserve"> Powell</w:t>
      </w:r>
      <w:r w:rsidRPr="008F7397">
        <w:rPr>
          <w:rFonts w:asciiTheme="majorBidi" w:hAnsiTheme="majorBidi" w:cstheme="majorBidi"/>
          <w:vertAlign w:val="superscript"/>
          <w:lang w:val="sv-SE"/>
        </w:rPr>
        <w:t>3</w:t>
      </w:r>
      <w:r w:rsidRPr="008F7397">
        <w:rPr>
          <w:rFonts w:asciiTheme="majorBidi" w:hAnsiTheme="majorBidi" w:cstheme="majorBidi"/>
          <w:lang w:val="sv-SE"/>
        </w:rPr>
        <w:t>, Bertie Gottgens</w:t>
      </w:r>
      <w:r w:rsidRPr="008F7397">
        <w:rPr>
          <w:rFonts w:asciiTheme="majorBidi" w:hAnsiTheme="majorBidi" w:cstheme="majorBidi"/>
          <w:vertAlign w:val="superscript"/>
          <w:lang w:val="sv-SE"/>
        </w:rPr>
        <w:t>5</w:t>
      </w:r>
      <w:r w:rsidRPr="008F7397">
        <w:rPr>
          <w:rFonts w:asciiTheme="majorBidi" w:hAnsiTheme="majorBidi" w:cstheme="majorBidi"/>
          <w:lang w:val="sv-SE"/>
        </w:rPr>
        <w:t xml:space="preserve">, </w:t>
      </w:r>
      <w:r w:rsidRPr="008F7397">
        <w:rPr>
          <w:rFonts w:asciiTheme="majorBidi" w:hAnsiTheme="majorBidi" w:cstheme="majorBidi"/>
        </w:rPr>
        <w:t>Jonathan</w:t>
      </w:r>
      <w:r w:rsidRPr="008F7397">
        <w:rPr>
          <w:rFonts w:asciiTheme="majorBidi" w:hAnsiTheme="majorBidi" w:cstheme="majorBidi"/>
          <w:lang w:val="sv-SE"/>
        </w:rPr>
        <w:t xml:space="preserve"> Dry</w:t>
      </w:r>
      <w:r w:rsidRPr="008F7397">
        <w:rPr>
          <w:rFonts w:asciiTheme="majorBidi" w:hAnsiTheme="majorBidi" w:cstheme="majorBidi"/>
          <w:vertAlign w:val="superscript"/>
          <w:lang w:val="sv-SE"/>
        </w:rPr>
        <w:t>3</w:t>
      </w:r>
      <w:r w:rsidRPr="008F7397">
        <w:rPr>
          <w:rFonts w:asciiTheme="majorBidi" w:hAnsiTheme="majorBidi" w:cstheme="majorBidi"/>
          <w:lang w:val="sv-SE"/>
        </w:rPr>
        <w:t xml:space="preserve">* and </w:t>
      </w:r>
      <w:r w:rsidRPr="008F7397">
        <w:rPr>
          <w:rFonts w:asciiTheme="majorBidi" w:hAnsiTheme="majorBidi" w:cstheme="majorBidi"/>
        </w:rPr>
        <w:t>Jasmin</w:t>
      </w:r>
      <w:r w:rsidRPr="008F7397">
        <w:rPr>
          <w:rFonts w:asciiTheme="majorBidi" w:hAnsiTheme="majorBidi" w:cstheme="majorBidi"/>
          <w:lang w:val="sv-SE"/>
        </w:rPr>
        <w:t xml:space="preserve"> Fisher</w:t>
      </w:r>
      <w:r w:rsidRPr="008F7397">
        <w:rPr>
          <w:rFonts w:asciiTheme="majorBidi" w:hAnsiTheme="majorBidi" w:cstheme="majorBidi"/>
          <w:vertAlign w:val="superscript"/>
          <w:lang w:val="sv-SE"/>
        </w:rPr>
        <w:t>2,6</w:t>
      </w:r>
      <w:r w:rsidRPr="008F7397">
        <w:rPr>
          <w:rFonts w:asciiTheme="majorBidi" w:hAnsiTheme="majorBidi" w:cstheme="majorBidi"/>
          <w:lang w:val="sv-SE"/>
        </w:rPr>
        <w:t xml:space="preserve">* </w:t>
      </w:r>
    </w:p>
    <w:p w:rsidR="00C30FB1" w:rsidRPr="008F7397" w:rsidRDefault="00C30FB1" w:rsidP="00C30FB1">
      <w:pPr>
        <w:pStyle w:val="HTMLPreformatted"/>
        <w:spacing w:line="480" w:lineRule="auto"/>
        <w:rPr>
          <w:rFonts w:asciiTheme="majorBidi" w:hAnsiTheme="majorBidi" w:cstheme="majorBidi"/>
          <w:sz w:val="24"/>
          <w:szCs w:val="24"/>
          <w:vertAlign w:val="superscript"/>
          <w:lang w:val="sv-SE"/>
        </w:rPr>
      </w:pPr>
    </w:p>
    <w:p w:rsidR="000460B4" w:rsidRPr="008F7397" w:rsidRDefault="000460B4" w:rsidP="00017D03">
      <w:pPr>
        <w:pStyle w:val="HTMLPreformatted"/>
        <w:spacing w:line="480" w:lineRule="auto"/>
        <w:rPr>
          <w:rFonts w:asciiTheme="majorBidi" w:hAnsiTheme="majorBidi" w:cstheme="majorBidi"/>
          <w:sz w:val="24"/>
          <w:szCs w:val="24"/>
        </w:rPr>
      </w:pPr>
      <w:r w:rsidRPr="008F7397">
        <w:rPr>
          <w:rFonts w:asciiTheme="majorBidi" w:hAnsiTheme="majorBidi" w:cstheme="majorBidi"/>
          <w:sz w:val="24"/>
          <w:szCs w:val="24"/>
          <w:vertAlign w:val="superscript"/>
        </w:rPr>
        <w:t>1</w:t>
      </w:r>
      <w:r w:rsidRPr="008F7397">
        <w:rPr>
          <w:rFonts w:asciiTheme="majorBidi" w:hAnsiTheme="majorBidi" w:cstheme="majorBidi"/>
          <w:sz w:val="24"/>
          <w:szCs w:val="24"/>
        </w:rPr>
        <w:t xml:space="preserve">Department of Computer Science, Tel-Aviv University, Tel-Aviv, Israel; </w:t>
      </w:r>
    </w:p>
    <w:p w:rsidR="000460B4" w:rsidRPr="008F7397" w:rsidRDefault="000460B4" w:rsidP="00017D03">
      <w:pPr>
        <w:pStyle w:val="HTMLPreformatted"/>
        <w:spacing w:line="480" w:lineRule="auto"/>
        <w:rPr>
          <w:rFonts w:asciiTheme="majorBidi" w:hAnsiTheme="majorBidi" w:cstheme="majorBidi"/>
          <w:sz w:val="24"/>
          <w:szCs w:val="24"/>
        </w:rPr>
      </w:pPr>
      <w:r w:rsidRPr="008F7397">
        <w:rPr>
          <w:rFonts w:asciiTheme="majorBidi" w:hAnsiTheme="majorBidi" w:cstheme="majorBidi"/>
          <w:sz w:val="24"/>
          <w:szCs w:val="24"/>
          <w:vertAlign w:val="superscript"/>
        </w:rPr>
        <w:t>2</w:t>
      </w:r>
      <w:r w:rsidRPr="008F7397">
        <w:rPr>
          <w:rFonts w:asciiTheme="majorBidi" w:hAnsiTheme="majorBidi" w:cstheme="majorBidi"/>
          <w:sz w:val="24"/>
          <w:szCs w:val="24"/>
        </w:rPr>
        <w:t xml:space="preserve">Microsoft Research, Cambridge, UK; </w:t>
      </w:r>
    </w:p>
    <w:p w:rsidR="000460B4" w:rsidRPr="008F7397" w:rsidRDefault="000460B4" w:rsidP="00017D03">
      <w:pPr>
        <w:pStyle w:val="HTMLPreformatted"/>
        <w:spacing w:line="480" w:lineRule="auto"/>
        <w:rPr>
          <w:rFonts w:asciiTheme="majorBidi" w:hAnsiTheme="majorBidi" w:cstheme="majorBidi"/>
          <w:sz w:val="24"/>
          <w:szCs w:val="24"/>
        </w:rPr>
      </w:pPr>
      <w:r w:rsidRPr="008F7397">
        <w:rPr>
          <w:rFonts w:asciiTheme="majorBidi" w:hAnsiTheme="majorBidi" w:cstheme="majorBidi"/>
          <w:sz w:val="24"/>
          <w:szCs w:val="24"/>
          <w:vertAlign w:val="superscript"/>
        </w:rPr>
        <w:t>3</w:t>
      </w:r>
      <w:r w:rsidRPr="008F7397">
        <w:rPr>
          <w:rFonts w:asciiTheme="majorBidi" w:hAnsiTheme="majorBidi" w:cstheme="majorBidi"/>
          <w:sz w:val="24"/>
          <w:szCs w:val="24"/>
        </w:rPr>
        <w:t xml:space="preserve">AstraZeneca Oncology IMED, Waltham MA; </w:t>
      </w:r>
    </w:p>
    <w:p w:rsidR="000460B4" w:rsidRPr="008F7397" w:rsidRDefault="000460B4" w:rsidP="00017D03">
      <w:pPr>
        <w:pStyle w:val="HTMLPreformatted"/>
        <w:spacing w:line="480" w:lineRule="auto"/>
        <w:rPr>
          <w:rFonts w:asciiTheme="majorBidi" w:hAnsiTheme="majorBidi" w:cstheme="majorBidi"/>
          <w:sz w:val="24"/>
          <w:szCs w:val="24"/>
        </w:rPr>
      </w:pPr>
      <w:r w:rsidRPr="008F7397">
        <w:rPr>
          <w:rFonts w:asciiTheme="majorBidi" w:hAnsiTheme="majorBidi" w:cstheme="majorBidi"/>
          <w:sz w:val="24"/>
          <w:szCs w:val="24"/>
          <w:vertAlign w:val="superscript"/>
        </w:rPr>
        <w:t>4</w:t>
      </w:r>
      <w:r w:rsidRPr="008F7397">
        <w:rPr>
          <w:rFonts w:asciiTheme="majorBidi" w:hAnsiTheme="majorBidi" w:cstheme="majorBidi"/>
          <w:sz w:val="24"/>
          <w:szCs w:val="24"/>
        </w:rPr>
        <w:t xml:space="preserve">AstraZeneca Oncology IMED, Cambridge UK; </w:t>
      </w:r>
    </w:p>
    <w:p w:rsidR="000460B4" w:rsidRPr="008F7397" w:rsidRDefault="000460B4" w:rsidP="00017D03">
      <w:pPr>
        <w:pStyle w:val="HTMLPreformatted"/>
        <w:spacing w:line="480" w:lineRule="auto"/>
        <w:rPr>
          <w:rFonts w:asciiTheme="majorBidi" w:hAnsiTheme="majorBidi" w:cstheme="majorBidi"/>
          <w:sz w:val="24"/>
          <w:szCs w:val="24"/>
          <w:vertAlign w:val="superscript"/>
        </w:rPr>
      </w:pPr>
      <w:r w:rsidRPr="008F7397">
        <w:rPr>
          <w:rFonts w:asciiTheme="majorBidi" w:hAnsiTheme="majorBidi" w:cstheme="majorBidi"/>
          <w:sz w:val="24"/>
          <w:szCs w:val="24"/>
          <w:vertAlign w:val="superscript"/>
        </w:rPr>
        <w:t>5</w:t>
      </w:r>
      <w:r w:rsidRPr="008F7397">
        <w:rPr>
          <w:rFonts w:asciiTheme="majorBidi" w:hAnsiTheme="majorBidi" w:cstheme="majorBidi"/>
          <w:sz w:val="24"/>
          <w:szCs w:val="24"/>
        </w:rPr>
        <w:t xml:space="preserve">Department of Haematology, Cambridge Institute for Medical Research &amp; </w:t>
      </w:r>
      <w:proofErr w:type="spellStart"/>
      <w:r w:rsidRPr="008F7397">
        <w:rPr>
          <w:rFonts w:asciiTheme="majorBidi" w:hAnsiTheme="majorBidi" w:cstheme="majorBidi"/>
          <w:sz w:val="24"/>
          <w:szCs w:val="24"/>
        </w:rPr>
        <w:t>Wellcome</w:t>
      </w:r>
      <w:proofErr w:type="spellEnd"/>
      <w:r w:rsidRPr="008F7397">
        <w:rPr>
          <w:rFonts w:asciiTheme="majorBidi" w:hAnsiTheme="majorBidi" w:cstheme="majorBidi"/>
          <w:sz w:val="24"/>
          <w:szCs w:val="24"/>
        </w:rPr>
        <w:t xml:space="preserve"> Trust and MRC Stem Cell Institute, University of Cambridge, UK; </w:t>
      </w:r>
    </w:p>
    <w:p w:rsidR="000460B4" w:rsidRPr="008F7397" w:rsidRDefault="000460B4" w:rsidP="00017D03">
      <w:pPr>
        <w:pStyle w:val="HTMLPreformatted"/>
        <w:spacing w:line="480" w:lineRule="auto"/>
        <w:rPr>
          <w:rFonts w:asciiTheme="majorBidi" w:hAnsiTheme="majorBidi" w:cstheme="majorBidi"/>
          <w:sz w:val="24"/>
          <w:szCs w:val="24"/>
        </w:rPr>
      </w:pPr>
      <w:r w:rsidRPr="008F7397">
        <w:rPr>
          <w:rFonts w:asciiTheme="majorBidi" w:hAnsiTheme="majorBidi" w:cstheme="majorBidi"/>
          <w:sz w:val="24"/>
          <w:szCs w:val="24"/>
          <w:vertAlign w:val="superscript"/>
        </w:rPr>
        <w:t>6</w:t>
      </w:r>
      <w:r w:rsidRPr="008F7397">
        <w:rPr>
          <w:rFonts w:asciiTheme="majorBidi" w:hAnsiTheme="majorBidi" w:cstheme="majorBidi"/>
          <w:sz w:val="24"/>
          <w:szCs w:val="24"/>
        </w:rPr>
        <w:t>Department of Biochemistry, University of Cambridge, UK</w:t>
      </w:r>
    </w:p>
    <w:p w:rsidR="000460B4" w:rsidRPr="008F7397" w:rsidRDefault="000460B4" w:rsidP="00017D03">
      <w:pPr>
        <w:spacing w:line="480" w:lineRule="auto"/>
        <w:jc w:val="center"/>
        <w:rPr>
          <w:rFonts w:asciiTheme="majorBidi" w:hAnsiTheme="majorBidi" w:cstheme="majorBidi"/>
          <w:b/>
          <w:sz w:val="24"/>
          <w:szCs w:val="24"/>
        </w:rPr>
      </w:pPr>
    </w:p>
    <w:p w:rsidR="000460B4" w:rsidRPr="008F7397" w:rsidRDefault="000460B4" w:rsidP="00017D03">
      <w:pPr>
        <w:spacing w:line="480" w:lineRule="auto"/>
        <w:rPr>
          <w:rFonts w:asciiTheme="majorBidi" w:hAnsiTheme="majorBidi" w:cstheme="majorBidi"/>
          <w:sz w:val="24"/>
          <w:szCs w:val="24"/>
        </w:rPr>
      </w:pPr>
      <w:r w:rsidRPr="008F7397">
        <w:rPr>
          <w:rFonts w:asciiTheme="majorBidi" w:hAnsiTheme="majorBidi" w:cstheme="majorBidi"/>
          <w:sz w:val="24"/>
          <w:szCs w:val="24"/>
        </w:rPr>
        <w:t>^ These authors contributed equally to this work</w:t>
      </w:r>
    </w:p>
    <w:p w:rsidR="000460B4" w:rsidRPr="008F7397" w:rsidRDefault="000460B4" w:rsidP="00017D03">
      <w:pPr>
        <w:pStyle w:val="Paragraph"/>
        <w:spacing w:line="480" w:lineRule="auto"/>
        <w:ind w:firstLine="0"/>
        <w:rPr>
          <w:rFonts w:asciiTheme="majorBidi" w:hAnsiTheme="majorBidi" w:cstheme="majorBidi"/>
        </w:rPr>
      </w:pPr>
      <w:r w:rsidRPr="008F7397">
        <w:rPr>
          <w:rFonts w:asciiTheme="majorBidi" w:hAnsiTheme="majorBidi" w:cstheme="majorBidi"/>
        </w:rPr>
        <w:t xml:space="preserve">*To whom correspondence should be addressed:  </w:t>
      </w:r>
    </w:p>
    <w:p w:rsidR="000460B4" w:rsidRPr="008F7397" w:rsidRDefault="00E67CA2" w:rsidP="00017D03">
      <w:pPr>
        <w:pStyle w:val="Paragraph"/>
        <w:spacing w:line="480" w:lineRule="auto"/>
        <w:ind w:firstLine="0"/>
        <w:rPr>
          <w:rFonts w:asciiTheme="majorBidi" w:hAnsiTheme="majorBidi" w:cstheme="majorBidi"/>
        </w:rPr>
      </w:pPr>
      <w:hyperlink r:id="rId7" w:history="1">
        <w:r w:rsidR="00C30FB1" w:rsidRPr="008F7397">
          <w:rPr>
            <w:rStyle w:val="Hyperlink"/>
            <w:rFonts w:asciiTheme="majorBidi" w:hAnsiTheme="majorBidi" w:cstheme="majorBidi"/>
          </w:rPr>
          <w:t>jf416@cam.ac.uk</w:t>
        </w:r>
      </w:hyperlink>
      <w:r w:rsidR="000460B4" w:rsidRPr="008F7397">
        <w:rPr>
          <w:rFonts w:asciiTheme="majorBidi" w:hAnsiTheme="majorBidi" w:cstheme="majorBidi"/>
        </w:rPr>
        <w:t xml:space="preserve"> and </w:t>
      </w:r>
      <w:hyperlink r:id="rId8" w:history="1">
        <w:r w:rsidR="000460B4" w:rsidRPr="008F7397">
          <w:rPr>
            <w:rStyle w:val="Hyperlink"/>
            <w:rFonts w:asciiTheme="majorBidi" w:hAnsiTheme="majorBidi" w:cstheme="majorBidi"/>
          </w:rPr>
          <w:t>jonathan.dry@astrazeneca.com</w:t>
        </w:r>
      </w:hyperlink>
    </w:p>
    <w:p w:rsidR="00F372F7" w:rsidRPr="008F7397" w:rsidRDefault="00F372F7" w:rsidP="00F372F7">
      <w:pPr>
        <w:jc w:val="both"/>
        <w:rPr>
          <w:rFonts w:asciiTheme="majorBidi" w:hAnsiTheme="majorBidi" w:cstheme="majorBidi"/>
          <w:b/>
          <w:sz w:val="24"/>
          <w:szCs w:val="24"/>
          <w:lang w:val="en-US"/>
        </w:rPr>
      </w:pPr>
      <w:r w:rsidRPr="008F7397">
        <w:rPr>
          <w:rFonts w:asciiTheme="majorBidi" w:hAnsiTheme="majorBidi" w:cstheme="majorBidi"/>
          <w:b/>
          <w:noProof/>
          <w:sz w:val="24"/>
          <w:szCs w:val="24"/>
          <w:lang w:val="en-GB" w:eastAsia="en-GB"/>
        </w:rPr>
        <w:lastRenderedPageBreak/>
        <w:drawing>
          <wp:inline distT="0" distB="0" distL="0" distR="0">
            <wp:extent cx="5274310" cy="3704590"/>
            <wp:effectExtent l="19050" t="0" r="2540" b="0"/>
            <wp:docPr id="5" name="Picture 2" descr="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ng"/>
                    <pic:cNvPicPr/>
                  </pic:nvPicPr>
                  <pic:blipFill>
                    <a:blip r:embed="rId9" cstate="print"/>
                    <a:stretch>
                      <a:fillRect/>
                    </a:stretch>
                  </pic:blipFill>
                  <pic:spPr>
                    <a:xfrm>
                      <a:off x="0" y="0"/>
                      <a:ext cx="5274310" cy="3704590"/>
                    </a:xfrm>
                    <a:prstGeom prst="rect">
                      <a:avLst/>
                    </a:prstGeom>
                  </pic:spPr>
                </pic:pic>
              </a:graphicData>
            </a:graphic>
          </wp:inline>
        </w:drawing>
      </w:r>
    </w:p>
    <w:p w:rsidR="00F372F7" w:rsidRPr="008F7397" w:rsidRDefault="00F372F7" w:rsidP="00F372F7">
      <w:pPr>
        <w:jc w:val="both"/>
        <w:rPr>
          <w:rFonts w:asciiTheme="majorBidi" w:hAnsiTheme="majorBidi" w:cstheme="majorBidi"/>
          <w:b/>
          <w:sz w:val="24"/>
          <w:szCs w:val="24"/>
          <w:lang w:val="en-US"/>
        </w:rPr>
      </w:pPr>
    </w:p>
    <w:p w:rsidR="00F372F7" w:rsidRPr="008F7397" w:rsidRDefault="00F372F7" w:rsidP="00D53475">
      <w:pPr>
        <w:spacing w:line="480" w:lineRule="auto"/>
        <w:jc w:val="both"/>
        <w:rPr>
          <w:rFonts w:asciiTheme="majorBidi" w:hAnsiTheme="majorBidi" w:cstheme="majorBidi"/>
          <w:sz w:val="24"/>
          <w:szCs w:val="24"/>
          <w:lang w:val="en-US"/>
        </w:rPr>
      </w:pPr>
      <w:r w:rsidRPr="008F7397">
        <w:rPr>
          <w:rFonts w:asciiTheme="majorBidi" w:hAnsiTheme="majorBidi" w:cstheme="majorBidi"/>
          <w:b/>
          <w:sz w:val="24"/>
          <w:szCs w:val="24"/>
          <w:lang w:val="en-US"/>
        </w:rPr>
        <w:t>Figure S</w:t>
      </w:r>
      <w:r w:rsidR="00D53475">
        <w:rPr>
          <w:rFonts w:asciiTheme="majorBidi" w:hAnsiTheme="majorBidi" w:cstheme="majorBidi"/>
          <w:b/>
          <w:sz w:val="24"/>
          <w:szCs w:val="24"/>
          <w:lang w:val="en-US"/>
        </w:rPr>
        <w:t>1</w:t>
      </w:r>
      <w:r w:rsidRPr="008F7397">
        <w:rPr>
          <w:rFonts w:asciiTheme="majorBidi" w:hAnsiTheme="majorBidi" w:cstheme="majorBidi"/>
          <w:b/>
          <w:sz w:val="24"/>
          <w:szCs w:val="24"/>
          <w:lang w:val="en-US"/>
        </w:rPr>
        <w:t>. A schematic representation for the method of transforming the log2 linear RPPA values to a 5 point categorical scale suitable for BMA modeling</w:t>
      </w:r>
      <w:r w:rsidRPr="008F7397">
        <w:rPr>
          <w:rFonts w:asciiTheme="majorBidi" w:hAnsiTheme="majorBidi" w:cstheme="majorBidi"/>
          <w:sz w:val="24"/>
          <w:szCs w:val="24"/>
          <w:lang w:val="en-US"/>
        </w:rPr>
        <w:t xml:space="preserve">. The RPPA data was categorized by two methods 1) within cell and treatment dynamics of response and 2) within protein antibody measure across cell and treatment. This 5 point </w:t>
      </w:r>
      <w:r w:rsidRPr="008F7397">
        <w:rPr>
          <w:rFonts w:asciiTheme="majorBidi" w:hAnsiTheme="majorBidi" w:cstheme="majorBidi"/>
          <w:sz w:val="24"/>
          <w:szCs w:val="24"/>
          <w:lang w:val="en-US"/>
        </w:rPr>
        <w:lastRenderedPageBreak/>
        <w:t>scale was also used to categorize the cell line fate (phenotypic response) at each cell line, treatment, and time point condition.</w:t>
      </w:r>
    </w:p>
    <w:p w:rsidR="00F84FED" w:rsidRPr="008F7397" w:rsidRDefault="00B62CEF" w:rsidP="00462FDE">
      <w:pPr>
        <w:keepNext w:val="0"/>
        <w:jc w:val="both"/>
        <w:rPr>
          <w:rFonts w:asciiTheme="majorBidi" w:hAnsiTheme="majorBidi" w:cstheme="majorBidi"/>
          <w:b/>
          <w:sz w:val="24"/>
          <w:szCs w:val="24"/>
          <w:lang w:val="en-US"/>
        </w:rPr>
      </w:pPr>
      <w:r w:rsidRPr="008F7397">
        <w:rPr>
          <w:rFonts w:asciiTheme="majorBidi" w:hAnsiTheme="majorBidi" w:cstheme="majorBidi"/>
          <w:b/>
          <w:noProof/>
          <w:sz w:val="24"/>
          <w:szCs w:val="24"/>
          <w:lang w:val="en-GB" w:eastAsia="en-GB"/>
        </w:rPr>
        <w:drawing>
          <wp:inline distT="0" distB="0" distL="0" distR="0">
            <wp:extent cx="5274310" cy="6704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8758-9-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6704330"/>
                    </a:xfrm>
                    <a:prstGeom prst="rect">
                      <a:avLst/>
                    </a:prstGeom>
                  </pic:spPr>
                </pic:pic>
              </a:graphicData>
            </a:graphic>
          </wp:inline>
        </w:drawing>
      </w:r>
    </w:p>
    <w:p w:rsidR="00F84FED" w:rsidRPr="008F7397" w:rsidRDefault="00D53475" w:rsidP="00462FDE">
      <w:pPr>
        <w:keepNext w:val="0"/>
        <w:spacing w:line="480" w:lineRule="auto"/>
        <w:jc w:val="both"/>
        <w:rPr>
          <w:rFonts w:asciiTheme="majorBidi" w:hAnsiTheme="majorBidi" w:cstheme="majorBidi"/>
          <w:sz w:val="24"/>
          <w:szCs w:val="24"/>
          <w:lang w:val="en-US"/>
        </w:rPr>
      </w:pPr>
      <w:r>
        <w:rPr>
          <w:rFonts w:asciiTheme="majorBidi" w:hAnsiTheme="majorBidi" w:cstheme="majorBidi"/>
          <w:b/>
          <w:sz w:val="24"/>
          <w:szCs w:val="24"/>
          <w:lang w:val="en-US"/>
        </w:rPr>
        <w:t>Figure S2</w:t>
      </w:r>
      <w:r w:rsidR="00F84FED" w:rsidRPr="008F7397">
        <w:rPr>
          <w:rFonts w:asciiTheme="majorBidi" w:hAnsiTheme="majorBidi" w:cstheme="majorBidi"/>
          <w:b/>
          <w:sz w:val="24"/>
          <w:szCs w:val="24"/>
          <w:lang w:val="en-US"/>
        </w:rPr>
        <w:t xml:space="preserve">. </w:t>
      </w:r>
      <w:r w:rsidR="00F84FED" w:rsidRPr="008F7397">
        <w:rPr>
          <w:rFonts w:asciiTheme="majorBidi" w:hAnsiTheme="majorBidi" w:cstheme="majorBidi"/>
          <w:b/>
          <w:sz w:val="24"/>
          <w:szCs w:val="24"/>
        </w:rPr>
        <w:t>Differential AML signaling responses to single agent PIM inhibition with AZD1208 and combination with FLT3 inhibitor AC220</w:t>
      </w:r>
      <w:r w:rsidR="00F84FED" w:rsidRPr="008F7397">
        <w:rPr>
          <w:rFonts w:asciiTheme="majorBidi" w:hAnsiTheme="majorBidi" w:cstheme="majorBidi"/>
          <w:sz w:val="24"/>
          <w:szCs w:val="24"/>
          <w:lang w:val="en-US"/>
        </w:rPr>
        <w:t xml:space="preserve"> </w:t>
      </w:r>
      <w:r w:rsidR="00F84FED" w:rsidRPr="008F7397">
        <w:rPr>
          <w:rFonts w:asciiTheme="majorBidi" w:hAnsiTheme="majorBidi" w:cstheme="majorBidi"/>
          <w:b/>
          <w:bCs/>
          <w:sz w:val="24"/>
          <w:szCs w:val="24"/>
          <w:lang w:val="en-US"/>
        </w:rPr>
        <w:t>(A)</w:t>
      </w:r>
      <w:r w:rsidR="00F84FED" w:rsidRPr="008F7397">
        <w:rPr>
          <w:rFonts w:asciiTheme="majorBidi" w:hAnsiTheme="majorBidi" w:cstheme="majorBidi"/>
          <w:sz w:val="24"/>
          <w:szCs w:val="24"/>
          <w:lang w:val="en-US"/>
        </w:rPr>
        <w:t xml:space="preserve"> Growth inhibition of AML cell lines cultured with the indicated concentrations of AZD1208 and/or AC220 for 72 hours. The number of viable cells were determined by </w:t>
      </w:r>
      <w:proofErr w:type="spellStart"/>
      <w:r w:rsidR="00F84FED" w:rsidRPr="008F7397">
        <w:rPr>
          <w:rFonts w:asciiTheme="majorBidi" w:hAnsiTheme="majorBidi" w:cstheme="majorBidi"/>
          <w:sz w:val="24"/>
          <w:szCs w:val="24"/>
          <w:lang w:val="en-US"/>
        </w:rPr>
        <w:t>Alamar</w:t>
      </w:r>
      <w:proofErr w:type="spellEnd"/>
      <w:r w:rsidR="00F84FED" w:rsidRPr="008F7397">
        <w:rPr>
          <w:rFonts w:asciiTheme="majorBidi" w:hAnsiTheme="majorBidi" w:cstheme="majorBidi"/>
          <w:sz w:val="24"/>
          <w:szCs w:val="24"/>
          <w:lang w:val="en-US"/>
        </w:rPr>
        <w:t xml:space="preserve"> Blue </w:t>
      </w:r>
      <w:r w:rsidR="00F84FED" w:rsidRPr="008F7397">
        <w:rPr>
          <w:rFonts w:asciiTheme="majorBidi" w:hAnsiTheme="majorBidi" w:cstheme="majorBidi"/>
          <w:sz w:val="24"/>
          <w:szCs w:val="24"/>
          <w:lang w:val="en-US"/>
        </w:rPr>
        <w:lastRenderedPageBreak/>
        <w:t xml:space="preserve">measurements where the values represent percent growth inhibition. </w:t>
      </w:r>
      <w:r w:rsidR="00F84FED" w:rsidRPr="008F7397">
        <w:rPr>
          <w:rFonts w:asciiTheme="majorBidi" w:hAnsiTheme="majorBidi" w:cstheme="majorBidi"/>
          <w:b/>
          <w:bCs/>
          <w:sz w:val="24"/>
          <w:szCs w:val="24"/>
          <w:lang w:val="en-US"/>
        </w:rPr>
        <w:t>(B)</w:t>
      </w:r>
      <w:r w:rsidR="00F84FED" w:rsidRPr="008F7397">
        <w:rPr>
          <w:rFonts w:asciiTheme="majorBidi" w:hAnsiTheme="majorBidi" w:cstheme="majorBidi"/>
          <w:sz w:val="24"/>
          <w:szCs w:val="24"/>
          <w:lang w:val="en-US"/>
        </w:rPr>
        <w:t xml:space="preserve"> Western blot analysis of AML cells prepared at 3 and 24 hours validate many of the RPPA changes identified. An </w:t>
      </w:r>
      <w:proofErr w:type="spellStart"/>
      <w:r w:rsidR="00F84FED" w:rsidRPr="008F7397">
        <w:rPr>
          <w:rFonts w:asciiTheme="majorBidi" w:hAnsiTheme="majorBidi" w:cstheme="majorBidi"/>
          <w:sz w:val="24"/>
          <w:szCs w:val="24"/>
          <w:lang w:val="en-US"/>
        </w:rPr>
        <w:t>asterix</w:t>
      </w:r>
      <w:proofErr w:type="spellEnd"/>
      <w:r w:rsidR="00F84FED" w:rsidRPr="008F7397">
        <w:rPr>
          <w:rFonts w:asciiTheme="majorBidi" w:hAnsiTheme="majorBidi" w:cstheme="majorBidi"/>
          <w:sz w:val="24"/>
          <w:szCs w:val="24"/>
          <w:lang w:val="en-US"/>
        </w:rPr>
        <w:t xml:space="preserve"> (*) by </w:t>
      </w:r>
      <w:proofErr w:type="spellStart"/>
      <w:r w:rsidR="00F84FED" w:rsidRPr="008F7397">
        <w:rPr>
          <w:rFonts w:asciiTheme="majorBidi" w:hAnsiTheme="majorBidi" w:cstheme="majorBidi"/>
          <w:sz w:val="24"/>
          <w:szCs w:val="24"/>
          <w:lang w:val="en-US"/>
        </w:rPr>
        <w:t>phospho</w:t>
      </w:r>
      <w:proofErr w:type="spellEnd"/>
      <w:r w:rsidR="00F84FED" w:rsidRPr="008F7397">
        <w:rPr>
          <w:rFonts w:asciiTheme="majorBidi" w:hAnsiTheme="majorBidi" w:cstheme="majorBidi"/>
          <w:sz w:val="24"/>
          <w:szCs w:val="24"/>
          <w:lang w:val="en-US"/>
        </w:rPr>
        <w:t>-signaling change on the Western blot indicate statistical significance in RPPA, while a plus (+) indicate trend holds true between assays.</w:t>
      </w:r>
      <w:r w:rsidR="00462FDE" w:rsidRPr="008F7397">
        <w:rPr>
          <w:rFonts w:asciiTheme="majorBidi" w:hAnsiTheme="majorBidi" w:cstheme="majorBidi"/>
          <w:sz w:val="24"/>
          <w:szCs w:val="24"/>
          <w:lang w:val="en-US"/>
        </w:rPr>
        <w:t xml:space="preserve"> </w:t>
      </w:r>
      <w:r w:rsidR="00462FDE" w:rsidRPr="008F7397">
        <w:rPr>
          <w:b/>
          <w:bCs/>
        </w:rPr>
        <w:t>(C)</w:t>
      </w:r>
      <w:r w:rsidR="00462FDE" w:rsidRPr="008F7397">
        <w:t xml:space="preserve"> Extending Fig1B: protein expression measured by reverse-phase protein array (RPPA) in treated and untreated cell lines show heterogeneity in signaling responses through various pathways.</w:t>
      </w:r>
    </w:p>
    <w:p w:rsidR="00F84FED" w:rsidRPr="008F7397" w:rsidRDefault="00E86772" w:rsidP="00E86772">
      <w:pPr>
        <w:jc w:val="both"/>
        <w:rPr>
          <w:rFonts w:asciiTheme="majorBidi" w:hAnsiTheme="majorBidi" w:cstheme="majorBidi"/>
          <w:b/>
          <w:sz w:val="24"/>
          <w:szCs w:val="24"/>
          <w:lang w:val="en-US"/>
        </w:rPr>
      </w:pPr>
      <w:r w:rsidRPr="008F7397">
        <w:rPr>
          <w:rFonts w:asciiTheme="majorBidi" w:hAnsiTheme="majorBidi" w:cstheme="majorBidi"/>
          <w:b/>
          <w:noProof/>
          <w:sz w:val="24"/>
          <w:szCs w:val="24"/>
          <w:lang w:val="en-GB" w:eastAsia="en-GB"/>
        </w:rPr>
        <w:lastRenderedPageBreak/>
        <w:drawing>
          <wp:inline distT="0" distB="0" distL="0" distR="0">
            <wp:extent cx="5730717" cy="6263358"/>
            <wp:effectExtent l="19050" t="0" r="3333" b="0"/>
            <wp:docPr id="4" name="Picture 3" descr="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ng"/>
                    <pic:cNvPicPr/>
                  </pic:nvPicPr>
                  <pic:blipFill>
                    <a:blip r:embed="rId11" cstate="print"/>
                    <a:stretch>
                      <a:fillRect/>
                    </a:stretch>
                  </pic:blipFill>
                  <pic:spPr>
                    <a:xfrm>
                      <a:off x="0" y="0"/>
                      <a:ext cx="5740522" cy="6274074"/>
                    </a:xfrm>
                    <a:prstGeom prst="rect">
                      <a:avLst/>
                    </a:prstGeom>
                  </pic:spPr>
                </pic:pic>
              </a:graphicData>
            </a:graphic>
          </wp:inline>
        </w:drawing>
      </w:r>
    </w:p>
    <w:p w:rsidR="00F84FED" w:rsidRPr="008F7397" w:rsidRDefault="00D53475" w:rsidP="00602550">
      <w:pPr>
        <w:spacing w:line="480" w:lineRule="auto"/>
        <w:jc w:val="both"/>
        <w:rPr>
          <w:rFonts w:asciiTheme="majorBidi" w:hAnsiTheme="majorBidi" w:cstheme="majorBidi"/>
          <w:sz w:val="24"/>
          <w:szCs w:val="24"/>
          <w:lang w:val="en-US"/>
        </w:rPr>
      </w:pPr>
      <w:r>
        <w:rPr>
          <w:rFonts w:asciiTheme="majorBidi" w:hAnsiTheme="majorBidi" w:cstheme="majorBidi"/>
          <w:b/>
          <w:sz w:val="24"/>
          <w:szCs w:val="24"/>
          <w:lang w:val="en-US"/>
        </w:rPr>
        <w:t>Figure S3</w:t>
      </w:r>
      <w:r w:rsidR="005D1876" w:rsidRPr="008F7397">
        <w:rPr>
          <w:rFonts w:asciiTheme="majorBidi" w:hAnsiTheme="majorBidi" w:cstheme="majorBidi"/>
          <w:b/>
          <w:sz w:val="24"/>
          <w:szCs w:val="24"/>
          <w:lang w:val="en-US"/>
        </w:rPr>
        <w:t>. Synergic c</w:t>
      </w:r>
      <w:r w:rsidR="00F84FED" w:rsidRPr="008F7397">
        <w:rPr>
          <w:rFonts w:asciiTheme="majorBidi" w:hAnsiTheme="majorBidi" w:cstheme="majorBidi"/>
          <w:b/>
          <w:sz w:val="24"/>
          <w:szCs w:val="24"/>
          <w:lang w:val="en-US"/>
        </w:rPr>
        <w:t xml:space="preserve">ombinations of drugs are sought to increase sensitivity. </w:t>
      </w:r>
      <w:r w:rsidR="00F84FED" w:rsidRPr="008F7397">
        <w:rPr>
          <w:rFonts w:asciiTheme="majorBidi" w:hAnsiTheme="majorBidi" w:cstheme="majorBidi"/>
          <w:bCs/>
          <w:sz w:val="24"/>
          <w:szCs w:val="24"/>
          <w:lang w:val="en-US"/>
        </w:rPr>
        <w:t>G</w:t>
      </w:r>
      <w:r w:rsidR="00F84FED" w:rsidRPr="008F7397">
        <w:rPr>
          <w:rFonts w:asciiTheme="majorBidi" w:hAnsiTheme="majorBidi" w:cstheme="majorBidi"/>
          <w:sz w:val="24"/>
          <w:szCs w:val="24"/>
          <w:lang w:val="en-US"/>
        </w:rPr>
        <w:t>rowth inhibition of AML cell lines cultured with the indicated concentrations of AZD1208 and/or tested combined inhibitor for 72 hours</w:t>
      </w:r>
      <w:r w:rsidR="00F84FED" w:rsidRPr="008F7397">
        <w:rPr>
          <w:rFonts w:asciiTheme="majorBidi" w:hAnsiTheme="majorBidi" w:cstheme="majorBidi"/>
          <w:bCs/>
          <w:sz w:val="24"/>
          <w:szCs w:val="24"/>
          <w:lang w:val="en-US"/>
        </w:rPr>
        <w:t xml:space="preserve">. </w:t>
      </w:r>
      <w:r w:rsidR="00F84FED" w:rsidRPr="008F7397">
        <w:rPr>
          <w:rFonts w:asciiTheme="majorBidi" w:hAnsiTheme="majorBidi" w:cstheme="majorBidi"/>
          <w:sz w:val="24"/>
          <w:szCs w:val="24"/>
          <w:lang w:val="en-US"/>
        </w:rPr>
        <w:t>Expanding figure 4.</w:t>
      </w:r>
    </w:p>
    <w:p w:rsidR="00F84FED" w:rsidRPr="008F7397" w:rsidRDefault="008C0CDC" w:rsidP="00F84FED">
      <w:pPr>
        <w:jc w:val="both"/>
        <w:rPr>
          <w:rFonts w:asciiTheme="majorBidi" w:hAnsiTheme="majorBidi" w:cstheme="majorBidi"/>
          <w:sz w:val="24"/>
          <w:szCs w:val="24"/>
          <w:lang w:val="en-US"/>
        </w:rPr>
      </w:pPr>
      <w:r w:rsidRPr="008F7397">
        <w:rPr>
          <w:rFonts w:asciiTheme="majorBidi" w:hAnsiTheme="majorBidi" w:cstheme="majorBidi"/>
          <w:noProof/>
          <w:sz w:val="24"/>
          <w:szCs w:val="24"/>
          <w:lang w:val="en-GB" w:eastAsia="en-GB"/>
        </w:rPr>
        <w:lastRenderedPageBreak/>
        <w:drawing>
          <wp:inline distT="0" distB="0" distL="0" distR="0">
            <wp:extent cx="5274310" cy="5142865"/>
            <wp:effectExtent l="19050" t="0" r="2540" b="0"/>
            <wp:docPr id="1" name="Picture 0" descr="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png"/>
                    <pic:cNvPicPr/>
                  </pic:nvPicPr>
                  <pic:blipFill>
                    <a:blip r:embed="rId12" cstate="print"/>
                    <a:stretch>
                      <a:fillRect/>
                    </a:stretch>
                  </pic:blipFill>
                  <pic:spPr>
                    <a:xfrm>
                      <a:off x="0" y="0"/>
                      <a:ext cx="5274310" cy="5142865"/>
                    </a:xfrm>
                    <a:prstGeom prst="rect">
                      <a:avLst/>
                    </a:prstGeom>
                  </pic:spPr>
                </pic:pic>
              </a:graphicData>
            </a:graphic>
          </wp:inline>
        </w:drawing>
      </w:r>
    </w:p>
    <w:p w:rsidR="00435402" w:rsidRPr="008F7397" w:rsidRDefault="00435402" w:rsidP="00602550">
      <w:pPr>
        <w:spacing w:line="480" w:lineRule="auto"/>
        <w:jc w:val="both"/>
        <w:rPr>
          <w:rFonts w:asciiTheme="majorBidi" w:hAnsiTheme="majorBidi" w:cstheme="majorBidi"/>
          <w:b/>
          <w:sz w:val="24"/>
          <w:szCs w:val="24"/>
          <w:lang w:val="en-US"/>
        </w:rPr>
      </w:pPr>
    </w:p>
    <w:p w:rsidR="00F84FED" w:rsidRPr="008F7397" w:rsidRDefault="00D53475" w:rsidP="00602550">
      <w:pPr>
        <w:spacing w:line="480" w:lineRule="auto"/>
        <w:jc w:val="both"/>
        <w:rPr>
          <w:rFonts w:asciiTheme="majorBidi" w:hAnsiTheme="majorBidi" w:cstheme="majorBidi"/>
          <w:sz w:val="24"/>
          <w:szCs w:val="24"/>
          <w:lang w:val="en-US"/>
        </w:rPr>
      </w:pPr>
      <w:r>
        <w:rPr>
          <w:rFonts w:asciiTheme="majorBidi" w:hAnsiTheme="majorBidi" w:cstheme="majorBidi"/>
          <w:b/>
          <w:sz w:val="24"/>
          <w:szCs w:val="24"/>
          <w:lang w:val="en-US"/>
        </w:rPr>
        <w:t>Figure S4</w:t>
      </w:r>
      <w:r w:rsidR="00F84FED" w:rsidRPr="008F7397">
        <w:rPr>
          <w:rFonts w:asciiTheme="majorBidi" w:hAnsiTheme="majorBidi" w:cstheme="majorBidi"/>
          <w:b/>
          <w:sz w:val="24"/>
          <w:szCs w:val="24"/>
          <w:lang w:val="en-US"/>
        </w:rPr>
        <w:t>. Susceptibility identified in AZD1208 Resistant Cells.</w:t>
      </w:r>
      <w:r w:rsidR="00A67B31" w:rsidRPr="008F7397">
        <w:rPr>
          <w:rFonts w:asciiTheme="majorBidi" w:hAnsiTheme="majorBidi" w:cstheme="majorBidi"/>
          <w:sz w:val="24"/>
          <w:szCs w:val="24"/>
          <w:lang w:val="en-US"/>
        </w:rPr>
        <w:t xml:space="preserve"> </w:t>
      </w:r>
      <w:r w:rsidR="00F84FED" w:rsidRPr="008F7397">
        <w:rPr>
          <w:rFonts w:asciiTheme="majorBidi" w:hAnsiTheme="majorBidi" w:cstheme="majorBidi"/>
          <w:b/>
          <w:bCs/>
          <w:sz w:val="24"/>
          <w:szCs w:val="24"/>
          <w:lang w:val="en-US"/>
        </w:rPr>
        <w:t>(A)</w:t>
      </w:r>
      <w:r w:rsidR="00F84FED" w:rsidRPr="008F7397">
        <w:rPr>
          <w:rFonts w:asciiTheme="majorBidi" w:hAnsiTheme="majorBidi" w:cstheme="majorBidi"/>
          <w:sz w:val="24"/>
          <w:szCs w:val="24"/>
          <w:lang w:val="en-US"/>
        </w:rPr>
        <w:t xml:space="preserve"> Growth inhibition curves and </w:t>
      </w:r>
      <w:proofErr w:type="spellStart"/>
      <w:r w:rsidR="00F84FED" w:rsidRPr="008F7397">
        <w:rPr>
          <w:rFonts w:asciiTheme="majorBidi" w:hAnsiTheme="majorBidi" w:cstheme="majorBidi"/>
          <w:sz w:val="24"/>
          <w:szCs w:val="24"/>
          <w:lang w:val="en-US"/>
        </w:rPr>
        <w:t>uM</w:t>
      </w:r>
      <w:proofErr w:type="spellEnd"/>
      <w:r w:rsidR="00F84FED" w:rsidRPr="008F7397">
        <w:rPr>
          <w:rFonts w:asciiTheme="majorBidi" w:hAnsiTheme="majorBidi" w:cstheme="majorBidi"/>
          <w:sz w:val="24"/>
          <w:szCs w:val="24"/>
          <w:lang w:val="en-US"/>
        </w:rPr>
        <w:t xml:space="preserve"> GI50 of four independent AZD1208 resistant MOLM16 pools versus the sensitivity of the parental MOLM16 cell line. </w:t>
      </w:r>
      <w:r w:rsidR="00F84FED" w:rsidRPr="008F7397">
        <w:rPr>
          <w:rFonts w:asciiTheme="majorBidi" w:hAnsiTheme="majorBidi" w:cstheme="majorBidi"/>
          <w:b/>
          <w:bCs/>
          <w:sz w:val="24"/>
          <w:szCs w:val="24"/>
          <w:lang w:val="en-US"/>
        </w:rPr>
        <w:t>(B)</w:t>
      </w:r>
      <w:r w:rsidR="00F84FED" w:rsidRPr="008F7397">
        <w:rPr>
          <w:rFonts w:asciiTheme="majorBidi" w:hAnsiTheme="majorBidi" w:cstheme="majorBidi"/>
          <w:sz w:val="24"/>
          <w:szCs w:val="24"/>
          <w:lang w:val="en-US"/>
        </w:rPr>
        <w:t xml:space="preserve"> Significant RPPA signaling changes determined by a Wilcoxon Rank Sum Test with raw p-values &lt; 0.05 and log2 differences greater than or equal to 0.5 from parental cell lines are marked by thick boxes. </w:t>
      </w:r>
      <w:r w:rsidR="00F84FED" w:rsidRPr="008F7397">
        <w:rPr>
          <w:rFonts w:asciiTheme="majorBidi" w:hAnsiTheme="majorBidi" w:cstheme="majorBidi"/>
          <w:b/>
          <w:bCs/>
          <w:sz w:val="24"/>
          <w:szCs w:val="24"/>
          <w:lang w:val="en-US"/>
        </w:rPr>
        <w:t>(C)</w:t>
      </w:r>
      <w:r w:rsidR="00F84FED" w:rsidRPr="008F7397">
        <w:rPr>
          <w:rFonts w:asciiTheme="majorBidi" w:hAnsiTheme="majorBidi" w:cstheme="majorBidi"/>
          <w:sz w:val="24"/>
          <w:szCs w:val="24"/>
          <w:lang w:val="en-US"/>
        </w:rPr>
        <w:t xml:space="preserve"> The model is used to infer most likely mutated genes to derive matching phosphorylation activity as observed </w:t>
      </w:r>
      <w:r w:rsidR="00F84FED" w:rsidRPr="008F7397">
        <w:rPr>
          <w:rFonts w:asciiTheme="majorBidi" w:hAnsiTheme="majorBidi" w:cstheme="majorBidi"/>
          <w:i/>
          <w:sz w:val="24"/>
          <w:szCs w:val="24"/>
          <w:lang w:val="en-US"/>
        </w:rPr>
        <w:t>in-vitro</w:t>
      </w:r>
      <w:r w:rsidR="00F84FED" w:rsidRPr="008F7397">
        <w:rPr>
          <w:rFonts w:asciiTheme="majorBidi" w:hAnsiTheme="majorBidi" w:cstheme="majorBidi"/>
          <w:sz w:val="24"/>
          <w:szCs w:val="24"/>
          <w:lang w:val="en-US"/>
        </w:rPr>
        <w:t xml:space="preserve">. The best fit model is chosen according to ability to infer phosphorylation activity compared to </w:t>
      </w:r>
      <w:proofErr w:type="gramStart"/>
      <w:r w:rsidR="00F84FED" w:rsidRPr="008F7397">
        <w:rPr>
          <w:rFonts w:asciiTheme="majorBidi" w:hAnsiTheme="majorBidi" w:cstheme="majorBidi"/>
          <w:sz w:val="24"/>
          <w:szCs w:val="24"/>
          <w:lang w:val="en-US"/>
        </w:rPr>
        <w:t>measured</w:t>
      </w:r>
      <w:proofErr w:type="gramEnd"/>
      <w:r w:rsidR="00F84FED" w:rsidRPr="008F7397">
        <w:rPr>
          <w:rFonts w:asciiTheme="majorBidi" w:hAnsiTheme="majorBidi" w:cstheme="majorBidi"/>
          <w:sz w:val="24"/>
          <w:szCs w:val="24"/>
          <w:lang w:val="en-US"/>
        </w:rPr>
        <w:t xml:space="preserve"> RPPA. Showing here top four model candidates for source of resistance in R1. The first model, predicting mutation in RAS and PI3K, showing the best correlation.</w:t>
      </w:r>
    </w:p>
    <w:p w:rsidR="008C383F" w:rsidRPr="008F7397" w:rsidRDefault="00C6175B" w:rsidP="00943184">
      <w:pPr>
        <w:pStyle w:val="Acknowledgement"/>
        <w:pageBreakBefore/>
        <w:spacing w:line="480" w:lineRule="auto"/>
        <w:ind w:left="0" w:firstLine="0"/>
        <w:jc w:val="both"/>
      </w:pPr>
      <w:r w:rsidRPr="008F7397">
        <w:rPr>
          <w:rFonts w:asciiTheme="majorBidi" w:hAnsiTheme="majorBidi" w:cstheme="majorBidi"/>
          <w:b/>
          <w:bCs/>
          <w:noProof/>
          <w:lang w:val="en-GB" w:eastAsia="en-GB"/>
        </w:rPr>
        <w:lastRenderedPageBreak/>
        <w:drawing>
          <wp:inline distT="0" distB="0" distL="0" distR="0">
            <wp:extent cx="5274310" cy="7127875"/>
            <wp:effectExtent l="19050" t="0" r="2540" b="0"/>
            <wp:docPr id="9" name="Picture 8" descr="Figure3extended2Boo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extended2Boolean.png"/>
                    <pic:cNvPicPr/>
                  </pic:nvPicPr>
                  <pic:blipFill>
                    <a:blip r:embed="rId13" cstate="print"/>
                    <a:stretch>
                      <a:fillRect/>
                    </a:stretch>
                  </pic:blipFill>
                  <pic:spPr>
                    <a:xfrm>
                      <a:off x="0" y="0"/>
                      <a:ext cx="5274310" cy="7127875"/>
                    </a:xfrm>
                    <a:prstGeom prst="rect">
                      <a:avLst/>
                    </a:prstGeom>
                  </pic:spPr>
                </pic:pic>
              </a:graphicData>
            </a:graphic>
          </wp:inline>
        </w:drawing>
      </w:r>
      <w:r w:rsidR="008C383F" w:rsidRPr="008F7397">
        <w:rPr>
          <w:rFonts w:asciiTheme="majorBidi" w:hAnsiTheme="majorBidi" w:cstheme="majorBidi"/>
          <w:b/>
          <w:bCs/>
        </w:rPr>
        <w:t>Figure S5. Generation of a Boolean model to predict phosphorylation events</w:t>
      </w:r>
      <w:r w:rsidR="00775454" w:rsidRPr="008F7397">
        <w:rPr>
          <w:rFonts w:asciiTheme="majorBidi" w:hAnsiTheme="majorBidi" w:cstheme="majorBidi"/>
          <w:b/>
          <w:bCs/>
        </w:rPr>
        <w:t>, responses</w:t>
      </w:r>
      <w:r w:rsidR="008C383F" w:rsidRPr="008F7397">
        <w:rPr>
          <w:rFonts w:asciiTheme="majorBidi" w:hAnsiTheme="majorBidi" w:cstheme="majorBidi"/>
          <w:b/>
          <w:bCs/>
        </w:rPr>
        <w:t xml:space="preserve"> </w:t>
      </w:r>
      <w:r w:rsidR="00775454" w:rsidRPr="008F7397">
        <w:rPr>
          <w:rFonts w:asciiTheme="majorBidi" w:hAnsiTheme="majorBidi" w:cstheme="majorBidi"/>
          <w:b/>
          <w:bCs/>
        </w:rPr>
        <w:t>to single treatment and synergistic combinations of treatments</w:t>
      </w:r>
      <w:r w:rsidR="008C383F" w:rsidRPr="008F7397">
        <w:rPr>
          <w:rFonts w:asciiTheme="majorBidi" w:hAnsiTheme="majorBidi" w:cstheme="majorBidi"/>
          <w:b/>
          <w:bCs/>
        </w:rPr>
        <w:t xml:space="preserve">. </w:t>
      </w:r>
      <w:r w:rsidR="008C383F" w:rsidRPr="008F7397">
        <w:t xml:space="preserve">Activity of proteins was relaxed to binary (ON or OFF) and a new model </w:t>
      </w:r>
      <w:r w:rsidR="008C383F" w:rsidRPr="008F7397">
        <w:rPr>
          <w:rFonts w:asciiTheme="majorBidi" w:hAnsiTheme="majorBidi" w:cstheme="majorBidi"/>
        </w:rPr>
        <w:t xml:space="preserve">was generated using the same </w:t>
      </w:r>
      <w:r w:rsidR="00775454" w:rsidRPr="008F7397">
        <w:rPr>
          <w:rFonts w:asciiTheme="majorBidi" w:hAnsiTheme="majorBidi" w:cstheme="majorBidi"/>
        </w:rPr>
        <w:t>methodology</w:t>
      </w:r>
      <w:r w:rsidR="008C383F" w:rsidRPr="008F7397">
        <w:rPr>
          <w:rFonts w:asciiTheme="majorBidi" w:hAnsiTheme="majorBidi" w:cstheme="majorBidi"/>
        </w:rPr>
        <w:t xml:space="preserve"> as described in the main text</w:t>
      </w:r>
      <w:r w:rsidR="00775454" w:rsidRPr="008F7397">
        <w:rPr>
          <w:rFonts w:asciiTheme="majorBidi" w:hAnsiTheme="majorBidi" w:cstheme="majorBidi"/>
        </w:rPr>
        <w:t xml:space="preserve"> for the cell-specific AML model: </w:t>
      </w:r>
      <w:r w:rsidR="008C383F" w:rsidRPr="008F7397">
        <w:rPr>
          <w:rFonts w:asciiTheme="majorBidi" w:hAnsiTheme="majorBidi" w:cstheme="majorBidi"/>
        </w:rPr>
        <w:lastRenderedPageBreak/>
        <w:t xml:space="preserve">MOLM16 and MV411 </w:t>
      </w:r>
      <w:r w:rsidR="00775454" w:rsidRPr="008F7397">
        <w:rPr>
          <w:rFonts w:asciiTheme="majorBidi" w:hAnsiTheme="majorBidi" w:cstheme="majorBidi"/>
        </w:rPr>
        <w:t xml:space="preserve">cell lines were used as training sets </w:t>
      </w:r>
      <w:r w:rsidR="008C383F" w:rsidRPr="008F7397">
        <w:rPr>
          <w:rFonts w:asciiTheme="majorBidi" w:hAnsiTheme="majorBidi" w:cstheme="majorBidi"/>
        </w:rPr>
        <w:t>and EOL1 and KG1a</w:t>
      </w:r>
      <w:r w:rsidR="00775454" w:rsidRPr="008F7397">
        <w:rPr>
          <w:rFonts w:asciiTheme="majorBidi" w:hAnsiTheme="majorBidi" w:cstheme="majorBidi"/>
        </w:rPr>
        <w:t xml:space="preserve"> were used as test sets</w:t>
      </w:r>
      <w:r w:rsidR="008C383F" w:rsidRPr="008F7397">
        <w:rPr>
          <w:rFonts w:asciiTheme="majorBidi" w:hAnsiTheme="majorBidi" w:cstheme="majorBidi"/>
        </w:rPr>
        <w:t xml:space="preserve">. As for treatments we trained with AZD1208 and AC220, and tested with MEK inhibitor, AKT inhibitor, PI3K inhibitor and their combination with PIM inhibitor. (A) </w:t>
      </w:r>
      <w:r w:rsidR="008C383F" w:rsidRPr="008F7397">
        <w:t xml:space="preserve">Protein signaling activity (phosphorylation) levels inferred </w:t>
      </w:r>
      <w:r w:rsidR="008C383F" w:rsidRPr="008F7397">
        <w:rPr>
          <w:i/>
        </w:rPr>
        <w:t>in-silico</w:t>
      </w:r>
      <w:r w:rsidR="008C383F" w:rsidRPr="008F7397">
        <w:t xml:space="preserve"> using the </w:t>
      </w:r>
      <w:r w:rsidR="00943184" w:rsidRPr="008F7397">
        <w:t>Boolean model</w:t>
      </w:r>
      <w:r w:rsidR="008C383F" w:rsidRPr="008F7397">
        <w:t xml:space="preserve"> (laptop icon) capturing levels of phosphorylation activity as measured </w:t>
      </w:r>
      <w:r w:rsidR="008C383F" w:rsidRPr="008F7397">
        <w:rPr>
          <w:i/>
        </w:rPr>
        <w:t>in-vitro</w:t>
      </w:r>
      <w:r w:rsidR="008C383F" w:rsidRPr="008F7397">
        <w:t xml:space="preserve"> (petri-dish). (B) Cell apoptosis and proliferation as inferred </w:t>
      </w:r>
      <w:r w:rsidR="008C383F" w:rsidRPr="008F7397">
        <w:rPr>
          <w:i/>
        </w:rPr>
        <w:t>in-silico</w:t>
      </w:r>
      <w:r w:rsidR="008C383F" w:rsidRPr="008F7397">
        <w:t xml:space="preserve"> by the </w:t>
      </w:r>
      <w:r w:rsidR="00943184" w:rsidRPr="008F7397">
        <w:t xml:space="preserve">Boolean </w:t>
      </w:r>
      <w:r w:rsidR="008C383F" w:rsidRPr="008F7397">
        <w:t xml:space="preserve">model compared to levels as observed </w:t>
      </w:r>
      <w:r w:rsidR="008C383F" w:rsidRPr="008F7397">
        <w:rPr>
          <w:i/>
        </w:rPr>
        <w:t>in-vitro</w:t>
      </w:r>
      <w:r w:rsidR="008C383F" w:rsidRPr="008F7397">
        <w:t>. (C) Unseen cell lines EOL1 and KG1A are incorp</w:t>
      </w:r>
      <w:r w:rsidR="00943184" w:rsidRPr="008F7397">
        <w:t>orated to the executable Boolean</w:t>
      </w:r>
      <w:r w:rsidR="008C383F" w:rsidRPr="008F7397">
        <w:t xml:space="preserve"> model. The robustness of the model is tested via the ability of the model to capture the phosphorylation activity unseen at the time of model construction, and (D) Cell behavior as a result of different perturbations. (E) Predicted cell behavior of apoptosis and proliferations is validated via growth inhibition of AML cell lines cultured with the indicated concentration ranges of AZD1208 and/or tested combined inhibitor after 72 hours.</w:t>
      </w:r>
    </w:p>
    <w:p w:rsidR="008C383F" w:rsidRPr="008F7397" w:rsidRDefault="00C6175B" w:rsidP="00943184">
      <w:pPr>
        <w:pStyle w:val="Acknowledgement"/>
        <w:pageBreakBefore/>
        <w:spacing w:line="480" w:lineRule="auto"/>
        <w:ind w:left="0" w:firstLine="0"/>
        <w:jc w:val="both"/>
      </w:pPr>
      <w:r w:rsidRPr="008F7397">
        <w:rPr>
          <w:rFonts w:asciiTheme="majorBidi" w:hAnsiTheme="majorBidi" w:cstheme="majorBidi"/>
          <w:b/>
          <w:bCs/>
          <w:noProof/>
          <w:lang w:val="en-GB" w:eastAsia="en-GB"/>
        </w:rPr>
        <w:lastRenderedPageBreak/>
        <w:drawing>
          <wp:inline distT="0" distB="0" distL="0" distR="0">
            <wp:extent cx="5274310" cy="7183755"/>
            <wp:effectExtent l="19050" t="0" r="2540" b="0"/>
            <wp:docPr id="10" name="Picture 9" descr="Figure3extended2AN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extended2ANDOR.png"/>
                    <pic:cNvPicPr/>
                  </pic:nvPicPr>
                  <pic:blipFill>
                    <a:blip r:embed="rId14" cstate="print"/>
                    <a:stretch>
                      <a:fillRect/>
                    </a:stretch>
                  </pic:blipFill>
                  <pic:spPr>
                    <a:xfrm>
                      <a:off x="0" y="0"/>
                      <a:ext cx="5274310" cy="7183755"/>
                    </a:xfrm>
                    <a:prstGeom prst="rect">
                      <a:avLst/>
                    </a:prstGeom>
                  </pic:spPr>
                </pic:pic>
              </a:graphicData>
            </a:graphic>
          </wp:inline>
        </w:drawing>
      </w:r>
      <w:r w:rsidR="008C383F" w:rsidRPr="008F7397">
        <w:rPr>
          <w:rFonts w:asciiTheme="majorBidi" w:hAnsiTheme="majorBidi" w:cstheme="majorBidi"/>
          <w:b/>
          <w:bCs/>
        </w:rPr>
        <w:t xml:space="preserve">Figure S6. Generation of an AND/OR model to predict phosphorylation events, </w:t>
      </w:r>
      <w:r w:rsidR="00943184" w:rsidRPr="008F7397">
        <w:rPr>
          <w:rFonts w:asciiTheme="majorBidi" w:hAnsiTheme="majorBidi" w:cstheme="majorBidi"/>
          <w:b/>
          <w:bCs/>
        </w:rPr>
        <w:t>responses to single treatment and synergistic combinations of treatments</w:t>
      </w:r>
      <w:r w:rsidR="008C383F" w:rsidRPr="008F7397">
        <w:rPr>
          <w:rFonts w:asciiTheme="majorBidi" w:hAnsiTheme="majorBidi" w:cstheme="majorBidi"/>
          <w:b/>
          <w:bCs/>
        </w:rPr>
        <w:t xml:space="preserve">. </w:t>
      </w:r>
      <w:r w:rsidR="008C383F" w:rsidRPr="008F7397">
        <w:t xml:space="preserve">Activity of relations is limited to AND/OR/NOT gates only and a new model </w:t>
      </w:r>
      <w:r w:rsidR="008C383F" w:rsidRPr="008F7397">
        <w:rPr>
          <w:rFonts w:asciiTheme="majorBidi" w:hAnsiTheme="majorBidi" w:cstheme="majorBidi"/>
        </w:rPr>
        <w:t xml:space="preserve">was generated using the same </w:t>
      </w:r>
      <w:r w:rsidR="00943184" w:rsidRPr="008F7397">
        <w:rPr>
          <w:rFonts w:asciiTheme="majorBidi" w:hAnsiTheme="majorBidi" w:cstheme="majorBidi"/>
        </w:rPr>
        <w:t xml:space="preserve">methodology </w:t>
      </w:r>
      <w:r w:rsidR="008C383F" w:rsidRPr="008F7397">
        <w:rPr>
          <w:rFonts w:asciiTheme="majorBidi" w:hAnsiTheme="majorBidi" w:cstheme="majorBidi"/>
        </w:rPr>
        <w:t>as described in the main text</w:t>
      </w:r>
      <w:r w:rsidR="00943184" w:rsidRPr="008F7397">
        <w:rPr>
          <w:rFonts w:asciiTheme="majorBidi" w:hAnsiTheme="majorBidi" w:cstheme="majorBidi"/>
        </w:rPr>
        <w:t xml:space="preserve"> for the cell-specific AML </w:t>
      </w:r>
      <w:r w:rsidR="00943184" w:rsidRPr="008F7397">
        <w:rPr>
          <w:rFonts w:asciiTheme="majorBidi" w:hAnsiTheme="majorBidi" w:cstheme="majorBidi"/>
        </w:rPr>
        <w:lastRenderedPageBreak/>
        <w:t>model: MOLM16 and MV411 cell lines were used as training sets and EOL1 and KG1a were used as test sets</w:t>
      </w:r>
      <w:r w:rsidR="008C383F" w:rsidRPr="008F7397">
        <w:rPr>
          <w:rFonts w:asciiTheme="majorBidi" w:hAnsiTheme="majorBidi" w:cstheme="majorBidi"/>
        </w:rPr>
        <w:t xml:space="preserve">. As for treatments we trained with AZD1208 and AC220, and tested with MEK inhibitor, AKT inhibitor, PI3K inhibitor and their combination with PIM inhibitor. (A) </w:t>
      </w:r>
      <w:r w:rsidR="008C383F" w:rsidRPr="008F7397">
        <w:t xml:space="preserve">Protein signaling activity (phosphorylation) levels inferred </w:t>
      </w:r>
      <w:r w:rsidR="008C383F" w:rsidRPr="008F7397">
        <w:rPr>
          <w:i/>
        </w:rPr>
        <w:t>in-silico</w:t>
      </w:r>
      <w:r w:rsidR="008C383F" w:rsidRPr="008F7397">
        <w:t xml:space="preserve"> using the </w:t>
      </w:r>
      <w:r w:rsidR="00943184" w:rsidRPr="008F7397">
        <w:t>AND/OR gates model</w:t>
      </w:r>
      <w:r w:rsidR="008C383F" w:rsidRPr="008F7397">
        <w:t xml:space="preserve"> (laptop icon) capturing levels of phosphorylation activity as measured </w:t>
      </w:r>
      <w:r w:rsidR="008C383F" w:rsidRPr="008F7397">
        <w:rPr>
          <w:i/>
        </w:rPr>
        <w:t>in-vitro</w:t>
      </w:r>
      <w:r w:rsidR="008C383F" w:rsidRPr="008F7397">
        <w:t xml:space="preserve"> (petri-dish). (B) Cell apoptosis and proliferation as inferred </w:t>
      </w:r>
      <w:r w:rsidR="008C383F" w:rsidRPr="008F7397">
        <w:rPr>
          <w:i/>
        </w:rPr>
        <w:t>in-silico</w:t>
      </w:r>
      <w:r w:rsidR="008C383F" w:rsidRPr="008F7397">
        <w:t xml:space="preserve"> by the </w:t>
      </w:r>
      <w:r w:rsidR="00943184" w:rsidRPr="008F7397">
        <w:t xml:space="preserve">AND/OR gates </w:t>
      </w:r>
      <w:r w:rsidR="008C383F" w:rsidRPr="008F7397">
        <w:t xml:space="preserve">model compared to levels as observed </w:t>
      </w:r>
      <w:r w:rsidR="008C383F" w:rsidRPr="008F7397">
        <w:rPr>
          <w:i/>
        </w:rPr>
        <w:t>in-vitro</w:t>
      </w:r>
      <w:r w:rsidR="008C383F" w:rsidRPr="008F7397">
        <w:t xml:space="preserve">. (C) Unseen cell lines EOL1 and KG1A are incorporated to the </w:t>
      </w:r>
      <w:r w:rsidR="00943184" w:rsidRPr="008F7397">
        <w:t>AND/OR gates</w:t>
      </w:r>
      <w:r w:rsidR="008C383F" w:rsidRPr="008F7397">
        <w:t xml:space="preserve"> model. The robustness of the model is tested via the ability of the model to capture the phosphorylation activity unseen at the time of model construction, and (D) Cell behavior as a result of different perturbations. (E) Predicted cell behavior of apoptosis and proliferations is validated via growth inhibition of AML cell lines cultured with the indicated concentration ranges of AZD1208 and/or tested combined inhibitor after 72 hours.</w:t>
      </w:r>
    </w:p>
    <w:p w:rsidR="008C383F" w:rsidRPr="008F7397" w:rsidRDefault="008C383F" w:rsidP="008C383F">
      <w:pPr>
        <w:pStyle w:val="Paragraph"/>
        <w:spacing w:line="480" w:lineRule="auto"/>
        <w:ind w:firstLine="0"/>
        <w:jc w:val="both"/>
        <w:rPr>
          <w:rFonts w:asciiTheme="majorBidi" w:hAnsiTheme="majorBidi" w:cstheme="majorBidi"/>
          <w:b/>
          <w:bCs/>
        </w:rPr>
      </w:pPr>
    </w:p>
    <w:p w:rsidR="00F84FED" w:rsidRPr="008F7397" w:rsidRDefault="0004568F" w:rsidP="00183843">
      <w:pPr>
        <w:pageBreakBefore/>
        <w:spacing w:line="480" w:lineRule="auto"/>
        <w:jc w:val="both"/>
        <w:rPr>
          <w:rFonts w:asciiTheme="majorBidi" w:hAnsiTheme="majorBidi" w:cstheme="majorBidi"/>
          <w:bCs/>
          <w:sz w:val="24"/>
          <w:szCs w:val="24"/>
          <w:lang w:val="en-US"/>
        </w:rPr>
      </w:pPr>
      <w:r>
        <w:rPr>
          <w:rFonts w:asciiTheme="majorBidi" w:hAnsiTheme="majorBidi" w:cstheme="majorBidi"/>
          <w:b/>
          <w:sz w:val="24"/>
          <w:szCs w:val="24"/>
          <w:lang w:val="en-US"/>
        </w:rPr>
        <w:lastRenderedPageBreak/>
        <w:t>Table S8</w:t>
      </w:r>
      <w:r w:rsidR="005D1876" w:rsidRPr="008F7397">
        <w:rPr>
          <w:rFonts w:asciiTheme="majorBidi" w:hAnsiTheme="majorBidi" w:cstheme="majorBidi"/>
          <w:b/>
          <w:sz w:val="24"/>
          <w:szCs w:val="24"/>
          <w:lang w:val="en-US"/>
        </w:rPr>
        <w:t>. Target f</w:t>
      </w:r>
      <w:r w:rsidR="00F84FED" w:rsidRPr="008F7397">
        <w:rPr>
          <w:rFonts w:asciiTheme="majorBidi" w:hAnsiTheme="majorBidi" w:cstheme="majorBidi"/>
          <w:b/>
          <w:sz w:val="24"/>
          <w:szCs w:val="24"/>
          <w:lang w:val="en-US"/>
        </w:rPr>
        <w:t>unctions for AML general model and cell specific calibrated AML model</w:t>
      </w:r>
      <w:r w:rsidR="00F84FED" w:rsidRPr="008F7397">
        <w:rPr>
          <w:rFonts w:asciiTheme="majorBidi" w:hAnsiTheme="majorBidi" w:cstheme="majorBidi"/>
          <w:sz w:val="24"/>
          <w:szCs w:val="24"/>
          <w:lang w:val="en-US"/>
        </w:rPr>
        <w:t xml:space="preserve">. </w:t>
      </w:r>
      <w:r w:rsidR="00F84FED" w:rsidRPr="008F7397">
        <w:rPr>
          <w:rFonts w:asciiTheme="majorBidi" w:hAnsiTheme="majorBidi" w:cstheme="majorBidi"/>
          <w:bCs/>
          <w:sz w:val="24"/>
          <w:szCs w:val="24"/>
          <w:lang w:val="en-US"/>
        </w:rPr>
        <w:t xml:space="preserve">The general model is constructed by integrating prior knowledge from literature. Building on this model, </w:t>
      </w:r>
      <w:r w:rsidR="00F84FED" w:rsidRPr="008F7397">
        <w:rPr>
          <w:rFonts w:asciiTheme="majorBidi" w:hAnsiTheme="majorBidi" w:cstheme="majorBidi"/>
          <w:sz w:val="24"/>
          <w:szCs w:val="24"/>
        </w:rPr>
        <w:t xml:space="preserve">the </w:t>
      </w:r>
      <w:r w:rsidR="00F84FED" w:rsidRPr="008F7397">
        <w:rPr>
          <w:rFonts w:asciiTheme="majorBidi" w:hAnsiTheme="majorBidi" w:cstheme="majorBidi"/>
          <w:sz w:val="24"/>
          <w:szCs w:val="24"/>
          <w:lang w:val="en-US"/>
        </w:rPr>
        <w:t xml:space="preserve">target function </w:t>
      </w:r>
      <w:r w:rsidR="00F84FED" w:rsidRPr="008F7397">
        <w:rPr>
          <w:rFonts w:asciiTheme="majorBidi" w:hAnsiTheme="majorBidi" w:cstheme="majorBidi"/>
          <w:sz w:val="24"/>
          <w:szCs w:val="24"/>
        </w:rPr>
        <w:t xml:space="preserve">in the cell specific model are iteratively refined: the </w:t>
      </w:r>
      <w:r w:rsidR="00F84FED" w:rsidRPr="008F7397">
        <w:rPr>
          <w:rFonts w:asciiTheme="majorBidi" w:hAnsiTheme="majorBidi" w:cstheme="majorBidi"/>
          <w:sz w:val="24"/>
          <w:szCs w:val="24"/>
          <w:lang w:val="en-US"/>
        </w:rPr>
        <w:t>target function for each internal node is designed to reflect the level of phosphorylation activity as measured by the transformed RPPA data for a specific cell as well as the qualitative activity reported in the literature. MOLM16, TYK2, PDGFRA and FGFR1 represent driver mutations.</w:t>
      </w:r>
      <w:r w:rsidR="00943184" w:rsidRPr="008F7397">
        <w:rPr>
          <w:rFonts w:asciiTheme="majorBidi" w:hAnsiTheme="majorBidi" w:cstheme="majorBidi"/>
          <w:bCs/>
          <w:sz w:val="24"/>
          <w:szCs w:val="24"/>
          <w:lang w:val="en-US"/>
        </w:rPr>
        <w:t xml:space="preserve"> </w:t>
      </w:r>
      <w:r w:rsidR="00943184" w:rsidRPr="008F7397">
        <w:rPr>
          <w:rFonts w:asciiTheme="majorBidi" w:hAnsiTheme="majorBidi" w:cstheme="majorBidi"/>
          <w:bCs/>
          <w:sz w:val="24"/>
          <w:szCs w:val="24"/>
        </w:rPr>
        <w:t xml:space="preserve">MAX function corresponds to independent activation by upstream proteins, while MIN corresponds to dependant </w:t>
      </w:r>
      <w:r w:rsidR="00943184" w:rsidRPr="008F7397">
        <w:rPr>
          <w:rFonts w:asciiTheme="majorBidi" w:hAnsiTheme="majorBidi" w:cstheme="majorBidi"/>
          <w:bCs/>
          <w:sz w:val="24"/>
          <w:szCs w:val="24"/>
        </w:rPr>
        <w:lastRenderedPageBreak/>
        <w:t>activation, such that the effect is governed by the lower expression of the two upstream proteins. + corresponded to additive effect, and * is used to assign magnitude of effect.</w:t>
      </w:r>
    </w:p>
    <w:tbl>
      <w:tblPr>
        <w:tblStyle w:val="TableGrid"/>
        <w:tblW w:w="8613" w:type="dxa"/>
        <w:tblLayout w:type="fixed"/>
        <w:tblLook w:val="04A0" w:firstRow="1" w:lastRow="0" w:firstColumn="1" w:lastColumn="0" w:noHBand="0" w:noVBand="1"/>
      </w:tblPr>
      <w:tblGrid>
        <w:gridCol w:w="1173"/>
        <w:gridCol w:w="1195"/>
        <w:gridCol w:w="1709"/>
        <w:gridCol w:w="4536"/>
      </w:tblGrid>
      <w:tr w:rsidR="00183843" w:rsidRPr="008F7397" w:rsidTr="00016195">
        <w:trPr>
          <w:cantSplit/>
        </w:trPr>
        <w:tc>
          <w:tcPr>
            <w:tcW w:w="1173" w:type="dxa"/>
            <w:tcBorders>
              <w:top w:val="single" w:sz="4" w:space="0" w:color="auto"/>
            </w:tcBorders>
          </w:tcPr>
          <w:p w:rsidR="00183843" w:rsidRPr="008F7397" w:rsidRDefault="00183843" w:rsidP="00017D03">
            <w:pPr>
              <w:rPr>
                <w:rFonts w:asciiTheme="majorBidi" w:hAnsiTheme="majorBidi" w:cstheme="majorBidi"/>
                <w:b/>
                <w:sz w:val="24"/>
                <w:szCs w:val="24"/>
              </w:rPr>
            </w:pPr>
            <w:r w:rsidRPr="008F7397">
              <w:rPr>
                <w:rFonts w:asciiTheme="majorBidi" w:hAnsiTheme="majorBidi" w:cstheme="majorBidi"/>
                <w:b/>
                <w:sz w:val="24"/>
                <w:szCs w:val="24"/>
              </w:rPr>
              <w:lastRenderedPageBreak/>
              <w:t>Protein/Node</w:t>
            </w:r>
          </w:p>
        </w:tc>
        <w:tc>
          <w:tcPr>
            <w:tcW w:w="1195" w:type="dxa"/>
            <w:tcBorders>
              <w:top w:val="single" w:sz="4" w:space="0" w:color="auto"/>
            </w:tcBorders>
          </w:tcPr>
          <w:p w:rsidR="00183843" w:rsidRPr="008F7397" w:rsidRDefault="00183843" w:rsidP="00183843">
            <w:pPr>
              <w:rPr>
                <w:rFonts w:asciiTheme="majorBidi" w:hAnsiTheme="majorBidi" w:cstheme="majorBidi"/>
                <w:b/>
                <w:sz w:val="24"/>
                <w:szCs w:val="24"/>
              </w:rPr>
            </w:pPr>
            <w:r w:rsidRPr="008F7397">
              <w:rPr>
                <w:rFonts w:asciiTheme="majorBidi" w:hAnsiTheme="majorBidi" w:cstheme="majorBidi"/>
                <w:b/>
                <w:sz w:val="24"/>
                <w:szCs w:val="24"/>
              </w:rPr>
              <w:t>GeneralModel</w:t>
            </w:r>
          </w:p>
        </w:tc>
        <w:tc>
          <w:tcPr>
            <w:tcW w:w="1709" w:type="dxa"/>
            <w:tcBorders>
              <w:top w:val="single" w:sz="4" w:space="0" w:color="auto"/>
            </w:tcBorders>
          </w:tcPr>
          <w:p w:rsidR="00183843" w:rsidRPr="008F7397" w:rsidRDefault="00183843" w:rsidP="00183843">
            <w:pPr>
              <w:rPr>
                <w:rFonts w:asciiTheme="majorBidi" w:hAnsiTheme="majorBidi" w:cstheme="majorBidi"/>
                <w:b/>
                <w:sz w:val="24"/>
                <w:szCs w:val="24"/>
              </w:rPr>
            </w:pPr>
            <w:r w:rsidRPr="008F7397">
              <w:rPr>
                <w:rFonts w:asciiTheme="majorBidi" w:hAnsiTheme="majorBidi" w:cstheme="majorBidi"/>
                <w:b/>
                <w:sz w:val="24"/>
                <w:szCs w:val="24"/>
              </w:rPr>
              <w:t>Cell Specific Model</w:t>
            </w:r>
          </w:p>
        </w:tc>
        <w:tc>
          <w:tcPr>
            <w:tcW w:w="4536" w:type="dxa"/>
            <w:tcBorders>
              <w:top w:val="single" w:sz="4" w:space="0" w:color="auto"/>
            </w:tcBorders>
          </w:tcPr>
          <w:p w:rsidR="00183843" w:rsidRPr="008F7397" w:rsidRDefault="00BD0638" w:rsidP="00017D03">
            <w:pPr>
              <w:rPr>
                <w:rFonts w:asciiTheme="majorBidi" w:hAnsiTheme="majorBidi" w:cstheme="majorBidi"/>
                <w:b/>
                <w:sz w:val="24"/>
                <w:szCs w:val="24"/>
              </w:rPr>
            </w:pPr>
            <w:r w:rsidRPr="008F7397">
              <w:rPr>
                <w:rFonts w:asciiTheme="majorBidi" w:hAnsiTheme="majorBidi" w:cstheme="majorBidi"/>
                <w:b/>
                <w:sz w:val="24"/>
                <w:szCs w:val="24"/>
              </w:rPr>
              <w:t>Literature and Experimental Supporting Evidences</w:t>
            </w:r>
          </w:p>
        </w:tc>
      </w:tr>
      <w:tr w:rsidR="00183843" w:rsidRPr="008F7397" w:rsidTr="00183843">
        <w:trPr>
          <w:cantSplit/>
        </w:trPr>
        <w:tc>
          <w:tcPr>
            <w:tcW w:w="1173" w:type="dxa"/>
          </w:tcPr>
          <w:p w:rsidR="00183843" w:rsidRPr="008F7397" w:rsidRDefault="00183843" w:rsidP="00EB3FAC">
            <w:pPr>
              <w:rPr>
                <w:rFonts w:asciiTheme="majorBidi" w:hAnsiTheme="majorBidi" w:cstheme="majorBidi"/>
                <w:bCs/>
                <w:sz w:val="24"/>
                <w:szCs w:val="24"/>
              </w:rPr>
            </w:pPr>
            <w:r w:rsidRPr="008F7397">
              <w:rPr>
                <w:rFonts w:asciiTheme="majorBidi" w:hAnsiTheme="majorBidi" w:cstheme="majorBidi"/>
                <w:bCs/>
                <w:sz w:val="24"/>
                <w:szCs w:val="24"/>
              </w:rPr>
              <w:t>PIM1</w:t>
            </w:r>
          </w:p>
        </w:tc>
        <w:tc>
          <w:tcPr>
            <w:tcW w:w="1195" w:type="dxa"/>
          </w:tcPr>
          <w:p w:rsidR="00183843" w:rsidRPr="008F7397" w:rsidRDefault="00183843" w:rsidP="00EB3FAC">
            <w:pPr>
              <w:rPr>
                <w:rFonts w:asciiTheme="majorBidi" w:hAnsiTheme="majorBidi" w:cstheme="majorBidi"/>
                <w:bCs/>
                <w:sz w:val="24"/>
                <w:szCs w:val="24"/>
              </w:rPr>
            </w:pPr>
            <w:r w:rsidRPr="008F7397">
              <w:rPr>
                <w:rFonts w:asciiTheme="majorBidi" w:hAnsiTheme="majorBidi" w:cstheme="majorBidi"/>
                <w:bCs/>
                <w:sz w:val="24"/>
                <w:szCs w:val="24"/>
              </w:rPr>
              <w:t>AVG(STAT3, STAT5)</w:t>
            </w:r>
          </w:p>
        </w:tc>
        <w:tc>
          <w:tcPr>
            <w:tcW w:w="1709" w:type="dxa"/>
          </w:tcPr>
          <w:p w:rsidR="00183843" w:rsidRPr="008F7397" w:rsidRDefault="00183843" w:rsidP="00EB3FAC">
            <w:pPr>
              <w:rPr>
                <w:rFonts w:asciiTheme="majorBidi" w:hAnsiTheme="majorBidi" w:cstheme="majorBidi"/>
                <w:bCs/>
                <w:sz w:val="24"/>
                <w:szCs w:val="24"/>
              </w:rPr>
            </w:pPr>
            <w:r w:rsidRPr="008F7397">
              <w:rPr>
                <w:rFonts w:asciiTheme="majorBidi" w:hAnsiTheme="majorBidi" w:cstheme="majorBidi"/>
                <w:bCs/>
                <w:sz w:val="24"/>
                <w:szCs w:val="24"/>
              </w:rPr>
              <w:t>max(3/4*FltITD,TYK2,3/4*PDGFRA,FGFR1)</w:t>
            </w:r>
          </w:p>
          <w:p w:rsidR="00183843" w:rsidRPr="008F7397" w:rsidRDefault="00183843" w:rsidP="00EB3FAC">
            <w:pPr>
              <w:rPr>
                <w:rFonts w:asciiTheme="majorBidi" w:hAnsiTheme="majorBidi" w:cstheme="majorBidi"/>
                <w:bCs/>
                <w:sz w:val="24"/>
                <w:szCs w:val="24"/>
              </w:rPr>
            </w:pPr>
          </w:p>
        </w:tc>
        <w:tc>
          <w:tcPr>
            <w:tcW w:w="4536" w:type="dxa"/>
          </w:tcPr>
          <w:p w:rsidR="00183843" w:rsidRPr="008F7397" w:rsidRDefault="00AC4285" w:rsidP="005D7A0D">
            <w:pPr>
              <w:rPr>
                <w:rFonts w:asciiTheme="majorBidi" w:hAnsiTheme="majorBidi" w:cstheme="majorBidi"/>
                <w:bCs/>
                <w:sz w:val="24"/>
                <w:szCs w:val="24"/>
                <w:lang w:val="en-US"/>
              </w:rPr>
            </w:pPr>
            <w:r w:rsidRPr="008F7397">
              <w:rPr>
                <w:rFonts w:asciiTheme="majorBidi" w:hAnsiTheme="majorBidi" w:cstheme="majorBidi"/>
                <w:sz w:val="24"/>
                <w:szCs w:val="24"/>
              </w:rPr>
              <w:t>PIM1 is activated via STAT</w:t>
            </w:r>
            <w:r w:rsidR="00183843" w:rsidRPr="008F7397">
              <w:rPr>
                <w:rFonts w:asciiTheme="majorBidi" w:hAnsiTheme="majorBidi" w:cstheme="majorBidi"/>
                <w:sz w:val="24"/>
                <w:szCs w:val="24"/>
              </w:rPr>
              <w:t xml:space="preserve">s by FLT-ITD, TYK2, </w:t>
            </w:r>
            <w:r w:rsidR="00183843" w:rsidRPr="008F7397">
              <w:rPr>
                <w:rFonts w:asciiTheme="majorBidi" w:hAnsiTheme="majorBidi" w:cstheme="majorBidi"/>
                <w:sz w:val="24"/>
                <w:szCs w:val="24"/>
                <w:lang w:val="en-US"/>
              </w:rPr>
              <w:t>FIP1L1-PDGFRα and FGFR1 fusion (</w:t>
            </w:r>
            <w:r w:rsidR="00760C56" w:rsidRPr="008F7397">
              <w:rPr>
                <w:rFonts w:asciiTheme="majorBidi" w:hAnsiTheme="majorBidi" w:cstheme="majorBidi"/>
                <w:sz w:val="24"/>
                <w:szCs w:val="24"/>
                <w:lang w:val="en-US"/>
              </w:rPr>
              <w:fldChar w:fldCharType="begin"/>
            </w:r>
            <w:r w:rsidR="005D7A0D" w:rsidRPr="008F7397">
              <w:rPr>
                <w:rFonts w:asciiTheme="majorBidi" w:hAnsiTheme="majorBidi" w:cstheme="majorBidi"/>
                <w:sz w:val="24"/>
                <w:szCs w:val="24"/>
                <w:lang w:val="en-US"/>
              </w:rPr>
              <w:instrText xml:space="preserve"> ADDIN ZOTERO_ITEM CSL_CITATION {"citationID":"anne4plle","properties":{"formattedCitation":"[1], [2]","plainCitation":"[1], [2]"},"citationItems":[{"id":312,"uris":["http://zotero.org/users/2553926/items/453GWTBK"],"uri":["http://zotero.org/users/2553926/items/453GWTBK"],"itemData":{"id":312,"type":"article-journal","title":"Src family kinases and their role in hematological malignancies","container-title":"Leukemia &amp; Lymphoma","page":"577-586","volume":"56","issue":"3","source":"PubMed","abstract":"The Src family protein tyrosine kinases (SFKs) are non-receptor intracellular kinases that have important roles in both hematopoiesis and leukemogenesis. The derangement of their expression or activation has been demonstrated to contribute to hematological malignancies. This review first examines the mechanisms of SFK overexpression and hyperactivation, emphasizing the dysregulation of the upstream modulators. Subsequently, the role of SFK up-regulation in the initiation, progression and therapy resistance of many hematological malignancies is also analyzed. The presented evidence endeavors to highlight the influence of SFK up-regulation on an extensive number of hematological malignancies and the need to consider them as candidates in targeted anticancer therapy.","DOI":"10.3109/10428194.2014.907897","ISSN":"1029-2403","note":"PMID: 24898666","journalAbbreviation":"Leuk. Lymphoma","language":"eng","author":[{"family":"Ku","given":"Matthew"},{"family":"Wall","given":"Meaghan"},{"family":"MacKinnon","given":"Ruth N."},{"family":"Walkley","given":"Carl R."},{"family":"Purton","given":"Louise E."},{"family":"Tam","given":"Constantine"},{"family":"Izon","given":"David"},{"family":"Campbell","given":"Lynda"},{"family":"Cheng","given":"Heung-Chin"},{"family":"Nandurkar","given":"Harshal"}],"issued":{"date-parts":[["2015",3]]}},"label":"page"},{"id":320,"uris":["http://zotero.org/users/2553926/items/ABDQ97UH"],"uri":["http://zotero.org/users/2553926/items/ABDQ97UH"],"itemData":{"id":320,"type":"article-journal","title":"AZD1208, a potent and selective pan-Pim kinase inhibitor, demonstrates efficacy in preclinical models of acute myeloid leukemia","container-title":"Blood","page":"905-913","volume":"123","issue":"6","source":"PubMed","abstract":"Upregulation of Pim kinases is observed in several types of leukemias and lymphomas. Pim-1, -2, and -3 promote cell proliferation and survival downstream of cytokine and growth factor signaling pathways. AZD1208 is a potent, highly selective, and orally available Pim kinase inhibitor that effectively inhibits all three isoforms at &lt;5 nM or &lt;150 nM in enzyme and cell assays, respectively. AZD1208 inhibited the growth of 5 of 14 acute myeloid leukemia (AML) cell lines tested, and sensitivity correlates with Pim-1 expression and STAT5 activation. AZD1208 causes cell cycle arrest and apoptosis in MOLM-16 cells, accompanied by a dose-dependent reduction in phosphorylation of Bcl-2 antagonist of cell death, 4EBP1, p70S6K, and S6, as well as increases in cleaved caspase 3 and p27. Inhibition of p4EBP1 and p-p70S6K and suppression of translation are the most representative effects of Pim inhibition in sensitive AML cell lines. AZD1208 inhibits the growth of MOLM-16 and KG-1a xenograft tumors in vivo with a clear pharmacodynamic-pharmacokinetic relationship. AZD1208 also potently inhibits colony growth and Pim signaling substrates in primary AML cells from bone marrow that are Flt3 wild-type or Flt3 internal tandem duplication mutant. These results underscore the therapeutic potential of Pim kinase inhibition for the treatment of AML.","DOI":"10.1182/blood-2013-04-495366","ISSN":"1528-0020","note":"PMID: 24363397\nPMCID: PMC3916880","journalAbbreviation":"Blood","language":"eng","author":[{"family":"Keeton","given":"Erika K."},{"family":"McEachern","given":"Kristen"},{"family":"Dillman","given":"Keith S."},{"family":"Palakurthi","given":"Sangeetha"},{"family":"Cao","given":"Yichen"},{"family":"Grondine","given":"Michael R."},{"family":"Kaur","given":"Surinder"},{"family":"Wang","given":"Suping"},{"family":"Chen","given":"Yuching"},{"family":"Wu","given":"Allan"},{"family":"Shen","given":"Minhui"},{"family":"Gibbons","given":"Francis D."},{"family":"Lamb","given":"Michelle L."},{"family":"Zheng","given":"Xiaolan"},{"family":"Stone","given":"Richard M."},{"family":"Deangelo","given":"Daniel J."},{"family":"Platanias","given":"Leonidas C."},{"family":"Dakin","given":"Les A."},{"family":"Chen","given":"Huawei"},{"family":"Lyne","given":"Paul D."},{"family":"Huszar","given":"Dennis"}],"issued":{"date-parts":[["2014",2,6]]}},"label":"page"}],"schema":"https://github.com/citation-style-language/schema/raw/master/csl-citation.json"} </w:instrText>
            </w:r>
            <w:r w:rsidR="00760C56" w:rsidRPr="008F7397">
              <w:rPr>
                <w:rFonts w:asciiTheme="majorBidi" w:hAnsiTheme="majorBidi" w:cstheme="majorBidi"/>
                <w:sz w:val="24"/>
                <w:szCs w:val="24"/>
                <w:lang w:val="en-US"/>
              </w:rPr>
              <w:fldChar w:fldCharType="separate"/>
            </w:r>
            <w:r w:rsidR="005D7A0D" w:rsidRPr="008F7397">
              <w:rPr>
                <w:rFonts w:ascii="Times New Roman" w:hAnsi="Times New Roman" w:cs="Times New Roman"/>
                <w:sz w:val="24"/>
              </w:rPr>
              <w:t>[1], [2]</w:t>
            </w:r>
            <w:r w:rsidR="00760C56" w:rsidRPr="008F7397">
              <w:rPr>
                <w:rFonts w:asciiTheme="majorBidi" w:hAnsiTheme="majorBidi" w:cstheme="majorBidi"/>
                <w:sz w:val="24"/>
                <w:szCs w:val="24"/>
                <w:lang w:val="en-US"/>
              </w:rPr>
              <w:fldChar w:fldCharType="end"/>
            </w:r>
            <w:r w:rsidR="00183843" w:rsidRPr="008F7397">
              <w:rPr>
                <w:rFonts w:asciiTheme="majorBidi" w:hAnsiTheme="majorBidi" w:cstheme="majorBidi"/>
                <w:sz w:val="24"/>
                <w:szCs w:val="24"/>
                <w:lang w:val="en-US"/>
              </w:rPr>
              <w:t xml:space="preserve">). The effect of TYK2 on PIM1 is </w:t>
            </w:r>
            <w:r w:rsidRPr="008F7397">
              <w:rPr>
                <w:rFonts w:asciiTheme="majorBidi" w:hAnsiTheme="majorBidi" w:cstheme="majorBidi"/>
                <w:sz w:val="24"/>
                <w:szCs w:val="24"/>
                <w:lang w:val="en-US"/>
              </w:rPr>
              <w:t>stronger</w:t>
            </w:r>
            <w:r w:rsidR="00183843" w:rsidRPr="008F7397">
              <w:rPr>
                <w:rFonts w:asciiTheme="majorBidi" w:hAnsiTheme="majorBidi" w:cstheme="majorBidi"/>
                <w:sz w:val="24"/>
                <w:szCs w:val="24"/>
                <w:lang w:val="en-US"/>
              </w:rPr>
              <w:t xml:space="preserve">, as implied by the RPPA measurements (Fig 1A) and previous western blot experiments </w:t>
            </w:r>
            <w:r w:rsidR="00133DC7" w:rsidRPr="008F7397">
              <w:rPr>
                <w:rFonts w:asciiTheme="majorBidi" w:hAnsiTheme="majorBidi" w:cstheme="majorBidi"/>
                <w:sz w:val="24"/>
                <w:szCs w:val="24"/>
                <w:lang w:val="en-US"/>
              </w:rPr>
              <w:t>on</w:t>
            </w:r>
            <w:r w:rsidR="00183843" w:rsidRPr="008F7397">
              <w:rPr>
                <w:rFonts w:asciiTheme="majorBidi" w:hAnsiTheme="majorBidi" w:cstheme="majorBidi"/>
                <w:sz w:val="24"/>
                <w:szCs w:val="24"/>
                <w:lang w:val="en-US"/>
              </w:rPr>
              <w:t xml:space="preserve"> cell lines </w:t>
            </w:r>
            <w:r w:rsidR="00760C56" w:rsidRPr="008F7397">
              <w:rPr>
                <w:rFonts w:asciiTheme="majorBidi" w:hAnsiTheme="majorBidi" w:cstheme="majorBidi"/>
                <w:sz w:val="24"/>
                <w:szCs w:val="24"/>
                <w:lang w:val="en-US"/>
              </w:rPr>
              <w:fldChar w:fldCharType="begin"/>
            </w:r>
            <w:r w:rsidR="005D7A0D" w:rsidRPr="008F7397">
              <w:rPr>
                <w:rFonts w:asciiTheme="majorBidi" w:hAnsiTheme="majorBidi" w:cstheme="majorBidi"/>
                <w:sz w:val="24"/>
                <w:szCs w:val="24"/>
                <w:lang w:val="en-US"/>
              </w:rPr>
              <w:instrText xml:space="preserve"> ADDIN ZOTERO_ITEM CSL_CITATION {"citationID":"FQnnFRWR","properties":{"formattedCitation":"[2]","plainCitation":"[2]"},"citationItems":[{"id":320,"uris":["http://zotero.org/users/2553926/items/ABDQ97UH"],"uri":["http://zotero.org/users/2553926/items/ABDQ97UH"],"itemData":{"id":320,"type":"article-journal","title":"AZD1208, a potent and selective pan-Pim kinase inhibitor, demonstrates efficacy in preclinical models of acute myeloid leukemia","container-title":"Blood","page":"905-913","volume":"123","issue":"6","source":"PubMed","abstract":"Upregulation of Pim kinases is observed in several types of leukemias and lymphomas. Pim-1, -2, and -3 promote cell proliferation and survival downstream of cytokine and growth factor signaling pathways. AZD1208 is a potent, highly selective, and orally available Pim kinase inhibitor that effectively inhibits all three isoforms at &lt;5 nM or &lt;150 nM in enzyme and cell assays, respectively. AZD1208 inhibited the growth of 5 of 14 acute myeloid leukemia (AML) cell lines tested, and sensitivity correlates with Pim-1 expression and STAT5 activation. AZD1208 causes cell cycle arrest and apoptosis in MOLM-16 cells, accompanied by a dose-dependent reduction in phosphorylation of Bcl-2 antagonist of cell death, 4EBP1, p70S6K, and S6, as well as increases in cleaved caspase 3 and p27. Inhibition of p4EBP1 and p-p70S6K and suppression of translation are the most representative effects of Pim inhibition in sensitive AML cell lines. AZD1208 inhibits the growth of MOLM-16 and KG-1a xenograft tumors in vivo with a clear pharmacodynamic-pharmacokinetic relationship. AZD1208 also potently inhibits colony growth and Pim signaling substrates in primary AML cells from bone marrow that are Flt3 wild-type or Flt3 internal tandem duplication mutant. These results underscore the therapeutic potential of Pim kinase inhibition for the treatment of AML.","DOI":"10.1182/blood-2013-04-495366","ISSN":"1528-0020","note":"PMID: 24363397\nPMCID: PMC3916880","journalAbbreviation":"Blood","language":"eng","author":[{"family":"Keeton","given":"Erika K."},{"family":"McEachern","given":"Kristen"},{"family":"Dillman","given":"Keith S."},{"family":"Palakurthi","given":"Sangeetha"},{"family":"Cao","given":"Yichen"},{"family":"Grondine","given":"Michael R."},{"family":"Kaur","given":"Surinder"},{"family":"Wang","given":"Suping"},{"family":"Chen","given":"Yuching"},{"family":"Wu","given":"Allan"},{"family":"Shen","given":"Minhui"},{"family":"Gibbons","given":"Francis D."},{"family":"Lamb","given":"Michelle L."},{"family":"Zheng","given":"Xiaolan"},{"family":"Stone","given":"Richard M."},{"family":"Deangelo","given":"Daniel J."},{"family":"Platanias","given":"Leonidas C."},{"family":"Dakin","given":"Les A."},{"family":"Chen","given":"Huawei"},{"family":"Lyne","given":"Paul D."},{"family":"Huszar","given":"Dennis"}],"issued":{"date-parts":[["2014",2,6]]}}}],"schema":"https://github.com/citation-style-language/schema/raw/master/csl-citation.json"} </w:instrText>
            </w:r>
            <w:r w:rsidR="00760C56" w:rsidRPr="008F7397">
              <w:rPr>
                <w:rFonts w:asciiTheme="majorBidi" w:hAnsiTheme="majorBidi" w:cstheme="majorBidi"/>
                <w:sz w:val="24"/>
                <w:szCs w:val="24"/>
                <w:lang w:val="en-US"/>
              </w:rPr>
              <w:fldChar w:fldCharType="separate"/>
            </w:r>
            <w:r w:rsidR="005D7A0D" w:rsidRPr="008F7397">
              <w:rPr>
                <w:rFonts w:ascii="Times New Roman" w:hAnsi="Times New Roman" w:cs="Times New Roman"/>
                <w:sz w:val="24"/>
              </w:rPr>
              <w:t>[2]</w:t>
            </w:r>
            <w:r w:rsidR="00760C56" w:rsidRPr="008F7397">
              <w:rPr>
                <w:rFonts w:asciiTheme="majorBidi" w:hAnsiTheme="majorBidi" w:cstheme="majorBidi"/>
                <w:sz w:val="24"/>
                <w:szCs w:val="24"/>
                <w:lang w:val="en-US"/>
              </w:rPr>
              <w:fldChar w:fldCharType="end"/>
            </w:r>
            <w:r w:rsidR="00183843" w:rsidRPr="008F7397">
              <w:rPr>
                <w:rFonts w:asciiTheme="majorBidi" w:hAnsiTheme="majorBidi" w:cstheme="majorBidi"/>
                <w:sz w:val="24"/>
                <w:szCs w:val="24"/>
                <w:lang w:val="en-US"/>
              </w:rPr>
              <w:t>.</w:t>
            </w:r>
          </w:p>
        </w:tc>
      </w:tr>
      <w:tr w:rsidR="00183843" w:rsidRPr="008F7397" w:rsidTr="00183843">
        <w:trPr>
          <w:cantSplit/>
          <w:trHeight w:val="1427"/>
        </w:trPr>
        <w:tc>
          <w:tcPr>
            <w:tcW w:w="1173" w:type="dxa"/>
          </w:tcPr>
          <w:p w:rsidR="00183843" w:rsidRPr="008F7397" w:rsidRDefault="00183843" w:rsidP="00EB3FAC">
            <w:pPr>
              <w:rPr>
                <w:rFonts w:asciiTheme="majorBidi" w:hAnsiTheme="majorBidi" w:cstheme="majorBidi"/>
                <w:bCs/>
                <w:sz w:val="24"/>
                <w:szCs w:val="24"/>
              </w:rPr>
            </w:pPr>
            <w:r w:rsidRPr="008F7397">
              <w:rPr>
                <w:rFonts w:asciiTheme="majorBidi" w:hAnsiTheme="majorBidi" w:cstheme="majorBidi"/>
                <w:bCs/>
                <w:sz w:val="24"/>
                <w:szCs w:val="24"/>
              </w:rPr>
              <w:t>PIM2</w:t>
            </w:r>
          </w:p>
        </w:tc>
        <w:tc>
          <w:tcPr>
            <w:tcW w:w="1195" w:type="dxa"/>
          </w:tcPr>
          <w:p w:rsidR="00183843" w:rsidRPr="008F7397" w:rsidRDefault="00183843" w:rsidP="00EB3FAC">
            <w:pPr>
              <w:rPr>
                <w:rFonts w:asciiTheme="majorBidi" w:hAnsiTheme="majorBidi" w:cstheme="majorBidi"/>
                <w:bCs/>
                <w:sz w:val="24"/>
                <w:szCs w:val="24"/>
              </w:rPr>
            </w:pPr>
            <w:r w:rsidRPr="008F7397">
              <w:rPr>
                <w:rFonts w:asciiTheme="majorBidi" w:hAnsiTheme="majorBidi" w:cstheme="majorBidi"/>
                <w:bCs/>
                <w:sz w:val="24"/>
                <w:szCs w:val="24"/>
              </w:rPr>
              <w:t>AVG(STAT5)</w:t>
            </w:r>
          </w:p>
        </w:tc>
        <w:tc>
          <w:tcPr>
            <w:tcW w:w="1709" w:type="dxa"/>
          </w:tcPr>
          <w:p w:rsidR="00183843" w:rsidRPr="008F7397" w:rsidRDefault="00183843" w:rsidP="00183843">
            <w:pPr>
              <w:rPr>
                <w:rFonts w:asciiTheme="majorBidi" w:hAnsiTheme="majorBidi" w:cstheme="majorBidi"/>
                <w:bCs/>
                <w:sz w:val="24"/>
                <w:szCs w:val="24"/>
              </w:rPr>
            </w:pPr>
            <w:r w:rsidRPr="008F7397">
              <w:rPr>
                <w:rFonts w:asciiTheme="majorBidi" w:hAnsiTheme="majorBidi" w:cstheme="majorBidi"/>
                <w:bCs/>
                <w:sz w:val="24"/>
                <w:szCs w:val="24"/>
              </w:rPr>
              <w:t>max(FltITD,1/2*TYK2,1/2*PDGFRA)</w:t>
            </w:r>
          </w:p>
        </w:tc>
        <w:tc>
          <w:tcPr>
            <w:tcW w:w="4536" w:type="dxa"/>
          </w:tcPr>
          <w:p w:rsidR="00183843" w:rsidRPr="008F7397" w:rsidRDefault="00AC4285" w:rsidP="005D7A0D">
            <w:pPr>
              <w:rPr>
                <w:rFonts w:asciiTheme="majorBidi" w:hAnsiTheme="majorBidi" w:cstheme="majorBidi"/>
                <w:bCs/>
                <w:sz w:val="24"/>
                <w:szCs w:val="24"/>
                <w:lang w:val="en-US"/>
              </w:rPr>
            </w:pPr>
            <w:r w:rsidRPr="008F7397">
              <w:rPr>
                <w:rFonts w:asciiTheme="majorBidi" w:hAnsiTheme="majorBidi" w:cstheme="majorBidi"/>
                <w:sz w:val="24"/>
                <w:szCs w:val="24"/>
              </w:rPr>
              <w:t>PIM2 is activated via STAT</w:t>
            </w:r>
            <w:r w:rsidR="00183843" w:rsidRPr="008F7397">
              <w:rPr>
                <w:rFonts w:asciiTheme="majorBidi" w:hAnsiTheme="majorBidi" w:cstheme="majorBidi"/>
                <w:sz w:val="24"/>
                <w:szCs w:val="24"/>
              </w:rPr>
              <w:t xml:space="preserve">s by FLT-ITD, TYK2 and </w:t>
            </w:r>
            <w:r w:rsidR="00183843" w:rsidRPr="008F7397">
              <w:rPr>
                <w:rFonts w:asciiTheme="majorBidi" w:hAnsiTheme="majorBidi" w:cstheme="majorBidi"/>
                <w:sz w:val="24"/>
                <w:szCs w:val="24"/>
                <w:lang w:val="en-US"/>
              </w:rPr>
              <w:t>FIP1L1-PDGFRα (</w:t>
            </w:r>
            <w:r w:rsidR="00760C56" w:rsidRPr="008F7397">
              <w:rPr>
                <w:rFonts w:asciiTheme="majorBidi" w:hAnsiTheme="majorBidi" w:cstheme="majorBidi"/>
                <w:sz w:val="24"/>
                <w:szCs w:val="24"/>
                <w:lang w:val="en-US"/>
              </w:rPr>
              <w:fldChar w:fldCharType="begin"/>
            </w:r>
            <w:r w:rsidR="005D7A0D" w:rsidRPr="008F7397">
              <w:rPr>
                <w:rFonts w:asciiTheme="majorBidi" w:hAnsiTheme="majorBidi" w:cstheme="majorBidi"/>
                <w:sz w:val="24"/>
                <w:szCs w:val="24"/>
                <w:lang w:val="en-US"/>
              </w:rPr>
              <w:instrText xml:space="preserve"> ADDIN ZOTERO_ITEM CSL_CITATION {"citationID":"ifnKeZmS","properties":{"formattedCitation":"[1], [2]","plainCitation":"[1], [2]"},"citationItems":[{"id":312,"uris":["http://zotero.org/users/2553926/items/453GWTBK"],"uri":["http://zotero.org/users/2553926/items/453GWTBK"],"itemData":{"id":312,"type":"article-journal","title":"Src family kinases and their role in hematological malignancies","container-title":"Leukemia &amp; Lymphoma","page":"577-586","volume":"56","issue":"3","source":"PubMed","abstract":"The Src family protein tyrosine kinases (SFKs) are non-receptor intracellular kinases that have important roles in both hematopoiesis and leukemogenesis. The derangement of their expression or activation has been demonstrated to contribute to hematological malignancies. This review first examines the mechanisms of SFK overexpression and hyperactivation, emphasizing the dysregulation of the upstream modulators. Subsequently, the role of SFK up-regulation in the initiation, progression and therapy resistance of many hematological malignancies is also analyzed. The presented evidence endeavors to highlight the influence of SFK up-regulation on an extensive number of hematological malignancies and the need to consider them as candidates in targeted anticancer therapy.","DOI":"10.3109/10428194.2014.907897","ISSN":"1029-2403","note":"PMID: 24898666","journalAbbreviation":"Leuk. Lymphoma","language":"eng","author":[{"family":"Ku","given":"Matthew"},{"family":"Wall","given":"Meaghan"},{"family":"MacKinnon","given":"Ruth N."},{"family":"Walkley","given":"Carl R."},{"family":"Purton","given":"Louise E."},{"family":"Tam","given":"Constantine"},{"family":"Izon","given":"David"},{"family":"Campbell","given":"Lynda"},{"family":"Cheng","given":"Heung-Chin"},{"family":"Nandurkar","given":"Harshal"}],"issued":{"date-parts":[["2015",3]]}},"label":"page"},{"id":320,"uris":["http://zotero.org/users/2553926/items/ABDQ97UH"],"uri":["http://zotero.org/users/2553926/items/ABDQ97UH"],"itemData":{"id":320,"type":"article-journal","title":"AZD1208, a potent and selective pan-Pim kinase inhibitor, demonstrates efficacy in preclinical models of acute myeloid leukemia","container-title":"Blood","page":"905-913","volume":"123","issue":"6","source":"PubMed","abstract":"Upregulation of Pim kinases is observed in several types of leukemias and lymphomas. Pim-1, -2, and -3 promote cell proliferation and survival downstream of cytokine and growth factor signaling pathways. AZD1208 is a potent, highly selective, and orally available Pim kinase inhibitor that effectively inhibits all three isoforms at &lt;5 nM or &lt;150 nM in enzyme and cell assays, respectively. AZD1208 inhibited the growth of 5 of 14 acute myeloid leukemia (AML) cell lines tested, and sensitivity correlates with Pim-1 expression and STAT5 activation. AZD1208 causes cell cycle arrest and apoptosis in MOLM-16 cells, accompanied by a dose-dependent reduction in phosphorylation of Bcl-2 antagonist of cell death, 4EBP1, p70S6K, and S6, as well as increases in cleaved caspase 3 and p27. Inhibition of p4EBP1 and p-p70S6K and suppression of translation are the most representative effects of Pim inhibition in sensitive AML cell lines. AZD1208 inhibits the growth of MOLM-16 and KG-1a xenograft tumors in vivo with a clear pharmacodynamic-pharmacokinetic relationship. AZD1208 also potently inhibits colony growth and Pim signaling substrates in primary AML cells from bone marrow that are Flt3 wild-type or Flt3 internal tandem duplication mutant. These results underscore the therapeutic potential of Pim kinase inhibition for the treatment of AML.","DOI":"10.1182/blood-2013-04-495366","ISSN":"1528-0020","note":"PMID: 24363397\nPMCID: PMC3916880","journalAbbreviation":"Blood","language":"eng","author":[{"family":"Keeton","given":"Erika K."},{"family":"McEachern","given":"Kristen"},{"family":"Dillman","given":"Keith S."},{"family":"Palakurthi","given":"Sangeetha"},{"family":"Cao","given":"Yichen"},{"family":"Grondine","given":"Michael R."},{"family":"Kaur","given":"Surinder"},{"family":"Wang","given":"Suping"},{"family":"Chen","given":"Yuching"},{"family":"Wu","given":"Allan"},{"family":"Shen","given":"Minhui"},{"family":"Gibbons","given":"Francis D."},{"family":"Lamb","given":"Michelle L."},{"family":"Zheng","given":"Xiaolan"},{"family":"Stone","given":"Richard M."},{"family":"Deangelo","given":"Daniel J."},{"family":"Platanias","given":"Leonidas C."},{"family":"Dakin","given":"Les A."},{"family":"Chen","given":"Huawei"},{"family":"Lyne","given":"Paul D."},{"family":"Huszar","given":"Dennis"}],"issued":{"date-parts":[["2014",2,6]]}},"label":"page"}],"schema":"https://github.com/citation-style-language/schema/raw/master/csl-citation.json"} </w:instrText>
            </w:r>
            <w:r w:rsidR="00760C56" w:rsidRPr="008F7397">
              <w:rPr>
                <w:rFonts w:asciiTheme="majorBidi" w:hAnsiTheme="majorBidi" w:cstheme="majorBidi"/>
                <w:sz w:val="24"/>
                <w:szCs w:val="24"/>
                <w:lang w:val="en-US"/>
              </w:rPr>
              <w:fldChar w:fldCharType="separate"/>
            </w:r>
            <w:r w:rsidR="005D7A0D" w:rsidRPr="008F7397">
              <w:rPr>
                <w:rFonts w:ascii="Times New Roman" w:hAnsi="Times New Roman" w:cs="Times New Roman"/>
                <w:sz w:val="24"/>
              </w:rPr>
              <w:t>[1], [2]</w:t>
            </w:r>
            <w:r w:rsidR="00760C56" w:rsidRPr="008F7397">
              <w:rPr>
                <w:rFonts w:asciiTheme="majorBidi" w:hAnsiTheme="majorBidi" w:cstheme="majorBidi"/>
                <w:sz w:val="24"/>
                <w:szCs w:val="24"/>
                <w:lang w:val="en-US"/>
              </w:rPr>
              <w:fldChar w:fldCharType="end"/>
            </w:r>
            <w:r w:rsidR="00183843" w:rsidRPr="008F7397">
              <w:rPr>
                <w:rFonts w:asciiTheme="majorBidi" w:hAnsiTheme="majorBidi" w:cstheme="majorBidi"/>
                <w:sz w:val="24"/>
                <w:szCs w:val="24"/>
                <w:lang w:val="en-US"/>
              </w:rPr>
              <w:t xml:space="preserve">). PIM2 is </w:t>
            </w:r>
            <w:r w:rsidR="00183843" w:rsidRPr="008F7397">
              <w:rPr>
                <w:rFonts w:asciiTheme="majorBidi" w:hAnsiTheme="majorBidi" w:cstheme="majorBidi"/>
                <w:sz w:val="24"/>
                <w:szCs w:val="24"/>
              </w:rPr>
              <w:t>over</w:t>
            </w:r>
            <w:r w:rsidRPr="008F7397">
              <w:rPr>
                <w:rFonts w:asciiTheme="majorBidi" w:hAnsiTheme="majorBidi" w:cstheme="majorBidi"/>
                <w:sz w:val="24"/>
                <w:szCs w:val="24"/>
              </w:rPr>
              <w:t xml:space="preserve"> dominanted by FLT-ITD induced expression as was im</w:t>
            </w:r>
            <w:r w:rsidR="00183843" w:rsidRPr="008F7397">
              <w:rPr>
                <w:rFonts w:asciiTheme="majorBidi" w:hAnsiTheme="majorBidi" w:cstheme="majorBidi"/>
                <w:sz w:val="24"/>
                <w:szCs w:val="24"/>
              </w:rPr>
              <w:t xml:space="preserve">plied </w:t>
            </w:r>
            <w:r w:rsidR="00183843" w:rsidRPr="008F7397">
              <w:rPr>
                <w:rFonts w:asciiTheme="majorBidi" w:hAnsiTheme="majorBidi" w:cstheme="majorBidi"/>
                <w:sz w:val="24"/>
                <w:szCs w:val="24"/>
                <w:lang w:val="en-US"/>
              </w:rPr>
              <w:t>previous</w:t>
            </w:r>
            <w:r w:rsidRPr="008F7397">
              <w:rPr>
                <w:rFonts w:asciiTheme="majorBidi" w:hAnsiTheme="majorBidi" w:cstheme="majorBidi"/>
                <w:sz w:val="24"/>
                <w:szCs w:val="24"/>
                <w:lang w:val="en-US"/>
              </w:rPr>
              <w:t>ly</w:t>
            </w:r>
            <w:r w:rsidR="00183843" w:rsidRPr="008F7397">
              <w:rPr>
                <w:rFonts w:asciiTheme="majorBidi" w:hAnsiTheme="majorBidi" w:cstheme="majorBidi"/>
                <w:sz w:val="24"/>
                <w:szCs w:val="24"/>
                <w:lang w:val="en-US"/>
              </w:rPr>
              <w:t xml:space="preserve"> </w:t>
            </w:r>
            <w:r w:rsidR="00183843" w:rsidRPr="008F7397">
              <w:rPr>
                <w:rFonts w:asciiTheme="majorBidi" w:hAnsiTheme="majorBidi" w:cstheme="majorBidi"/>
                <w:sz w:val="24"/>
                <w:szCs w:val="24"/>
              </w:rPr>
              <w:t xml:space="preserve">by </w:t>
            </w:r>
            <w:r w:rsidR="00183843" w:rsidRPr="008F7397">
              <w:rPr>
                <w:rFonts w:asciiTheme="majorBidi" w:hAnsiTheme="majorBidi" w:cstheme="majorBidi"/>
                <w:sz w:val="24"/>
                <w:szCs w:val="24"/>
                <w:lang w:val="en-US"/>
              </w:rPr>
              <w:t xml:space="preserve">western blot experiments </w:t>
            </w:r>
            <w:r w:rsidR="00760C56" w:rsidRPr="008F7397">
              <w:rPr>
                <w:rFonts w:asciiTheme="majorBidi" w:hAnsiTheme="majorBidi" w:cstheme="majorBidi"/>
                <w:sz w:val="24"/>
                <w:szCs w:val="24"/>
                <w:lang w:val="en-US"/>
              </w:rPr>
              <w:fldChar w:fldCharType="begin"/>
            </w:r>
            <w:r w:rsidR="005D7A0D" w:rsidRPr="008F7397">
              <w:rPr>
                <w:rFonts w:asciiTheme="majorBidi" w:hAnsiTheme="majorBidi" w:cstheme="majorBidi"/>
                <w:sz w:val="24"/>
                <w:szCs w:val="24"/>
                <w:lang w:val="en-US"/>
              </w:rPr>
              <w:instrText xml:space="preserve"> ADDIN ZOTERO_ITEM CSL_CITATION {"citationID":"dUAFcCjY","properties":{"formattedCitation":"[2]","plainCitation":"[2]"},"citationItems":[{"id":320,"uris":["http://zotero.org/users/2553926/items/ABDQ97UH"],"uri":["http://zotero.org/users/2553926/items/ABDQ97UH"],"itemData":{"id":320,"type":"article-journal","title":"AZD1208, a potent and selective pan-Pim kinase inhibitor, demonstrates efficacy in preclinical models of acute myeloid leukemia","container-title":"Blood","page":"905-913","volume":"123","issue":"6","source":"PubMed","abstract":"Upregulation of Pim kinases is observed in several types of leukemias and lymphomas. Pim-1, -2, and -3 promote cell proliferation and survival downstream of cytokine and growth factor signaling pathways. AZD1208 is a potent, highly selective, and orally available Pim kinase inhibitor that effectively inhibits all three isoforms at &lt;5 nM or &lt;150 nM in enzyme and cell assays, respectively. AZD1208 inhibited the growth of 5 of 14 acute myeloid leukemia (AML) cell lines tested, and sensitivity correlates with Pim-1 expression and STAT5 activation. AZD1208 causes cell cycle arrest and apoptosis in MOLM-16 cells, accompanied by a dose-dependent reduction in phosphorylation of Bcl-2 antagonist of cell death, 4EBP1, p70S6K, and S6, as well as increases in cleaved caspase 3 and p27. Inhibition of p4EBP1 and p-p70S6K and suppression of translation are the most representative effects of Pim inhibition in sensitive AML cell lines. AZD1208 inhibits the growth of MOLM-16 and KG-1a xenograft tumors in vivo with a clear pharmacodynamic-pharmacokinetic relationship. AZD1208 also potently inhibits colony growth and Pim signaling substrates in primary AML cells from bone marrow that are Flt3 wild-type or Flt3 internal tandem duplication mutant. These results underscore the therapeutic potential of Pim kinase inhibition for the treatment of AML.","DOI":"10.1182/blood-2013-04-495366","ISSN":"1528-0020","note":"PMID: 24363397\nPMCID: PMC3916880","journalAbbreviation":"Blood","language":"eng","author":[{"family":"Keeton","given":"Erika K."},{"family":"McEachern","given":"Kristen"},{"family":"Dillman","given":"Keith S."},{"family":"Palakurthi","given":"Sangeetha"},{"family":"Cao","given":"Yichen"},{"family":"Grondine","given":"Michael R."},{"family":"Kaur","given":"Surinder"},{"family":"Wang","given":"Suping"},{"family":"Chen","given":"Yuching"},{"family":"Wu","given":"Allan"},{"family":"Shen","given":"Minhui"},{"family":"Gibbons","given":"Francis D."},{"family":"Lamb","given":"Michelle L."},{"family":"Zheng","given":"Xiaolan"},{"family":"Stone","given":"Richard M."},{"family":"Deangelo","given":"Daniel J."},{"family":"Platanias","given":"Leonidas C."},{"family":"Dakin","given":"Les A."},{"family":"Chen","given":"Huawei"},{"family":"Lyne","given":"Paul D."},{"family":"Huszar","given":"Dennis"}],"issued":{"date-parts":[["2014",2,6]]}}}],"schema":"https://github.com/citation-style-language/schema/raw/master/csl-citation.json"} </w:instrText>
            </w:r>
            <w:r w:rsidR="00760C56" w:rsidRPr="008F7397">
              <w:rPr>
                <w:rFonts w:asciiTheme="majorBidi" w:hAnsiTheme="majorBidi" w:cstheme="majorBidi"/>
                <w:sz w:val="24"/>
                <w:szCs w:val="24"/>
                <w:lang w:val="en-US"/>
              </w:rPr>
              <w:fldChar w:fldCharType="separate"/>
            </w:r>
            <w:r w:rsidR="005D7A0D" w:rsidRPr="008F7397">
              <w:rPr>
                <w:rFonts w:ascii="Times New Roman" w:hAnsi="Times New Roman" w:cs="Times New Roman"/>
                <w:sz w:val="24"/>
              </w:rPr>
              <w:t>[2]</w:t>
            </w:r>
            <w:r w:rsidR="00760C56" w:rsidRPr="008F7397">
              <w:rPr>
                <w:rFonts w:asciiTheme="majorBidi" w:hAnsiTheme="majorBidi" w:cstheme="majorBidi"/>
                <w:sz w:val="24"/>
                <w:szCs w:val="24"/>
                <w:lang w:val="en-US"/>
              </w:rPr>
              <w:fldChar w:fldCharType="end"/>
            </w:r>
            <w:r w:rsidR="00183843" w:rsidRPr="008F7397">
              <w:rPr>
                <w:rFonts w:asciiTheme="majorBidi" w:hAnsiTheme="majorBidi" w:cstheme="majorBidi"/>
                <w:sz w:val="24"/>
                <w:szCs w:val="24"/>
                <w:lang w:val="en-US"/>
              </w:rPr>
              <w:t>.</w:t>
            </w:r>
            <w:r w:rsidR="00183843" w:rsidRPr="008F7397">
              <w:rPr>
                <w:rFonts w:asciiTheme="majorBidi" w:hAnsiTheme="majorBidi" w:cstheme="majorBidi"/>
                <w:sz w:val="24"/>
                <w:szCs w:val="24"/>
              </w:rPr>
              <w:t xml:space="preserve"> </w:t>
            </w:r>
          </w:p>
        </w:tc>
      </w:tr>
      <w:tr w:rsidR="00183843" w:rsidRPr="008F7397" w:rsidTr="00296C44">
        <w:trPr>
          <w:cantSplit/>
          <w:trHeight w:val="3393"/>
        </w:trPr>
        <w:tc>
          <w:tcPr>
            <w:tcW w:w="1173" w:type="dxa"/>
            <w:tcBorders>
              <w:bottom w:val="single" w:sz="4" w:space="0" w:color="auto"/>
            </w:tcBorders>
          </w:tcPr>
          <w:p w:rsidR="00183843" w:rsidRPr="008F7397" w:rsidRDefault="00183843" w:rsidP="00EB3FAC">
            <w:pPr>
              <w:rPr>
                <w:rFonts w:asciiTheme="majorBidi" w:hAnsiTheme="majorBidi" w:cstheme="majorBidi"/>
                <w:bCs/>
                <w:sz w:val="24"/>
                <w:szCs w:val="24"/>
              </w:rPr>
            </w:pPr>
            <w:r w:rsidRPr="008F7397">
              <w:rPr>
                <w:rFonts w:asciiTheme="majorBidi" w:hAnsiTheme="majorBidi" w:cstheme="majorBidi"/>
                <w:bCs/>
                <w:sz w:val="24"/>
                <w:szCs w:val="24"/>
              </w:rPr>
              <w:t>BAD</w:t>
            </w:r>
          </w:p>
        </w:tc>
        <w:tc>
          <w:tcPr>
            <w:tcW w:w="1195" w:type="dxa"/>
            <w:tcBorders>
              <w:bottom w:val="single" w:sz="4" w:space="0" w:color="auto"/>
            </w:tcBorders>
          </w:tcPr>
          <w:p w:rsidR="00183843" w:rsidRPr="008F7397" w:rsidRDefault="00183843" w:rsidP="00EB3FAC">
            <w:pPr>
              <w:rPr>
                <w:rFonts w:asciiTheme="majorBidi" w:hAnsiTheme="majorBidi" w:cstheme="majorBidi"/>
                <w:bCs/>
                <w:sz w:val="24"/>
                <w:szCs w:val="24"/>
              </w:rPr>
            </w:pPr>
            <w:r w:rsidRPr="008F7397">
              <w:rPr>
                <w:rFonts w:asciiTheme="majorBidi" w:hAnsiTheme="majorBidi" w:cstheme="majorBidi"/>
                <w:bCs/>
                <w:sz w:val="24"/>
                <w:szCs w:val="24"/>
              </w:rPr>
              <w:t>AVG(RAF, RSK, AKT, PIM1, PIM2)</w:t>
            </w:r>
          </w:p>
        </w:tc>
        <w:tc>
          <w:tcPr>
            <w:tcW w:w="1709" w:type="dxa"/>
            <w:tcBorders>
              <w:bottom w:val="single" w:sz="4" w:space="0" w:color="auto"/>
            </w:tcBorders>
          </w:tcPr>
          <w:p w:rsidR="00183843" w:rsidRPr="008F7397" w:rsidRDefault="00183843" w:rsidP="00183843">
            <w:pPr>
              <w:rPr>
                <w:rFonts w:asciiTheme="majorBidi" w:hAnsiTheme="majorBidi" w:cstheme="majorBidi"/>
                <w:bCs/>
                <w:sz w:val="24"/>
                <w:szCs w:val="24"/>
              </w:rPr>
            </w:pPr>
            <w:r w:rsidRPr="008F7397">
              <w:rPr>
                <w:rFonts w:asciiTheme="majorBidi" w:hAnsiTheme="majorBidi" w:cstheme="majorBidi"/>
                <w:bCs/>
                <w:sz w:val="24"/>
                <w:szCs w:val="24"/>
              </w:rPr>
              <w:t>1/2*RSK+1/2*PIM1</w:t>
            </w:r>
          </w:p>
        </w:tc>
        <w:tc>
          <w:tcPr>
            <w:tcW w:w="4536" w:type="dxa"/>
            <w:tcBorders>
              <w:bottom w:val="single" w:sz="4" w:space="0" w:color="auto"/>
            </w:tcBorders>
          </w:tcPr>
          <w:p w:rsidR="00183843" w:rsidRPr="008F7397" w:rsidRDefault="00183843" w:rsidP="005D7A0D">
            <w:pPr>
              <w:rPr>
                <w:rFonts w:asciiTheme="majorBidi" w:hAnsiTheme="majorBidi" w:cstheme="majorBidi"/>
                <w:bCs/>
                <w:sz w:val="24"/>
                <w:szCs w:val="24"/>
                <w:lang w:val="en-US"/>
              </w:rPr>
            </w:pPr>
            <w:r w:rsidRPr="008F7397">
              <w:rPr>
                <w:rFonts w:asciiTheme="majorBidi" w:hAnsiTheme="majorBidi" w:cstheme="majorBidi"/>
                <w:sz w:val="24"/>
                <w:szCs w:val="24"/>
                <w:lang w:val="en-US"/>
              </w:rPr>
              <w:t xml:space="preserve">BAD accumulates activity from MAPK pathway and from PIM1 direct phosphorylation of all three sites </w:t>
            </w:r>
            <w:r w:rsidR="00760C56" w:rsidRPr="008F7397">
              <w:rPr>
                <w:rFonts w:asciiTheme="majorBidi" w:hAnsiTheme="majorBidi" w:cstheme="majorBidi"/>
                <w:sz w:val="24"/>
                <w:szCs w:val="24"/>
                <w:lang w:val="en-US"/>
              </w:rPr>
              <w:fldChar w:fldCharType="begin"/>
            </w:r>
            <w:r w:rsidR="005D7A0D" w:rsidRPr="008F7397">
              <w:rPr>
                <w:rFonts w:asciiTheme="majorBidi" w:hAnsiTheme="majorBidi" w:cstheme="majorBidi"/>
                <w:sz w:val="24"/>
                <w:szCs w:val="24"/>
                <w:lang w:val="en-US"/>
              </w:rPr>
              <w:instrText xml:space="preserve"> ADDIN ZOTERO_ITEM CSL_CITATION {"citationID":"lSJmoZUn","properties":{"formattedCitation":"[3]","plainCitation":"[3]"},"citationItems":[{"id":326,"uris":["http://zotero.org/users/2553926/items/6G59U3RR"],"uri":["http://zotero.org/users/2553926/items/6G59U3RR"],"itemData":{"id":326,"type":"article-journal","title":"Pim kinases phosphorylate Chk1 and regulate its functions in acute myeloid leukemia","container-title":"Leukemia","page":"293-301","volume":"28","issue":"2","source":"PubMed","abstract":"Phosphorylation by Akt on Ser 280 was reported to induce cytoplasmic retention and inactivation of CHK1 with consequent genetic instability in PTEN-/- cells. In acute myeloid leukemia cells carrying the FLT3-internal tandem duplication (ITD) mutation, we observed high rates of FLT3-ITD-dependent CHK1 Ser 280 phosphorylation. Pharmacological inhibition and RNA interference identified Pim1/2, not Akt, as effectors of this phosphorylation. Pim1 catalyzed Ser 280 phosphorylation in vitro and ectopic expression of Pim1/2-induced CHK1 phosphorylation. Ser 280 phosphorylation did not modify CHK1 localization, but facilitated its cell cycle and resistance functions in leukemic cells. FLT3, PIM or CHK1 inhibitors synergized with DNA-damaging agents to induce apoptosis, allowing cells to bypass the etoposide-induced G2/M arrest. Consistently, etoposide-induced CHK1-dependent phosphorylations of CDC25C on Ser 216 and histone H3 on Thr11 were decreased upon FLT3 inhibition. Accordingly, ectopic expression of CHK1 improved the resistance of FLT3-ITD cells and maintained histone H3 phosphorylation in response to DNA damage, whereas expression of unphosphorylated Ser 280Ala mutant did not. Finally, FLT3- and Pim-dependent phosphorylation of CHK1 on Ser 280 was confirmed in primary blasts from patients. These results identify a new pathway involved in the resistance of FLT3-ITD leukemic cells to genotoxic agents, and they constitute the first report of CHK1 Ser 280 regulation in myeloid malignancies.","DOI":"10.1038/leu.2013.168","ISSN":"1476-5551","note":"PMID: 23748345","journalAbbreviation":"Leukemia","language":"eng","author":[{"family":"Yuan","given":"L. L."},{"family":"Green","given":"A. S."},{"family":"Bertoli","given":"S."},{"family":"Grimal","given":"F."},{"family":"Mansat-De Mas","given":"V."},{"family":"Dozier","given":"C."},{"family":"Tamburini","given":"J."},{"family":"Récher","given":"C."},{"family":"Didier","given":"C."},{"family":"Manenti","given":"S."}],"issued":{"date-parts":[["2014",2]]}}}],"schema":"https://github.com/citation-style-language/schema/raw/master/csl-citation.json"} </w:instrText>
            </w:r>
            <w:r w:rsidR="00760C56" w:rsidRPr="008F7397">
              <w:rPr>
                <w:rFonts w:asciiTheme="majorBidi" w:hAnsiTheme="majorBidi" w:cstheme="majorBidi"/>
                <w:sz w:val="24"/>
                <w:szCs w:val="24"/>
                <w:lang w:val="en-US"/>
              </w:rPr>
              <w:fldChar w:fldCharType="separate"/>
            </w:r>
            <w:r w:rsidR="005D7A0D" w:rsidRPr="008F7397">
              <w:rPr>
                <w:rFonts w:ascii="Times New Roman" w:hAnsi="Times New Roman" w:cs="Times New Roman"/>
                <w:sz w:val="24"/>
              </w:rPr>
              <w:t>[3]</w:t>
            </w:r>
            <w:r w:rsidR="00760C56" w:rsidRPr="008F7397">
              <w:rPr>
                <w:rFonts w:asciiTheme="majorBidi" w:hAnsiTheme="majorBidi" w:cstheme="majorBidi"/>
                <w:sz w:val="24"/>
                <w:szCs w:val="24"/>
                <w:lang w:val="en-US"/>
              </w:rPr>
              <w:fldChar w:fldCharType="end"/>
            </w:r>
            <w:r w:rsidR="00AC4285" w:rsidRPr="008F7397">
              <w:rPr>
                <w:rFonts w:asciiTheme="majorBidi" w:hAnsiTheme="majorBidi" w:cstheme="majorBidi"/>
                <w:sz w:val="24"/>
                <w:szCs w:val="24"/>
                <w:lang w:val="en-US"/>
              </w:rPr>
              <w:t xml:space="preserve">. PIM1 induced over expression is likely to be the main deriving cause for </w:t>
            </w:r>
            <w:r w:rsidRPr="008F7397">
              <w:rPr>
                <w:rFonts w:asciiTheme="majorBidi" w:hAnsiTheme="majorBidi" w:cstheme="majorBidi"/>
                <w:sz w:val="24"/>
                <w:szCs w:val="24"/>
                <w:lang w:val="en-US"/>
              </w:rPr>
              <w:t>the anti-apoptotic behavior observed in TYK2 mutated cell lines.</w:t>
            </w:r>
          </w:p>
          <w:p w:rsidR="00183843" w:rsidRPr="008F7397" w:rsidRDefault="00AC4285" w:rsidP="005D7A0D">
            <w:pPr>
              <w:rPr>
                <w:rFonts w:asciiTheme="majorBidi" w:hAnsiTheme="majorBidi" w:cstheme="majorBidi"/>
                <w:sz w:val="24"/>
                <w:szCs w:val="24"/>
              </w:rPr>
            </w:pPr>
            <w:r w:rsidRPr="008F7397">
              <w:rPr>
                <w:rFonts w:asciiTheme="majorBidi" w:hAnsiTheme="majorBidi" w:cstheme="majorBidi"/>
                <w:bCs/>
                <w:sz w:val="24"/>
                <w:szCs w:val="24"/>
                <w:lang w:val="en-US"/>
              </w:rPr>
              <w:t>From</w:t>
            </w:r>
            <w:r w:rsidR="00183843" w:rsidRPr="008F7397">
              <w:rPr>
                <w:rFonts w:asciiTheme="majorBidi" w:hAnsiTheme="majorBidi" w:cstheme="majorBidi"/>
                <w:bCs/>
                <w:sz w:val="24"/>
                <w:szCs w:val="24"/>
                <w:lang w:val="en-US"/>
              </w:rPr>
              <w:t xml:space="preserve"> the MAPK pathway, </w:t>
            </w:r>
            <w:r w:rsidRPr="008F7397">
              <w:rPr>
                <w:rFonts w:asciiTheme="majorBidi" w:hAnsiTheme="majorBidi" w:cstheme="majorBidi"/>
                <w:sz w:val="24"/>
                <w:szCs w:val="24"/>
              </w:rPr>
              <w:t>a</w:t>
            </w:r>
            <w:r w:rsidR="00183843" w:rsidRPr="008F7397">
              <w:rPr>
                <w:rFonts w:asciiTheme="majorBidi" w:hAnsiTheme="majorBidi" w:cstheme="majorBidi"/>
                <w:sz w:val="24"/>
                <w:szCs w:val="24"/>
              </w:rPr>
              <w:t xml:space="preserve">ctivated ERK phosphorylates cytoplasmic signaling proteins, including RSK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HqpF1JFy","properties":{"formattedCitation":"[4]","plainCitation":"[4]"},"citationItems":[{"id":341,"uris":["http://zotero.org/users/2553926/items/XR9A3GQ4"],"uri":["http://zotero.org/users/2553926/items/XR9A3GQ4"],"itemData":{"id":341,"type":"article-journal","title":"The Ras-ERK and PI3K-mTOR pathways: cross-talk and compensation","container-title":"Trends in Biochemical Sciences","page":"320-328","volume":"36","issue":"6","source":"PubMed","abstract":"The Ras-extracellular signal-regulated kinase (Ras-ERK) and phosphatidylinositol 3-kinase-mammalian target of rapamycin (PI3K-mTOR) signaling pathways are the chief mechanisms for controlling cell survival, differentiation, proliferation, metabolism, and motility in response to extracellular cues. Components of these pathways were among the first to be discovered when scientists began cloning proto-oncogenes and purifying cellular kinase activities in the 1980s. Ras-ERK and PI3K-mTOR were originally modeled as linear signaling conduits activated by different stimuli, yet even early experiments hinted that they might intersect to regulate each other and co-regulate downstream functions. The extent of this cross-talk and its significance in cancer therapeutics are now becoming clear.","DOI":"10.1016/j.tibs.2011.03.006","ISSN":"0968-0004","note":"PMID: 21531565\nPMCID: PMC3112285","shortTitle":"The Ras-ERK and PI3K-mTOR pathways","journalAbbreviation":"Trends Biochem. Sci.","language":"eng","author":[{"family":"Mendoza","given":"Michelle C."},{"family":"Er","given":"E. Emrah"},{"family":"Blenis","given":"John"}],"issued":{"date-parts":[["2011",6]]}}}],"schema":"https://github.com/citation-style-language/schema/raw/master/csl-citation.json"}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[4]</w:t>
            </w:r>
            <w:r w:rsidR="00760C56" w:rsidRPr="008F7397">
              <w:rPr>
                <w:rFonts w:asciiTheme="majorBidi" w:hAnsiTheme="majorBidi" w:cstheme="majorBidi"/>
                <w:sz w:val="24"/>
                <w:szCs w:val="24"/>
              </w:rPr>
              <w:fldChar w:fldCharType="end"/>
            </w:r>
            <w:r w:rsidR="00183843" w:rsidRPr="008F7397">
              <w:rPr>
                <w:rFonts w:asciiTheme="majorBidi" w:hAnsiTheme="majorBidi" w:cstheme="majorBidi"/>
                <w:sz w:val="24"/>
                <w:szCs w:val="24"/>
              </w:rPr>
              <w:t xml:space="preserve">, which phosphorylates BAD on Ser112 and Ser155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{"citationID":"2le483rl73","properties":{"formattedCitation":"[5], [6]","plainCitation":"[5], [6]"},"citationItems":[{"id":343,"uris":["http://zotero.org/users/2553926/items/8A9JGHZG"],"uri":["http://zotero.org/users/2553926/items/8A9JGHZG"],"itemData":{"id":343,"type":"article-journal","title":"BAD Ser-155 phosphorylation regulates BAD/Bcl-XL interaction and cell survival","container-title":"The Journal of Biological Chemistry","page":"25865-25869","volume":"275","issue":"33","source":"PubMed","abstract":"The BH3 domain of BAD mediates its death-promoting activities via heterodimerization to the Bcl-XL family of death regulators. Growth and survival factors inhibit the death-promoting activity of BAD by stimulating phosphorylation at multiple sites including Ser-112 and Ser-136. Phosphorylation at these sites promotes binding of BAD to 14-3-3 proteins, sequestering BAD away from the mitochondrial membrane where it dimerizes with Bcl-XL to exert its killing effects. We report here that the phosphorylation of BAD at Ser-155 within the BH3 domain is a second phosphorylation-dependent mechanism that inhibits the death-promoting activity of BAD. Protein kinase A, RSK1, and survival factor signaling stimulate phosphorylation of BAD at Ser-155, blocking the binding of BAD to Bcl-XL. RSK1 phosphorylates BAD at both Ser-112 and Ser-155 and rescues BAD-mediated cell death in a manner dependent upon phosphorylation at both sites.","DOI":"10.1074/jbc.M004199200","ISSN":"0021-9258","note":"PMID: 10837486","journalAbbreviation":"J. Biol. Chem.","language":"eng","author":[{"family":"Tan","given":"Y."},{"family":"Demeter","given":"M. R."},{"family":"Ruan","given":"H."},{"family":"Comb","given":"M. J."}],"issued":{"date-parts":[["2000",8,18]]}},"label":"page"},{"id":345,"uris":["http://zotero.org/users/2553926/items/8C3EWTRV"],"uri":["http://zotero.org/users/2553926/items/8C3EWTRV"],"itemData":{"id":345,"type":"article-journal","title":"PIM1 protein kinase regulates PRAS40 phosphorylation and mTOR activity in FDCP1 cells","container-title":"Cancer Biology &amp; Therapy","page":"846-853","volume":"8","issue":"9","source":"PubMed","abstract":"PIM1 is a serine/threonine kinase that has diverse biological roles in cell survival, proliferation and differentiation. PIM1 has been implicated in early transformation and tumor progression in haematopoietic malignancies and prostate carcinomas. The ability of PIM1 to regulate these processes is thought to be in part secondary to its activity in stimulating 4EBP1 phosphorylation and enhancement of protein synthesis. Because 4EBP1 is an mTOR substrate, we have investigated how PIM1 might regulate this latter enzyme. We have examined the ability of PIM1 to modulate PRAS40, a protein known to negatively regulate mTOR activity in FDCP1 cells. Upon phosphorylation, PRAS40 dissociates from the mTOR complex and increases mTOR kinase activity. We find that enforced overexpression of PIM1 increases PRAS40 phosphorylation at Thr(246), an AKT phosphorylation site, whether grown in complete media or deprived of IL-3 and serum. The increase in PRAS40 phosphorylation was independent of AKT activation and not inhibited by wortmannin. In vitro kinase assays indicate that the PIM1 protein kinase is capable of directly phosphorylating Thr(246) in PRAS40. PIM1 protein kinase overexpression reduced the association of PRAS40 with mTOR, and increased the mTOR directed phosphorylation of 4EBP1 and p70S6Kinase. Treatment of FDCP1 cells transfected with PIM1 (FD/mpim44) with small molecule inhibitors of PIM1 kinase activity reduced both PRAS40 and 4EBP1 phosphorylation. These results suggest that PIM1 regulates mTOR activity through phosphorylation of PRAS40. Thus, increases in mTOR activity mediated by the PIM protein kinase may have the potential to control cell growth.","ISSN":"1555-8576","note":"PMID: 19276681","journalAbbreviation":"Cancer Biol. Ther.","language":"eng","author":[{"family":"Zhang","given":"Fengxue"},{"family":"Beharry","given":"Zanna M."},{"family":"Harris","given":"Thurl E."},{"family":"Lilly","given":"Michael B."},{"family":"Smith","given":"Charles D."},{"family":"Mahajan","given":"Sandeep"},{"family":"Kraft","given":"Andrew S."}],"issued":{"date-parts":[["2009",5]]}},"label":"page"}],"schema":"https://github.com/citation-style-language/schema/raw/master/csl-citation.json"}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[5], [6]</w:t>
            </w:r>
            <w:r w:rsidR="00760C56" w:rsidRPr="008F7397">
              <w:rPr>
                <w:rFonts w:asciiTheme="majorBidi" w:hAnsiTheme="majorBidi" w:cstheme="majorBidi"/>
                <w:sz w:val="24"/>
                <w:szCs w:val="24"/>
              </w:rPr>
              <w:fldChar w:fldCharType="end"/>
            </w:r>
            <w:r w:rsidR="00183843" w:rsidRPr="008F7397">
              <w:rPr>
                <w:rFonts w:asciiTheme="majorBidi" w:hAnsiTheme="majorBidi" w:cstheme="majorBidi"/>
                <w:sz w:val="24"/>
                <w:szCs w:val="24"/>
              </w:rPr>
              <w:t>.</w:t>
            </w:r>
          </w:p>
          <w:p w:rsidR="00183843" w:rsidRPr="008F7397" w:rsidRDefault="00183843" w:rsidP="00263BB6">
            <w:pPr>
              <w:rPr>
                <w:rFonts w:asciiTheme="majorBidi" w:hAnsiTheme="majorBidi" w:cstheme="majorBidi"/>
                <w:sz w:val="24"/>
                <w:szCs w:val="24"/>
              </w:rPr>
            </w:pPr>
          </w:p>
        </w:tc>
      </w:tr>
      <w:tr w:rsidR="00296C44" w:rsidRPr="008F7397" w:rsidTr="00296C44">
        <w:trPr>
          <w:cantSplit/>
        </w:trPr>
        <w:tc>
          <w:tcPr>
            <w:tcW w:w="8613" w:type="dxa"/>
            <w:gridSpan w:val="4"/>
            <w:tcBorders>
              <w:left w:val="nil"/>
              <w:bottom w:val="nil"/>
              <w:right w:val="nil"/>
            </w:tcBorders>
          </w:tcPr>
          <w:p w:rsidR="00296C44" w:rsidRPr="008F7397" w:rsidRDefault="00296C44" w:rsidP="00850C89">
            <w:pPr>
              <w:rPr>
                <w:rFonts w:asciiTheme="majorBidi" w:hAnsiTheme="majorBidi" w:cstheme="majorBidi"/>
                <w:b/>
                <w:sz w:val="24"/>
                <w:szCs w:val="24"/>
                <w:lang w:val="en-US"/>
              </w:rPr>
            </w:pPr>
          </w:p>
        </w:tc>
      </w:tr>
      <w:tr w:rsidR="00296C44" w:rsidRPr="008F7397" w:rsidTr="00296C44">
        <w:trPr>
          <w:cantSplit/>
        </w:trPr>
        <w:tc>
          <w:tcPr>
            <w:tcW w:w="8613" w:type="dxa"/>
            <w:gridSpan w:val="4"/>
            <w:tcBorders>
              <w:top w:val="nil"/>
              <w:left w:val="nil"/>
              <w:right w:val="nil"/>
            </w:tcBorders>
          </w:tcPr>
          <w:p w:rsidR="00296C44" w:rsidRPr="008F7397" w:rsidRDefault="00296C44" w:rsidP="0004568F">
            <w:pPr>
              <w:rPr>
                <w:rFonts w:asciiTheme="majorBidi" w:hAnsiTheme="majorBidi" w:cstheme="majorBidi"/>
                <w:b/>
                <w:sz w:val="24"/>
                <w:szCs w:val="24"/>
                <w:lang w:val="en-US"/>
              </w:rPr>
            </w:pPr>
            <w:r w:rsidRPr="008F7397">
              <w:rPr>
                <w:rFonts w:asciiTheme="majorBidi" w:hAnsiTheme="majorBidi" w:cstheme="majorBidi"/>
                <w:b/>
                <w:sz w:val="24"/>
                <w:szCs w:val="24"/>
                <w:lang w:val="en-US"/>
              </w:rPr>
              <w:t>Table S</w:t>
            </w:r>
            <w:r w:rsidR="0004568F">
              <w:rPr>
                <w:rFonts w:asciiTheme="majorBidi" w:hAnsiTheme="majorBidi" w:cstheme="majorBidi"/>
                <w:b/>
                <w:sz w:val="24"/>
                <w:szCs w:val="24"/>
              </w:rPr>
              <w:t>8</w:t>
            </w:r>
            <w:r w:rsidRPr="008F7397">
              <w:rPr>
                <w:rFonts w:asciiTheme="majorBidi" w:hAnsiTheme="majorBidi" w:cstheme="majorBidi"/>
                <w:b/>
                <w:sz w:val="24"/>
                <w:szCs w:val="24"/>
              </w:rPr>
              <w:t xml:space="preserve"> Continue</w:t>
            </w:r>
            <w:r w:rsidRPr="008F7397">
              <w:rPr>
                <w:rFonts w:asciiTheme="majorBidi" w:hAnsiTheme="majorBidi" w:cstheme="majorBidi"/>
                <w:b/>
                <w:sz w:val="24"/>
                <w:szCs w:val="24"/>
                <w:lang w:val="en-US"/>
              </w:rPr>
              <w:t>. Target functions for AML general model and cell specific calibrated AML model</w:t>
            </w:r>
            <w:r w:rsidRPr="008F7397">
              <w:rPr>
                <w:rFonts w:asciiTheme="majorBidi" w:hAnsiTheme="majorBidi" w:cstheme="majorBidi"/>
                <w:sz w:val="24"/>
                <w:szCs w:val="24"/>
                <w:lang w:val="en-US"/>
              </w:rPr>
              <w:t>.</w:t>
            </w:r>
          </w:p>
        </w:tc>
      </w:tr>
      <w:tr w:rsidR="00296C44" w:rsidRPr="008F7397" w:rsidTr="00183843">
        <w:trPr>
          <w:cantSplit/>
        </w:trPr>
        <w:tc>
          <w:tcPr>
            <w:tcW w:w="1173" w:type="dxa"/>
          </w:tcPr>
          <w:p w:rsidR="00296C44" w:rsidRPr="008F7397" w:rsidRDefault="00296C44" w:rsidP="00850C89">
            <w:pPr>
              <w:rPr>
                <w:rFonts w:asciiTheme="majorBidi" w:hAnsiTheme="majorBidi" w:cstheme="majorBidi"/>
                <w:b/>
                <w:sz w:val="24"/>
                <w:szCs w:val="24"/>
              </w:rPr>
            </w:pPr>
            <w:r w:rsidRPr="008F7397">
              <w:rPr>
                <w:rFonts w:asciiTheme="majorBidi" w:hAnsiTheme="majorBidi" w:cstheme="majorBidi"/>
                <w:b/>
                <w:sz w:val="24"/>
                <w:szCs w:val="24"/>
              </w:rPr>
              <w:t>Protein/Node</w:t>
            </w:r>
          </w:p>
        </w:tc>
        <w:tc>
          <w:tcPr>
            <w:tcW w:w="1195" w:type="dxa"/>
          </w:tcPr>
          <w:p w:rsidR="00296C44" w:rsidRPr="008F7397" w:rsidRDefault="00296C44" w:rsidP="00850C89">
            <w:pPr>
              <w:rPr>
                <w:rFonts w:asciiTheme="majorBidi" w:hAnsiTheme="majorBidi" w:cstheme="majorBidi"/>
                <w:b/>
                <w:sz w:val="24"/>
                <w:szCs w:val="24"/>
              </w:rPr>
            </w:pPr>
            <w:r w:rsidRPr="008F7397">
              <w:rPr>
                <w:rFonts w:asciiTheme="majorBidi" w:hAnsiTheme="majorBidi" w:cstheme="majorBidi"/>
                <w:b/>
                <w:sz w:val="24"/>
                <w:szCs w:val="24"/>
              </w:rPr>
              <w:t>GeneralModel</w:t>
            </w:r>
          </w:p>
        </w:tc>
        <w:tc>
          <w:tcPr>
            <w:tcW w:w="1709" w:type="dxa"/>
          </w:tcPr>
          <w:p w:rsidR="00296C44" w:rsidRPr="008F7397" w:rsidRDefault="00296C44" w:rsidP="00850C89">
            <w:pPr>
              <w:rPr>
                <w:rFonts w:asciiTheme="majorBidi" w:hAnsiTheme="majorBidi" w:cstheme="majorBidi"/>
                <w:b/>
                <w:sz w:val="24"/>
                <w:szCs w:val="24"/>
              </w:rPr>
            </w:pPr>
            <w:r w:rsidRPr="008F7397">
              <w:rPr>
                <w:rFonts w:asciiTheme="majorBidi" w:hAnsiTheme="majorBidi" w:cstheme="majorBidi"/>
                <w:b/>
                <w:sz w:val="24"/>
                <w:szCs w:val="24"/>
              </w:rPr>
              <w:t>Cell Specific Model</w:t>
            </w:r>
          </w:p>
        </w:tc>
        <w:tc>
          <w:tcPr>
            <w:tcW w:w="4536" w:type="dxa"/>
          </w:tcPr>
          <w:p w:rsidR="00296C44" w:rsidRPr="008F7397" w:rsidRDefault="00296C44" w:rsidP="00850C89">
            <w:pPr>
              <w:rPr>
                <w:rFonts w:asciiTheme="majorBidi" w:hAnsiTheme="majorBidi" w:cstheme="majorBidi"/>
                <w:b/>
                <w:sz w:val="24"/>
                <w:szCs w:val="24"/>
              </w:rPr>
            </w:pPr>
            <w:r w:rsidRPr="008F7397">
              <w:rPr>
                <w:rFonts w:asciiTheme="majorBidi" w:hAnsiTheme="majorBidi" w:cstheme="majorBidi"/>
                <w:b/>
                <w:sz w:val="24"/>
                <w:szCs w:val="24"/>
              </w:rPr>
              <w:t>Literature and Experimental Supporting Evidences</w:t>
            </w:r>
          </w:p>
        </w:tc>
      </w:tr>
      <w:tr w:rsidR="00183843" w:rsidRPr="008F7397" w:rsidTr="00183843">
        <w:trPr>
          <w:cantSplit/>
        </w:trPr>
        <w:tc>
          <w:tcPr>
            <w:tcW w:w="1173" w:type="dxa"/>
          </w:tcPr>
          <w:p w:rsidR="00183843" w:rsidRPr="008F7397" w:rsidRDefault="00183843" w:rsidP="00EB3FAC">
            <w:pPr>
              <w:rPr>
                <w:rFonts w:asciiTheme="majorBidi" w:hAnsiTheme="majorBidi" w:cstheme="majorBidi"/>
                <w:bCs/>
                <w:sz w:val="24"/>
                <w:szCs w:val="24"/>
              </w:rPr>
            </w:pPr>
            <w:r w:rsidRPr="008F7397">
              <w:rPr>
                <w:rFonts w:asciiTheme="majorBidi" w:hAnsiTheme="majorBidi" w:cstheme="majorBidi"/>
                <w:bCs/>
                <w:sz w:val="24"/>
                <w:szCs w:val="24"/>
              </w:rPr>
              <w:t>EIF4B</w:t>
            </w:r>
          </w:p>
        </w:tc>
        <w:tc>
          <w:tcPr>
            <w:tcW w:w="1195" w:type="dxa"/>
          </w:tcPr>
          <w:p w:rsidR="00183843" w:rsidRPr="008F7397" w:rsidRDefault="00183843" w:rsidP="00EB3FAC">
            <w:pPr>
              <w:rPr>
                <w:rFonts w:asciiTheme="majorBidi" w:hAnsiTheme="majorBidi" w:cstheme="majorBidi"/>
                <w:bCs/>
                <w:sz w:val="24"/>
                <w:szCs w:val="24"/>
              </w:rPr>
            </w:pPr>
            <w:r w:rsidRPr="008F7397">
              <w:rPr>
                <w:rFonts w:asciiTheme="majorBidi" w:hAnsiTheme="majorBidi" w:cstheme="majorBidi"/>
                <w:bCs/>
                <w:sz w:val="24"/>
                <w:szCs w:val="24"/>
              </w:rPr>
              <w:t>AVG(RSK, S6, 4EBP1)</w:t>
            </w:r>
          </w:p>
        </w:tc>
        <w:tc>
          <w:tcPr>
            <w:tcW w:w="1709" w:type="dxa"/>
          </w:tcPr>
          <w:p w:rsidR="00183843" w:rsidRPr="008F7397" w:rsidRDefault="00183843" w:rsidP="00183843">
            <w:pPr>
              <w:rPr>
                <w:rFonts w:asciiTheme="majorBidi" w:hAnsiTheme="majorBidi" w:cstheme="majorBidi"/>
                <w:bCs/>
                <w:sz w:val="24"/>
                <w:szCs w:val="24"/>
              </w:rPr>
            </w:pPr>
            <w:r w:rsidRPr="008F7397">
              <w:rPr>
                <w:rFonts w:asciiTheme="majorBidi" w:hAnsiTheme="majorBidi" w:cstheme="majorBidi"/>
                <w:bCs/>
                <w:sz w:val="24"/>
                <w:szCs w:val="24"/>
              </w:rPr>
              <w:t>min(3,RSK+1/2*PIM1)</w:t>
            </w:r>
          </w:p>
        </w:tc>
        <w:tc>
          <w:tcPr>
            <w:tcW w:w="4536" w:type="dxa"/>
          </w:tcPr>
          <w:p w:rsidR="00183843" w:rsidRPr="008F7397" w:rsidRDefault="00183843" w:rsidP="005D7A0D">
            <w:pPr>
              <w:rPr>
                <w:rFonts w:asciiTheme="majorBidi" w:hAnsiTheme="majorBidi" w:cstheme="majorBidi"/>
                <w:sz w:val="24"/>
                <w:szCs w:val="24"/>
              </w:rPr>
            </w:pPr>
            <w:r w:rsidRPr="008F7397">
              <w:rPr>
                <w:rFonts w:asciiTheme="majorBidi" w:hAnsiTheme="majorBidi" w:cstheme="majorBidi"/>
                <w:sz w:val="24"/>
                <w:szCs w:val="24"/>
              </w:rPr>
              <w:t>PIM1 regulates the phosphorylation of EIF4B on Se</w:t>
            </w:r>
            <w:r w:rsidR="00133DC7" w:rsidRPr="008F7397">
              <w:rPr>
                <w:rFonts w:asciiTheme="majorBidi" w:hAnsiTheme="majorBidi" w:cstheme="majorBidi"/>
                <w:sz w:val="24"/>
                <w:szCs w:val="24"/>
              </w:rPr>
              <w:t xml:space="preserve">r406, </w:t>
            </w:r>
            <w:r w:rsidRPr="008F7397">
              <w:rPr>
                <w:rFonts w:asciiTheme="majorBidi" w:hAnsiTheme="majorBidi" w:cstheme="majorBidi"/>
                <w:sz w:val="24"/>
                <w:szCs w:val="24"/>
              </w:rPr>
              <w:t xml:space="preserve">required for the binding of EIF4B to the eIF3 translation initiation complex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Hp36dIFt","properties":{"formattedCitation":"[7]","plainCitation":"[7]"},"citationItems":[{"id":349,"uris":["http://zotero.org/users/2553926/items/3NCDH4Z5"],"uri":["http://zotero.org/users/2553926/items/3NCDH4Z5"],"itemData":{"id":349,"type":"article-journal","title":"The Pim-1 protein kinase is an important regulator of MET receptor tyrosine kinase levels and signaling","container-title":"Molecular and Cellular Biology","page":"2517-2532","volume":"34","issue":"13","source":"PubMed","abstract":"MET, the receptor for hepatocyte growth factor (HGF), plays an important role in signaling normal and tumor cell migration and invasion. Here, we describe a previously unrecognized mechanism that promotes MET expression in multiple tumor cell types. The levels of the Pim-1 protein kinase show a positive correlation with the levels of MET protein in human tumor cell lines and patient-derived tumor materials. Using small interfering RNA (siRNA), Pim knockout mice, small-molecule inhibitors, and overexpression of Pim-1, we confirmed this correlation and found that Pim-1 kinase activity regulates HGF-induced tumor cell migration, invasion, and cell scattering. The novel biochemical mechanism for these effects involves the ability of Pim-1 to control the translation of MET by regulating the phosphorylation of eukaryotic initiation factor 4B (eIF4B) on S406. This targeted phosphorylation is required for the binding of eIF4B to the eIF3 translation initiation complex. Importantly, Pim-1 action was validated by the evaluation of patient blood and bone marrow from a phase I clinical trial of a Pim kinase inhibitor, AZD1208. These results suggest that Pim inhibitors may have an important role in the treatment of patients where MET is driving tumor biology.","DOI":"10.1128/MCB.00147-14","ISSN":"1098-5549","note":"PMID: 24777602\nPMCID: PMC4054323","journalAbbreviation":"Mol. Cell. Biol.","language":"eng","author":[{"family":"Cen","given":"Bo"},{"family":"Xiong","given":"Ying"},{"family":"Song","given":"Jin H."},{"family":"Mahajan","given":"Sandeep"},{"family":"DuPont","given":"Rachel"},{"family":"McEachern","given":"Kristen"},{"family":"DeAngelo","given":"Daniel J."},{"family":"Cortes","given":"Jorge E."},{"family":"Minden","given":"Mark D."},{"family":"Ebens","given":"Allen"},{"family":"Mims","given":"Alice"},{"family":"LaRue","given":"Amanda C."},{"family":"Kraft","given":"Andrew S."}],"issued":{"date-parts":[["2014",7]]}}}],"schema":"https://github.com/citation-style-language/schema/raw/master/csl-citation.json"}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[7]</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 xml:space="preserve">. In concurance, EIF4B is over-expressed in MOLM16 and MV411 cell lines, as was evident in our RPPA data (Fig 3B), and is responsive to PIMs inhibitor. </w:t>
            </w:r>
          </w:p>
          <w:p w:rsidR="00183843" w:rsidRPr="008F7397" w:rsidRDefault="00183843" w:rsidP="005D7A0D">
            <w:pPr>
              <w:rPr>
                <w:rFonts w:asciiTheme="majorBidi" w:hAnsiTheme="majorBidi" w:cstheme="majorBidi"/>
                <w:bCs/>
                <w:sz w:val="24"/>
                <w:szCs w:val="24"/>
              </w:rPr>
            </w:pPr>
            <w:r w:rsidRPr="008F7397">
              <w:rPr>
                <w:rFonts w:asciiTheme="majorBidi" w:hAnsiTheme="majorBidi" w:cstheme="majorBidi"/>
                <w:sz w:val="24"/>
                <w:szCs w:val="24"/>
              </w:rPr>
              <w:t xml:space="preserve">Zoncu et al.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lKeTQXqG","properties":{"formattedCitation":"[8]","plainCitation":"[8]"},"citationItems":[{"id":347,"uris":["http://zotero.org/users/2553926/items/XIIEKS5W"],"uri":["http://zotero.org/users/2553926/items/XIIEKS5W"],"itemData":{"id":347,"type":"article-journal","title":"mTOR: from growth signal integration to cancer, diabetes and ageing","container-title":"Nature Reviews. Molecular Cell Biology","page":"21-35","volume":"12","issue":"1","source":"PubMed","abstract":"In all eukaryotes, the target of rapamycin (TOR) signalling pathway couples energy and nutrient abundance to the execution of cell growth and division, owing to the ability of TOR protein kinase to simultaneously sense energy, nutrients and stress and, in metazoans, growth factors. Mammalian TOR complex 1 (mTORC1) and mTORC2 exert their actions by regulating other important kinases, such as S6 kinase (S6K) and Akt. In the past few years, a significant advance in our understanding of the regulation and functions of mTOR has revealed the crucial involvement of this signalling pathway in the onset and progression of diabetes, cancer and ageing.","DOI":"10.1038/nrm3025","ISSN":"1471-0080","note":"PMID: 21157483\nPMCID: PMC3390257","shortTitle":"mTOR","journalAbbreviation":"Nat. Rev. Mol. Cell Biol.","language":"eng","author":[{"family":"Zoncu","given":"Roberto"},{"family":"Efeyan","given":"Alejo"},{"family":"Sabatini","given":"David M."}],"issued":{"date-parts":[["2011",1]]}}}],"schema":"https://github.com/citation-style-language/schema/raw/master/csl-citation.json"}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[8]</w:t>
            </w:r>
            <w:r w:rsidR="00760C56" w:rsidRPr="008F7397">
              <w:rPr>
                <w:rFonts w:asciiTheme="majorBidi" w:hAnsiTheme="majorBidi" w:cstheme="majorBidi"/>
                <w:sz w:val="24"/>
                <w:szCs w:val="24"/>
              </w:rPr>
              <w:fldChar w:fldCharType="end"/>
            </w:r>
            <w:r w:rsidR="00263BB6" w:rsidRPr="008F7397">
              <w:rPr>
                <w:rFonts w:asciiTheme="majorBidi" w:hAnsiTheme="majorBidi" w:cstheme="majorBidi"/>
                <w:sz w:val="24"/>
                <w:szCs w:val="24"/>
              </w:rPr>
              <w:t xml:space="preserve"> </w:t>
            </w:r>
            <w:r w:rsidRPr="008F7397">
              <w:rPr>
                <w:rFonts w:asciiTheme="majorBidi" w:hAnsiTheme="majorBidi" w:cstheme="majorBidi"/>
                <w:sz w:val="24"/>
                <w:szCs w:val="24"/>
              </w:rPr>
              <w:t>show that in addition EIF4B is phosphorylated and activated by RSK.</w:t>
            </w:r>
          </w:p>
        </w:tc>
      </w:tr>
      <w:tr w:rsidR="00183843" w:rsidRPr="008F7397" w:rsidTr="00183843">
        <w:trPr>
          <w:cantSplit/>
        </w:trPr>
        <w:tc>
          <w:tcPr>
            <w:tcW w:w="1173" w:type="dxa"/>
          </w:tcPr>
          <w:p w:rsidR="00183843" w:rsidRPr="008F7397" w:rsidRDefault="00183843" w:rsidP="00EB3FAC">
            <w:pPr>
              <w:rPr>
                <w:rFonts w:asciiTheme="majorBidi" w:hAnsiTheme="majorBidi" w:cstheme="majorBidi"/>
                <w:bCs/>
                <w:sz w:val="24"/>
                <w:szCs w:val="24"/>
              </w:rPr>
            </w:pPr>
            <w:r w:rsidRPr="008F7397">
              <w:rPr>
                <w:rFonts w:asciiTheme="majorBidi" w:hAnsiTheme="majorBidi" w:cstheme="majorBidi"/>
                <w:bCs/>
                <w:sz w:val="24"/>
                <w:szCs w:val="24"/>
              </w:rPr>
              <w:t>EIF3</w:t>
            </w:r>
          </w:p>
        </w:tc>
        <w:tc>
          <w:tcPr>
            <w:tcW w:w="1195" w:type="dxa"/>
          </w:tcPr>
          <w:p w:rsidR="00183843" w:rsidRPr="008F7397" w:rsidRDefault="00183843" w:rsidP="00EB3FAC">
            <w:pPr>
              <w:rPr>
                <w:rFonts w:asciiTheme="majorBidi" w:hAnsiTheme="majorBidi" w:cstheme="majorBidi"/>
                <w:bCs/>
                <w:sz w:val="24"/>
                <w:szCs w:val="24"/>
              </w:rPr>
            </w:pPr>
            <w:r w:rsidRPr="008F7397">
              <w:rPr>
                <w:rFonts w:asciiTheme="majorBidi" w:hAnsiTheme="majorBidi" w:cstheme="majorBidi"/>
                <w:bCs/>
                <w:sz w:val="24"/>
                <w:szCs w:val="24"/>
              </w:rPr>
              <w:t>AVG(EIF4B/ EIF4E, PIM1)</w:t>
            </w:r>
          </w:p>
        </w:tc>
        <w:tc>
          <w:tcPr>
            <w:tcW w:w="1709" w:type="dxa"/>
          </w:tcPr>
          <w:p w:rsidR="00183843" w:rsidRPr="008F7397" w:rsidRDefault="00183843" w:rsidP="00EB3FAC">
            <w:pPr>
              <w:rPr>
                <w:rFonts w:asciiTheme="majorBidi" w:hAnsiTheme="majorBidi" w:cstheme="majorBidi"/>
                <w:bCs/>
                <w:sz w:val="24"/>
                <w:szCs w:val="24"/>
              </w:rPr>
            </w:pPr>
            <w:r w:rsidRPr="008F7397">
              <w:rPr>
                <w:rFonts w:asciiTheme="majorBidi" w:hAnsiTheme="majorBidi" w:cstheme="majorBidi"/>
                <w:bCs/>
                <w:sz w:val="24"/>
                <w:szCs w:val="24"/>
              </w:rPr>
              <w:t>min(EIF4E,EIF4B)</w:t>
            </w:r>
          </w:p>
        </w:tc>
        <w:tc>
          <w:tcPr>
            <w:tcW w:w="4536" w:type="dxa"/>
          </w:tcPr>
          <w:p w:rsidR="00183843" w:rsidRPr="008F7397" w:rsidRDefault="00183843" w:rsidP="005D7A0D">
            <w:pPr>
              <w:rPr>
                <w:rFonts w:asciiTheme="majorBidi" w:hAnsiTheme="majorBidi" w:cstheme="majorBidi"/>
                <w:bCs/>
                <w:sz w:val="24"/>
                <w:szCs w:val="24"/>
              </w:rPr>
            </w:pPr>
            <w:r w:rsidRPr="008F7397">
              <w:rPr>
                <w:rFonts w:asciiTheme="majorBidi" w:hAnsiTheme="majorBidi" w:cstheme="majorBidi"/>
                <w:bCs/>
                <w:sz w:val="24"/>
                <w:szCs w:val="24"/>
              </w:rPr>
              <w:t xml:space="preserve">Phosphorelated EIF4B binds </w:t>
            </w:r>
            <w:r w:rsidRPr="008F7397">
              <w:rPr>
                <w:rFonts w:asciiTheme="majorBidi" w:hAnsiTheme="majorBidi" w:cstheme="majorBidi"/>
                <w:sz w:val="24"/>
                <w:szCs w:val="24"/>
              </w:rPr>
              <w:t xml:space="preserve">to the eIF3 translation initiation complex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4u8qHFNO","properties":{"formattedCitation":"[7]","plainCitation":"[7]"},"citationItems":[{"id":349,"uris":["http://zotero.org/users/2553926/items/3NCDH4Z5"],"uri":["http://zotero.org/users/2553926/items/3NCDH4Z5"],"itemData":{"id":349,"type":"article-journal","title":"The Pim-1 protein kinase is an important regulator of MET receptor tyrosine kinase levels and signaling","container-title":"Molecular and Cellular Biology","page":"2517-2532","volume":"34","issue":"13","source":"PubMed","abstract":"MET, the receptor for hepatocyte growth factor (HGF), plays an important role in signaling normal and tumor cell migration and invasion. Here, we describe a previously unrecognized mechanism that promotes MET expression in multiple tumor cell types. The levels of the Pim-1 protein kinase show a positive correlation with the levels of MET protein in human tumor cell lines and patient-derived tumor materials. Using small interfering RNA (siRNA), Pim knockout mice, small-molecule inhibitors, and overexpression of Pim-1, we confirmed this correlation and found that Pim-1 kinase activity regulates HGF-induced tumor cell migration, invasion, and cell scattering. The novel biochemical mechanism for these effects involves the ability of Pim-1 to control the translation of MET by regulating the phosphorylation of eukaryotic initiation factor 4B (eIF4B) on S406. This targeted phosphorylation is required for the binding of eIF4B to the eIF3 translation initiation complex. Importantly, Pim-1 action was validated by the evaluation of patient blood and bone marrow from a phase I clinical trial of a Pim kinase inhibitor, AZD1208. These results suggest that Pim inhibitors may have an important role in the treatment of patients where MET is driving tumor biology.","DOI":"10.1128/MCB.00147-14","ISSN":"1098-5549","note":"PMID: 24777602\nPMCID: PMC4054323","journalAbbreviation":"Mol. Cell. Biol.","language":"eng","author":[{"family":"Cen","given":"Bo"},{"family":"Xiong","given":"Ying"},{"family":"Song","given":"Jin H."},{"family":"Mahajan","given":"Sandeep"},{"family":"DuPont","given":"Rachel"},{"family":"McEachern","given":"Kristen"},{"family":"DeAngelo","given":"Daniel J."},{"family":"Cortes","given":"Jorge E."},{"family":"Minden","given":"Mark D."},{"family":"Ebens","given":"Allen"},{"family":"Mims","given":"Alice"},{"family":"LaRue","given":"Amanda C."},{"family":"Kraft","given":"Andrew S."}],"issued":{"date-parts":[["2014",7]]}}}],"schema":"https://github.com/citation-style-language/schema/raw/master/csl-citation.json"}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[7]</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w:t>
            </w:r>
            <w:r w:rsidRPr="008F7397">
              <w:rPr>
                <w:rFonts w:asciiTheme="majorBidi" w:hAnsiTheme="majorBidi" w:cstheme="majorBidi"/>
                <w:bCs/>
                <w:sz w:val="24"/>
                <w:szCs w:val="24"/>
              </w:rPr>
              <w:t xml:space="preserve"> EIF4E</w:t>
            </w:r>
            <w:r w:rsidR="00263BB6" w:rsidRPr="008F7397">
              <w:rPr>
                <w:rFonts w:asciiTheme="majorBidi" w:hAnsiTheme="majorBidi" w:cstheme="majorBidi"/>
                <w:bCs/>
                <w:sz w:val="24"/>
                <w:szCs w:val="24"/>
              </w:rPr>
              <w:t xml:space="preserve"> </w:t>
            </w:r>
            <w:r w:rsidRPr="008F7397">
              <w:rPr>
                <w:rFonts w:asciiTheme="majorBidi" w:hAnsiTheme="majorBidi" w:cstheme="majorBidi"/>
                <w:sz w:val="24"/>
                <w:szCs w:val="24"/>
              </w:rPr>
              <w:t xml:space="preserve">bridges the ribosome to the mRNA via eIF3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NsJSzeml","properties":{"formattedCitation":"[9]","plainCitation":"[9]"},"citationItems":[{"id":351,"uris":["http://zotero.org/users/2553926/items/MST2A8XE"],"uri":["http://zotero.org/users/2553926/items/MST2A8XE"],"itemData":{"id":351,"type":"article-journal","title":"Eukaryotic Translation Initiation Factor 4E (eIF4E) Binding Site and the Middle One-Third of eIF4GI Constitute the Core Domain for Cap-Dependent Translation, and the C-Terminal One-Third Functions as a Modulatory Region","container-title":"Molecular and Cellular Biology","page":"468-477","volume":"20","issue":"2","source":"PubMed Central","abstract":"The mammalian eukaryotic initiation factor 4GI (eIF4GI) may be divided into three roughly equal regions; an amino-terminal one-third (amino acids [aa] 1 to 634), which contains the poly(A) binding protein (PABP) and eIF4E binding sites; a middle third (aa 635 to 1039), which binds eIF4A and eIF3; and a carboxy-terminal third (aa 1040 to 1560), which harbors a second eIF4A binding site and a docking sequence for the Ser/Thr kinase Mnk1. Previous reports demonstrated that the middle one-third of eIF4GI is sufficient for cap-independent translation. To delineate the eIF4GI core sequence required for cap-dependent translation, various truncated versions of eIF4GI were examined in an in vitro ribosome binding assay with β-globin mRNA. A sequence of 540 aa encompassing aa 550 to 1090, which contains the eIF4E binding site and the middle region of eIF4GI, is the minimal sequence required for cap-dependent translation. In agreement with this, a point mutation in eIF4GI which abolished eIF4A binding in the middle region completely inhibited ribosomal binding. However, the eIF4GI C-terminal third region, which does not have a counterpart in yeast, modulates the activity of the core sequence. When the eIF4A binding site in the C-terminal region of eIF4GI was mutated, ribosome binding was decreased three- to fourfold. These data indicate that the interaction of eIF4A with the middle region of eIF4GI is necessary for translation, whereas the interaction of eIF4A with the C-terminal region plays a modulatory role.","ISSN":"0270-7306","note":"PMID: 10611225\nPMCID: PMC85104","journalAbbreviation":"Mol Cell Biol","author":[{"family":"Morino","given":"Shigenobu"},{"family":"Imataka","given":"Hiroaki"},{"family":"Svitkin","given":"Yuri V."},{"family":"Pestova","given":"Tatyana V."},{"family":"Sonenberg","given":"Nahum"}],"issued":{"date-parts":[["2000",1]]}}}],"schema":"https://github.com/citation-style-language/schema/raw/master/csl-citation.json"}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[9]</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w:t>
            </w:r>
          </w:p>
        </w:tc>
      </w:tr>
      <w:tr w:rsidR="00183843" w:rsidRPr="008F7397" w:rsidTr="00183843">
        <w:trPr>
          <w:cantSplit/>
        </w:trPr>
        <w:tc>
          <w:tcPr>
            <w:tcW w:w="1173" w:type="dxa"/>
          </w:tcPr>
          <w:p w:rsidR="00183843" w:rsidRPr="008F7397" w:rsidRDefault="00183843" w:rsidP="00EB3FAC">
            <w:pPr>
              <w:rPr>
                <w:rFonts w:asciiTheme="majorBidi" w:hAnsiTheme="majorBidi" w:cstheme="majorBidi"/>
                <w:bCs/>
                <w:sz w:val="24"/>
                <w:szCs w:val="24"/>
              </w:rPr>
            </w:pPr>
            <w:r w:rsidRPr="008F7397">
              <w:rPr>
                <w:rFonts w:asciiTheme="majorBidi" w:hAnsiTheme="majorBidi" w:cstheme="majorBidi"/>
                <w:bCs/>
                <w:sz w:val="24"/>
                <w:szCs w:val="24"/>
              </w:rPr>
              <w:lastRenderedPageBreak/>
              <w:t>4EBP1</w:t>
            </w:r>
          </w:p>
        </w:tc>
        <w:tc>
          <w:tcPr>
            <w:tcW w:w="1195" w:type="dxa"/>
          </w:tcPr>
          <w:p w:rsidR="00183843" w:rsidRPr="008F7397" w:rsidRDefault="00183843" w:rsidP="00EB3FAC">
            <w:pPr>
              <w:rPr>
                <w:rFonts w:asciiTheme="majorBidi" w:hAnsiTheme="majorBidi" w:cstheme="majorBidi"/>
                <w:bCs/>
                <w:sz w:val="24"/>
                <w:szCs w:val="24"/>
              </w:rPr>
            </w:pPr>
            <w:r w:rsidRPr="008F7397">
              <w:rPr>
                <w:rFonts w:asciiTheme="majorBidi" w:hAnsiTheme="majorBidi" w:cstheme="majorBidi"/>
                <w:bCs/>
                <w:sz w:val="24"/>
                <w:szCs w:val="24"/>
              </w:rPr>
              <w:t>AVG(PIM2, PIM1, mTORC1, EIF3)</w:t>
            </w:r>
          </w:p>
        </w:tc>
        <w:tc>
          <w:tcPr>
            <w:tcW w:w="1709" w:type="dxa"/>
          </w:tcPr>
          <w:p w:rsidR="00183843" w:rsidRPr="008F7397" w:rsidRDefault="00183843" w:rsidP="00EB3FAC">
            <w:pPr>
              <w:rPr>
                <w:rFonts w:asciiTheme="majorBidi" w:hAnsiTheme="majorBidi" w:cstheme="majorBidi"/>
                <w:bCs/>
                <w:sz w:val="24"/>
                <w:szCs w:val="24"/>
              </w:rPr>
            </w:pPr>
            <w:r w:rsidRPr="008F7397">
              <w:rPr>
                <w:rFonts w:asciiTheme="majorBidi" w:hAnsiTheme="majorBidi" w:cstheme="majorBidi"/>
                <w:bCs/>
                <w:sz w:val="24"/>
                <w:szCs w:val="24"/>
              </w:rPr>
              <w:t>2/3*mTORC1+1/6*EIF3+1/6*PIM2</w:t>
            </w:r>
          </w:p>
        </w:tc>
        <w:tc>
          <w:tcPr>
            <w:tcW w:w="4536" w:type="dxa"/>
          </w:tcPr>
          <w:p w:rsidR="00183843" w:rsidRPr="008F7397" w:rsidRDefault="00183843" w:rsidP="005D7A0D">
            <w:pPr>
              <w:rPr>
                <w:rFonts w:asciiTheme="majorBidi" w:hAnsiTheme="majorBidi" w:cstheme="majorBidi"/>
                <w:sz w:val="24"/>
                <w:szCs w:val="24"/>
              </w:rPr>
            </w:pPr>
            <w:r w:rsidRPr="008F7397">
              <w:rPr>
                <w:rFonts w:asciiTheme="majorBidi" w:hAnsiTheme="majorBidi" w:cstheme="majorBidi"/>
                <w:sz w:val="24"/>
                <w:szCs w:val="24"/>
                <w:lang w:val="en-US"/>
              </w:rPr>
              <w:t xml:space="preserve">Released from PRAS40 inhibition </w:t>
            </w:r>
            <w:r w:rsidR="00760C56" w:rsidRPr="008F7397">
              <w:rPr>
                <w:rFonts w:asciiTheme="majorBidi" w:hAnsiTheme="majorBidi" w:cstheme="majorBidi"/>
                <w:sz w:val="24"/>
                <w:szCs w:val="24"/>
                <w:lang w:val="en-US"/>
              </w:rPr>
              <w:fldChar w:fldCharType="begin"/>
            </w:r>
            <w:r w:rsidR="005D7A0D" w:rsidRPr="008F7397">
              <w:rPr>
                <w:rFonts w:asciiTheme="majorBidi" w:hAnsiTheme="majorBidi" w:cstheme="majorBidi"/>
                <w:sz w:val="24"/>
                <w:szCs w:val="24"/>
                <w:lang w:val="en-US"/>
              </w:rPr>
              <w:instrText xml:space="preserve"> ADDIN ZOTERO_ITEM CSL_CITATION {"citationID":"xFnkfBbE","properties":{"formattedCitation":"[3]","plainCitation":"[3]"},"citationItems":[{"id":326,"uris":["http://zotero.org/users/2553926/items/6G59U3RR"],"uri":["http://zotero.org/users/2553926/items/6G59U3RR"],"itemData":{"id":326,"type":"article-journal","title":"Pim kinases phosphorylate Chk1 and regulate its functions in acute myeloid leukemia","container-title":"Leukemia","page":"293-301","volume":"28","issue":"2","source":"PubMed","abstract":"Phosphorylation by Akt on Ser 280 was reported to induce cytoplasmic retention and inactivation of CHK1 with consequent genetic instability in PTEN-/- cells. In acute myeloid leukemia cells carrying the FLT3-internal tandem duplication (ITD) mutation, we observed high rates of FLT3-ITD-dependent CHK1 Ser 280 phosphorylation. Pharmacological inhibition and RNA interference identified Pim1/2, not Akt, as effectors of this phosphorylation. Pim1 catalyzed Ser 280 phosphorylation in vitro and ectopic expression of Pim1/2-induced CHK1 phosphorylation. Ser 280 phosphorylation did not modify CHK1 localization, but facilitated its cell cycle and resistance functions in leukemic cells. FLT3, PIM or CHK1 inhibitors synergized with DNA-damaging agents to induce apoptosis, allowing cells to bypass the etoposide-induced G2/M arrest. Consistently, etoposide-induced CHK1-dependent phosphorylations of CDC25C on Ser 216 and histone H3 on Thr11 were decreased upon FLT3 inhibition. Accordingly, ectopic expression of CHK1 improved the resistance of FLT3-ITD cells and maintained histone H3 phosphorylation in response to DNA damage, whereas expression of unphosphorylated Ser 280Ala mutant did not. Finally, FLT3- and Pim-dependent phosphorylation of CHK1 on Ser 280 was confirmed in primary blasts from patients. These results identify a new pathway involved in the resistance of FLT3-ITD leukemic cells to genotoxic agents, and they constitute the first report of CHK1 Ser 280 regulation in myeloid malignancies.","DOI":"10.1038/leu.2013.168","ISSN":"1476-5551","note":"PMID: 23748345","journalAbbreviation":"Leukemia","language":"eng","author":[{"family":"Yuan","given":"L. L."},{"family":"Green","given":"A. S."},{"family":"Bertoli","given":"S."},{"family":"Grimal","given":"F."},{"family":"Mansat-De Mas","given":"V."},{"family":"Dozier","given":"C."},{"family":"Tamburini","given":"J."},{"family":"Récher","given":"C."},{"family":"Didier","given":"C."},{"family":"Manenti","given":"S."}],"issued":{"date-parts":[["2014",2]]}}}],"schema":"https://github.com/citation-style-language/schema/raw/master/csl-citation.json"} </w:instrText>
            </w:r>
            <w:r w:rsidR="00760C56" w:rsidRPr="008F7397">
              <w:rPr>
                <w:rFonts w:asciiTheme="majorBidi" w:hAnsiTheme="majorBidi" w:cstheme="majorBidi"/>
                <w:sz w:val="24"/>
                <w:szCs w:val="24"/>
                <w:lang w:val="en-US"/>
              </w:rPr>
              <w:fldChar w:fldCharType="separate"/>
            </w:r>
            <w:r w:rsidR="005D7A0D" w:rsidRPr="008F7397">
              <w:rPr>
                <w:rFonts w:ascii="Times New Roman" w:hAnsi="Times New Roman" w:cs="Times New Roman"/>
                <w:sz w:val="24"/>
              </w:rPr>
              <w:t>[3]</w:t>
            </w:r>
            <w:r w:rsidR="00760C56" w:rsidRPr="008F7397">
              <w:rPr>
                <w:rFonts w:asciiTheme="majorBidi" w:hAnsiTheme="majorBidi" w:cstheme="majorBidi"/>
                <w:sz w:val="24"/>
                <w:szCs w:val="24"/>
                <w:lang w:val="en-US"/>
              </w:rPr>
              <w:fldChar w:fldCharType="end"/>
            </w:r>
            <w:r w:rsidRPr="008F7397">
              <w:rPr>
                <w:rFonts w:asciiTheme="majorBidi" w:hAnsiTheme="majorBidi" w:cstheme="majorBidi"/>
                <w:sz w:val="24"/>
                <w:szCs w:val="24"/>
                <w:lang w:val="en-US"/>
              </w:rPr>
              <w:t xml:space="preserve"> mTORC1 </w:t>
            </w:r>
            <w:r w:rsidRPr="008F7397">
              <w:rPr>
                <w:rFonts w:asciiTheme="majorBidi" w:hAnsiTheme="majorBidi" w:cstheme="majorBidi"/>
                <w:sz w:val="24"/>
                <w:szCs w:val="24"/>
              </w:rPr>
              <w:t>phosphorylates</w:t>
            </w:r>
            <w:r w:rsidR="005D7A0D" w:rsidRPr="008F7397">
              <w:rPr>
                <w:rFonts w:asciiTheme="majorBidi" w:hAnsiTheme="majorBidi" w:cstheme="majorBidi"/>
                <w:sz w:val="24"/>
                <w:szCs w:val="24"/>
              </w:rPr>
              <w:t xml:space="preserve"> </w:t>
            </w:r>
            <w:r w:rsidRPr="008F7397">
              <w:rPr>
                <w:rFonts w:asciiTheme="majorBidi" w:hAnsiTheme="majorBidi" w:cstheme="majorBidi"/>
                <w:sz w:val="24"/>
                <w:szCs w:val="24"/>
              </w:rPr>
              <w:t>4EBP1</w:t>
            </w:r>
            <w:r w:rsidR="005D7A0D" w:rsidRPr="008F7397">
              <w:rPr>
                <w:rFonts w:asciiTheme="majorBidi" w:hAnsiTheme="majorBidi" w:cstheme="majorBidi"/>
                <w:sz w:val="24"/>
                <w:szCs w:val="24"/>
              </w:rPr>
              <w:t xml:space="preserve">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eanm32usp","properties":{"formattedCitation":"[10]","plainCitation":"[10]"},"citationItems":[{"id":360,"uris":["http://zotero.org/users/2553926/items/JJQ5IV5U"],"uri":["http://zotero.org/users/2553926/items/JJQ5IV5U"],"itemData":{"id":360,"type":"article-journal","title":"Active-Site Inhibitors of mTOR Target Rapamycin-Resistant Outputs of mTORC1 and mTORC2","container-title":"PLOS Biol","page":"e1000038","volume":"7","issue":"2","source":"PLoS Journals","abstract":"Cells rely on the mammalian target of rapamycin kinase (mTOR) to sense growth factors. Inhibition of all forms of mTOR using newly developed inhibitors of its active site reveals new insights into the function of two mTOR-containing protein complexes and their potential as therapeutic targets.","DOI":"10.1371/journal.pbio.1000038","ISSN":"1545-7885","journalAbbreviation":"PLOS Biol","author":[{"family":"Feldman","given":"Morris E."},{"family":"Apsel","given":"Beth"},{"family":"Uotila","given":"Aino"},{"family":"Loewith","given":"Robbie"},{"family":"Knight","given":"Zachary A."},{"family":"Ruggero","given":"Davide"},{"family":"Shokat","given":"Kevan M."}],"issued":{"date-parts":[["2009",2,10]]}}}],"schema":"https://github.com/citation-style-language/schema/raw/master/csl-citation.json"}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[10]</w:t>
            </w:r>
            <w:r w:rsidR="00760C56" w:rsidRPr="008F7397">
              <w:rPr>
                <w:rFonts w:asciiTheme="majorBidi" w:hAnsiTheme="majorBidi" w:cstheme="majorBidi"/>
                <w:sz w:val="24"/>
                <w:szCs w:val="24"/>
              </w:rPr>
              <w:fldChar w:fldCharType="end"/>
            </w:r>
            <w:r w:rsidR="005D7A0D" w:rsidRPr="008F7397">
              <w:rPr>
                <w:rFonts w:asciiTheme="majorBidi" w:hAnsiTheme="majorBidi" w:cstheme="majorBidi"/>
                <w:sz w:val="24"/>
                <w:szCs w:val="24"/>
              </w:rPr>
              <w:t xml:space="preserve"> </w:t>
            </w:r>
            <w:r w:rsidRPr="008F7397">
              <w:rPr>
                <w:rFonts w:asciiTheme="majorBidi" w:hAnsiTheme="majorBidi" w:cstheme="majorBidi"/>
                <w:sz w:val="24"/>
                <w:szCs w:val="24"/>
              </w:rPr>
              <w:t xml:space="preserve">and p70S6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{"citationID":"lWX7COvO","properties":{"formattedCitation":"[6], [8], [11]","plainCitation":"[6], [8], [11]"},"citationItems":[{"id":314,"uris":["http://zotero.org/users/2553926/items/K7ZAEVIB"],"uri":["http://zotero.org/users/2553926/items/K7ZAEVIB"],"itemData":{"id":314,"type":"article-journal","title":"TORC-specific phosphorylation of mammalian target of rapamycin (mTOR): phospho-Ser2481 is a marker for intact mTOR signaling complex 2","container-title":"Cancer Research","page":"1821-1827","volume":"69","issue":"5","source":"PubMed","abstract":"The mammalian target of rapamycin (mTOR) serine/threonine kinase is the catalytic component of two evolutionarily conserved signaling complexes. mTOR signaling complex 1 (mTORC1) is a key regulator of growth factor and nutrient signaling. S6 kinase is the best-characterized downstream effector of mTORC1. mTOR signaling complex 2 (mTORC2) has a role in regulating the actin cytoskeleton and activating Akt through S473 phosphorylation. Herein, we show that mTOR is phosphorylated differentially when associated with mTORC1 and mTORC2 and that intact complexes are required for these mTORC-specific mTOR phosphorylations. Specifically, we find that mTORC1 contains mTOR phosphorylated predominantly on S2448, whereas mTORC2 contains mTOR phosphorylated predominantly on S2481. Using S2481 phosphorylation as a marker for mTORC2 sensitivity to rapamycin, we find that mTORC2 formation is in fact rapamycin sensitive in several cancer cell lines in which it had been previously reported that mTORC2 assembly and function were rapamycin insensitive. Thus, phospho-S2481 on mTOR serves as a biomarker for intact mTORC2 and its sensitivity to rapamycin.","DOI":"10.1158/0008-5472.CAN-08-3014","ISSN":"1538-7445","note":"PMID: 19244117\nPMCID: PMC2652681","shortTitle":"TORC-specific phosphorylation of mammalian target of rapamycin (mTOR)","journalAbbreviation":"Cancer Res.","language":"eng","author":[{"family":"Copp","given":"Jeremy"},{"family":"Manning","given":"Gerard"},{"family":"Hunter","given":"Tony"}],"issued":{"date-parts":[["2009",3,1]]}},"label":"page"},{"id":347,"uris":["http://zotero.org/users/2553926/items/XIIEKS5W"],"uri":["http://zotero.org/users/2553926/items/XIIEKS5W"],"itemData":{"id":347,"type":"article-journal","title":"mTOR: from growth signal integration to cancer, diabetes and ageing","container-title":"Nature Reviews. Molecular Cell Biology","page":"21-35","volume":"12","issue":"1","source":"PubMed","abstract":"In all eukaryotes, the target of rapamycin (TOR) signalling pathway couples energy and nutrient abundance to the execution of cell growth and division, owing to the ability of TOR protein kinase to simultaneously sense energy, nutrients and stress and, in metazoans, growth factors. Mammalian TOR complex 1 (mTORC1) and mTORC2 exert their actions by regulating other important kinases, such as S6 kinase (S6K) and Akt. In the past few years, a significant advance in our understanding of the regulation and functions of mTOR has revealed the crucial involvement of this signalling pathway in the onset and progression of diabetes, cancer and ageing.","DOI":"10.1038/nrm3025","ISSN":"1471-0080","note":"PMID: 21157483\nPMCID: PMC3390257","shortTitle":"mTOR","journalAbbreviation":"Nat. Rev. Mol. Cell Biol.","language":"eng","author":[{"family":"Zoncu","given":"Roberto"},{"family":"Efeyan","given":"Alejo"},{"family":"Sabatini","given":"David M."}],"issued":{"date-parts":[["2011",1]]}},"label":"page"},{"id":345,"uris":["http://zotero.org/users/2553926/items/8C3EWTRV"],"uri":["http://zotero.org/users/2553926/items/8C3EWTRV"],"itemData":{"id":345,"type":"article-journal","title":"PIM1 protein kinase regulates PRAS40 phosphorylation and mTOR activity in FDCP1 cells","container-title":"Cancer Biology &amp; Therapy","page":"846-853","volume":"8","issue":"9","source":"PubMed","abstract":"PIM1 is a serine/threonine kinase that has diverse biological roles in cell survival, proliferation and differentiation. PIM1 has been implicated in early transformation and tumor progression in haematopoietic malignancies and prostate carcinomas. The ability of PIM1 to regulate these processes is thought to be in part secondary to its activity in stimulating 4EBP1 phosphorylation and enhancement of protein synthesis. Because 4EBP1 is an mTOR substrate, we have investigated how PIM1 might regulate this latter enzyme. We have examined the ability of PIM1 to modulate PRAS40, a protein known to negatively regulate mTOR activity in FDCP1 cells. Upon phosphorylation, PRAS40 dissociates from the mTOR complex and increases mTOR kinase activity. We find that enforced overexpression of PIM1 increases PRAS40 phosphorylation at Thr(246), an AKT phosphorylation site, whether grown in complete media or deprived of IL-3 and serum. The increase in PRAS40 phosphorylation was independent of AKT activation and not inhibited by wortmannin. In vitro kinase assays indicate that the PIM1 protein kinase is capable of directly phosphorylating Thr(246) in PRAS40. PIM1 protein kinase overexpression reduced the association of PRAS40 with mTOR, and increased the mTOR directed phosphorylation of 4EBP1 and p70S6Kinase. Treatment of FDCP1 cells transfected with PIM1 (FD/mpim44) with small molecule inhibitors of PIM1 kinase activity reduced both PRAS40 and 4EBP1 phosphorylation. These results suggest that PIM1 regulates mTOR activity through phosphorylation of PRAS40. Thus, increases in mTOR activity mediated by the PIM protein kinase may have the potential to control cell growth.","ISSN":"1555-8576","note":"PMID: 19276681","journalAbbreviation":"Cancer Biol. Ther.","language":"eng","author":[{"family":"Zhang","given":"Fengxue"},{"family":"Beharry","given":"Zanna M."},{"family":"Harris","given":"Thurl E."},{"family":"Lilly","given":"Michael B."},{"family":"Smith","given":"Charles D."},{"family":"Mahajan","given":"Sandeep"},{"family":"Kraft","given":"Andrew S."}],"issued":{"date-parts":[["2009",5]]}},"label":"page"}],"schema":"https://github.com/citation-style-language/schema/raw/master/csl-citation.json"}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[6], [8], [11]</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 xml:space="preserve">. eIF3 binds mTORC1 and recruits it to untranslated mRnAs so that it is optimally placed to phosphorylate s6K1 and 4EBP1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NI72mVvH","properties":{"formattedCitation":"[8]","plainCitation":"[8]"},"citationItems":[{"id":347,"uris":["http://zotero.org/users/2553926/items/XIIEKS5W"],"uri":["http://zotero.org/users/2553926/items/XIIEKS5W"],"itemData":{"id":347,"type":"article-journal","title":"mTOR: from growth signal integration to cancer, diabetes and ageing","container-title":"Nature Reviews. Molecular Cell Biology","page":"21-35","volume":"12","issue":"1","source":"PubMed","abstract":"In all eukaryotes, the target of rapamycin (TOR) signalling pathway couples energy and nutrient abundance to the execution of cell growth and division, owing to the ability of TOR protein kinase to simultaneously sense energy, nutrients and stress and, in metazoans, growth factors. Mammalian TOR complex 1 (mTORC1) and mTORC2 exert their actions by regulating other important kinases, such as S6 kinase (S6K) and Akt. In the past few years, a significant advance in our understanding of the regulation and functions of mTOR has revealed the crucial involvement of this signalling pathway in the onset and progression of diabetes, cancer and ageing.","DOI":"10.1038/nrm3025","ISSN":"1471-0080","note":"PMID: 21157483\nPMCID: PMC3390257","shortTitle":"mTOR","journalAbbreviation":"Nat. Rev. Mol. Cell Biol.","language":"eng","author":[{"family":"Zoncu","given":"Roberto"},{"family":"Efeyan","given":"Alejo"},{"family":"Sabatini","given":"David M."}],"issued":{"date-parts":[["2011",1]]}}}],"schema":"https://github.com/citation-style-language/schema/raw/master/csl-citation.json"}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[8]</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 xml:space="preserve">. Independiently, PIM2 directly phosphorylate 4EBP1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PbIdp6Sb","properties":{"formattedCitation":"[12]","plainCitation":"[12]"},"citationItems":[{"id":354,"uris":["http://zotero.org/users/2553926/items/78AKN3DZ"],"uri":["http://zotero.org/users/2553926/items/78AKN3DZ"],"itemData":{"id":354,"type":"article-journal","title":"CHES1/FOXN3 regulates cell proliferation by repressing PIM2 and protein biosynthesis","container-title":"Molecular Biology of the Cell","page":"554-565","volume":"25","issue":"5","source":"PubMed","abstract":"The expression of the forkhead transcription factor checkpoint suppressor 1 (CHES1), also known as FOXN3, is reduced in many types of cancers. We show here that CHES1 decreases protein synthesis and cell proliferation in tumor cell lines but not in normal fibroblasts. Conversely, short hairpin RNA-mediated depletion of CHES1 increases tumor cell proliferation. Growth suppression depends on the CHES1 forkhead DNA-binding domain and correlates with the nuclear localization of CHES1. CHES1 represses the expression of multiple genes, including the kinases PIM2 and DYRK3, which regulate protein biosynthesis, and a number of genes in cilium biogenesis. CHES1 binds directly to the promoter of PIM2, and in cells expressing CHES1 the levels of PIM2 are reduced, as well as the phosphorylation of the PIM2 target 4EBP1. Overexpression of PIM2 or eIF4E partially reverses the antiproliferative effect of CHES1, indicating that PIM2 and protein biosynthesis are important targets of the antiproliferative effect of CHES1. In several human hematopoietic cancers, CHES1 and PIM2 expressions are inversely correlated, suggesting that repression of PIM2 by CHES1 is clinically relevant.","DOI":"10.1091/mbc.E13-02-0110","ISSN":"1939-4586","note":"PMID: 24403608\nPMCID: PMC3937083","journalAbbreviation":"Mol. Biol. Cell","language":"eng","author":[{"family":"Huot","given":"Geneviève"},{"family":"Vernier","given":"Mathieu"},{"family":"Bourdeau","given":"Véronique"},{"family":"Doucet","given":"Laurent"},{"family":"Saint-Germain","given":"Emmanuelle"},{"family":"Gaumont-Leclerc","given":"Marie-France"},{"family":"Moro","given":"Alejandro"},{"family":"Ferbeyre","given":"Gerardo"}],"issued":{"date-parts":[["2014",3]]}}}],"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[12]</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w:t>
            </w:r>
          </w:p>
          <w:p w:rsidR="00183843" w:rsidRPr="008F7397" w:rsidRDefault="00183843" w:rsidP="005D7A0D">
            <w:pPr>
              <w:rPr>
                <w:rFonts w:asciiTheme="majorBidi" w:hAnsiTheme="majorBidi" w:cstheme="majorBidi"/>
                <w:sz w:val="24"/>
                <w:szCs w:val="24"/>
              </w:rPr>
            </w:pPr>
            <w:r w:rsidRPr="008F7397">
              <w:rPr>
                <w:rFonts w:asciiTheme="majorBidi" w:hAnsiTheme="majorBidi" w:cstheme="majorBidi"/>
                <w:sz w:val="24"/>
                <w:szCs w:val="24"/>
              </w:rPr>
              <w:t>In concurance, 4EBP1 responses moderately on S65 site to the PIMs inhibition, and with a stable consistent response to PIM and FLT3 inhibitors combination (Fig 1B). We attribute the later to FLT3 regulation of 4EBP1 through mTORC1. This finding was supported by a new study very recently, illustrating this mechanism to explain FLT-ITD patients' resistance to Bortezomib treatment</w:t>
            </w:r>
            <w:r w:rsidR="00673094" w:rsidRPr="008F7397">
              <w:rPr>
                <w:rFonts w:asciiTheme="majorBidi" w:hAnsiTheme="majorBidi" w:cstheme="majorBidi"/>
                <w:sz w:val="24"/>
                <w:szCs w:val="24"/>
              </w:rPr>
              <w:t xml:space="preserve">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2nl94rf6uf","properties":{"formattedCitation":"[13]","plainCitation":"[13]"},"citationItems":[{"id":356,"uris":["http://zotero.org/users/2553926/items/KZAJR9SB"],"uri":["http://zotero.org/users/2553926/items/KZAJR9SB"],"itemData":{"id":356,"type":"webpage","title":"FLT3-ITD Confers Resistance to Bortezomib By Protecting the mTOR/4EBP1 Pathway through Activation of STAT5 and Induction of Pim-1 Expression | Blood Journal","URL":"http://www.bloodjournal.org/content/126/23/1270?sso-checked=true","accessed":{"date-parts":[["2016",9,10]]}}}],"schema":"https://github.com/citation-style-language/schema/raw/master/csl-citation.json"}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[13]</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w:t>
            </w:r>
          </w:p>
        </w:tc>
      </w:tr>
      <w:tr w:rsidR="00183843" w:rsidRPr="008F7397" w:rsidTr="00296C44">
        <w:trPr>
          <w:cantSplit/>
          <w:trHeight w:val="3739"/>
        </w:trPr>
        <w:tc>
          <w:tcPr>
            <w:tcW w:w="1173" w:type="dxa"/>
            <w:tcBorders>
              <w:bottom w:val="single" w:sz="4" w:space="0" w:color="auto"/>
            </w:tcBorders>
          </w:tcPr>
          <w:p w:rsidR="00183843" w:rsidRPr="008F7397" w:rsidRDefault="00183843" w:rsidP="00EB3FAC">
            <w:pPr>
              <w:rPr>
                <w:rFonts w:asciiTheme="majorBidi" w:hAnsiTheme="majorBidi" w:cstheme="majorBidi"/>
                <w:bCs/>
                <w:sz w:val="24"/>
                <w:szCs w:val="24"/>
              </w:rPr>
            </w:pPr>
            <w:r w:rsidRPr="008F7397">
              <w:rPr>
                <w:rFonts w:asciiTheme="majorBidi" w:hAnsiTheme="majorBidi" w:cstheme="majorBidi"/>
                <w:bCs/>
                <w:sz w:val="24"/>
                <w:szCs w:val="24"/>
              </w:rPr>
              <w:t>EIF4E</w:t>
            </w:r>
          </w:p>
        </w:tc>
        <w:tc>
          <w:tcPr>
            <w:tcW w:w="1195" w:type="dxa"/>
            <w:tcBorders>
              <w:bottom w:val="single" w:sz="4" w:space="0" w:color="auto"/>
            </w:tcBorders>
          </w:tcPr>
          <w:p w:rsidR="00183843" w:rsidRPr="008F7397" w:rsidRDefault="00183843" w:rsidP="00EB3FAC">
            <w:pPr>
              <w:rPr>
                <w:rFonts w:asciiTheme="majorBidi" w:hAnsiTheme="majorBidi" w:cstheme="majorBidi"/>
                <w:bCs/>
                <w:sz w:val="24"/>
                <w:szCs w:val="24"/>
              </w:rPr>
            </w:pPr>
            <w:r w:rsidRPr="008F7397">
              <w:rPr>
                <w:rFonts w:asciiTheme="majorBidi" w:hAnsiTheme="majorBidi" w:cstheme="majorBidi"/>
                <w:bCs/>
                <w:sz w:val="24"/>
                <w:szCs w:val="24"/>
              </w:rPr>
              <w:t>AVG(RSK, S6, 4EBP1)</w:t>
            </w:r>
          </w:p>
        </w:tc>
        <w:tc>
          <w:tcPr>
            <w:tcW w:w="1709" w:type="dxa"/>
            <w:tcBorders>
              <w:bottom w:val="single" w:sz="4" w:space="0" w:color="auto"/>
            </w:tcBorders>
          </w:tcPr>
          <w:p w:rsidR="00183843" w:rsidRPr="008F7397" w:rsidRDefault="00183843" w:rsidP="00EB3FAC">
            <w:pPr>
              <w:rPr>
                <w:rFonts w:asciiTheme="majorBidi" w:hAnsiTheme="majorBidi" w:cstheme="majorBidi"/>
                <w:bCs/>
                <w:sz w:val="24"/>
                <w:szCs w:val="24"/>
              </w:rPr>
            </w:pPr>
            <w:r w:rsidRPr="008F7397">
              <w:rPr>
                <w:rFonts w:asciiTheme="majorBidi" w:hAnsiTheme="majorBidi" w:cstheme="majorBidi"/>
                <w:bCs/>
                <w:sz w:val="24"/>
                <w:szCs w:val="24"/>
              </w:rPr>
              <w:t>max(1/2*4EBP1,S6)</w:t>
            </w:r>
          </w:p>
        </w:tc>
        <w:tc>
          <w:tcPr>
            <w:tcW w:w="4536" w:type="dxa"/>
            <w:tcBorders>
              <w:bottom w:val="single" w:sz="4" w:space="0" w:color="auto"/>
            </w:tcBorders>
          </w:tcPr>
          <w:p w:rsidR="00183843" w:rsidRPr="008F7397" w:rsidRDefault="00183843" w:rsidP="005D7A0D">
            <w:pPr>
              <w:rPr>
                <w:rFonts w:asciiTheme="majorBidi" w:hAnsiTheme="majorBidi" w:cstheme="majorBidi"/>
                <w:bCs/>
                <w:sz w:val="24"/>
                <w:szCs w:val="24"/>
              </w:rPr>
            </w:pPr>
            <w:r w:rsidRPr="008F7397">
              <w:rPr>
                <w:rFonts w:asciiTheme="majorBidi" w:hAnsiTheme="majorBidi" w:cstheme="majorBidi"/>
                <w:sz w:val="24"/>
                <w:szCs w:val="24"/>
              </w:rPr>
              <w:t xml:space="preserve">Unphosphorylated 4EBP1 suppresses mRnA translation; however, when phosphorylated by mTORC1, 4EBP1 dissociates from eIF4E, allowing eIF4E to recruit the translation initiation factor eIF4G to the 5′ end of most mRnAs22,23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foHOg4Ak","properties":{"formattedCitation":"[4]","plainCitation":"[4]"},"citationItems":[{"id":341,"uris":["http://zotero.org/users/2553926/items/XR9A3GQ4"],"uri":["http://zotero.org/users/2553926/items/XR9A3GQ4"],"itemData":{"id":341,"type":"article-journal","title":"The Ras-ERK and PI3K-mTOR pathways: cross-talk and compensation","container-title":"Trends in Biochemical Sciences","page":"320-328","volume":"36","issue":"6","source":"PubMed","abstract":"The Ras-extracellular signal-regulated kinase (Ras-ERK) and phosphatidylinositol 3-kinase-mammalian target of rapamycin (PI3K-mTOR) signaling pathways are the chief mechanisms for controlling cell survival, differentiation, proliferation, metabolism, and motility in response to extracellular cues. Components of these pathways were among the first to be discovered when scientists began cloning proto-oncogenes and purifying cellular kinase activities in the 1980s. Ras-ERK and PI3K-mTOR were originally modeled as linear signaling conduits activated by different stimuli, yet even early experiments hinted that they might intersect to regulate each other and co-regulate downstream functions. The extent of this cross-talk and its significance in cancer therapeutics are now becoming clear.","DOI":"10.1016/j.tibs.2011.03.006","ISSN":"0968-0004","note":"PMID: 21531565\nPMCID: PMC3112285","shortTitle":"The Ras-ERK and PI3K-mTOR pathways","journalAbbreviation":"Trends Biochem. Sci.","language":"eng","author":[{"family":"Mendoza","given":"Michelle C."},{"family":"Er","given":"E. Emrah"},{"family":"Blenis","given":"John"}],"issued":{"date-parts":[["2011",6]]}}}],"schema":"https://github.com/citation-style-language/schema/raw/master/csl-citation.json"}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[4]</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 xml:space="preserve">. Yellen et al. found that independently of 4EBP1, S6 inhibition is required in order to achieve the full </w:t>
            </w:r>
            <w:r w:rsidRPr="008F7397">
              <w:rPr>
                <w:rFonts w:asciiTheme="majorBidi" w:hAnsiTheme="majorBidi" w:cstheme="majorBidi"/>
                <w:color w:val="000000"/>
                <w:sz w:val="24"/>
                <w:szCs w:val="24"/>
                <w:shd w:val="clear" w:color="auto" w:fill="FFFFFF"/>
              </w:rPr>
              <w:t>complete G1 cell cycle arrest</w:t>
            </w:r>
            <w:r w:rsidRPr="008F7397">
              <w:rPr>
                <w:rFonts w:asciiTheme="majorBidi" w:hAnsiTheme="majorBidi" w:cstheme="majorBidi"/>
                <w:sz w:val="24"/>
                <w:szCs w:val="24"/>
              </w:rPr>
              <w:t xml:space="preserve"> induced by repressed EIF4E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xiXjN9mN","properties":{"formattedCitation":"[14]","plainCitation":"[14]"},"citationItems":[{"id":363,"uris":["http://zotero.org/users/2553926/items/C2THV5M6"],"uri":["http://zotero.org/users/2553926/items/C2THV5M6"],"itemData":{"id":363,"type":"article-journal","title":"Inhibition of S6 kinase suppresses the apoptotic effect of eIF4E ablation by inducing TGF-β-dependent G1 cell cycle arrest","container-title":"Cancer Letters","page":"239-243","volume":"333","issue":"2","source":"PubMed","abstract":"The mammalian target of rapamycin complex 1 (mTORC1) is a critical regulator of cap-dependent translation through its direct activation of ribosomal protein p70 S6 kinase (S6 kinase) and indirect activation of eukaryotic initiation factor 4E (eIF4E). We recently reported that inhibition of eIF4E expression caused apoptosis in cancer cells in the absence of serum. This was indicated by treatment with the mTORC1 inhibitor rapamycin, which suppressed both S6 kinase and 4E-BP1 phosphorylation (dephosphorylated 4E-BP1 binds and inactivates eIF4E), or by knockdown of eIF4E. We report here that knockdown of eIF4E also causes apoptosis in the presence of serum. This was unexpected because rapamycin induces G1 cell cycle arrest in the presence of serum. Upon investigation, we have found that inactivated S6 kinase prevents the apoptotic effect observed by singular knockdown of eIF4E and results in G1 cell cycle arrest. This effect is dependent on TGF-β (transforming growth factor-β) signaling which contributes to G1 cell cycle arrest. Suppression of S6 kinase phosphorylation alone is insufficient to mediate cell cycle arrest, indicating that complete G1 cell cycle arrest is due to suppression of both S6 kinase and eIF4E. These data indicate that the cytostatic effect of rapamycin is suppression of both S6 kinase and eIF4E, while the cytotoxic effects are due suppression of eIF4E in the absence of S6 kinase-dependent activation of TGF-β signals. Our findings place an importance on the evaluating the activity/expression level of S6 kinase and eIF4E as readouts for rapamycin/rapalog efficacy.","DOI":"10.1016/j.canlet.2013.01.041","ISSN":"1872-7980","note":"PMID: 23376634\nPMCID: PMC3640435","journalAbbreviation":"Cancer Lett.","language":"eng","author":[{"family":"Yellen","given":"Paige"},{"family":"Chatterjee","given":"Amrita"},{"family":"Preda","given":"Angela"},{"family":"Foster","given":"David A."}],"issued":{"date-parts":[["2013",6,10]]}}}],"schema":"https://github.com/citation-style-language/schema/raw/master/csl-citation.json"}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[14]</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w:t>
            </w:r>
          </w:p>
        </w:tc>
      </w:tr>
      <w:tr w:rsidR="00016195" w:rsidRPr="008F7397" w:rsidTr="00016195">
        <w:trPr>
          <w:cantSplit/>
          <w:trHeight w:val="142"/>
        </w:trPr>
        <w:tc>
          <w:tcPr>
            <w:tcW w:w="8613" w:type="dxa"/>
            <w:gridSpan w:val="4"/>
            <w:tcBorders>
              <w:top w:val="single" w:sz="4" w:space="0" w:color="auto"/>
              <w:left w:val="nil"/>
              <w:bottom w:val="nil"/>
              <w:right w:val="nil"/>
            </w:tcBorders>
          </w:tcPr>
          <w:p w:rsidR="00016195" w:rsidRPr="008F7397" w:rsidRDefault="00016195" w:rsidP="00183843">
            <w:pPr>
              <w:rPr>
                <w:rFonts w:asciiTheme="majorBidi" w:hAnsiTheme="majorBidi" w:cstheme="majorBidi"/>
                <w:b/>
                <w:sz w:val="24"/>
                <w:szCs w:val="24"/>
                <w:lang w:val="en-US"/>
              </w:rPr>
            </w:pPr>
          </w:p>
        </w:tc>
      </w:tr>
      <w:tr w:rsidR="00133DC7" w:rsidRPr="008F7397" w:rsidTr="00016195">
        <w:trPr>
          <w:cantSplit/>
        </w:trPr>
        <w:tc>
          <w:tcPr>
            <w:tcW w:w="8613" w:type="dxa"/>
            <w:gridSpan w:val="4"/>
            <w:tcBorders>
              <w:top w:val="nil"/>
              <w:left w:val="nil"/>
              <w:right w:val="nil"/>
            </w:tcBorders>
          </w:tcPr>
          <w:p w:rsidR="00133DC7" w:rsidRPr="008F7397" w:rsidRDefault="00133DC7" w:rsidP="0004568F">
            <w:pPr>
              <w:rPr>
                <w:rFonts w:asciiTheme="majorBidi" w:hAnsiTheme="majorBidi" w:cstheme="majorBidi"/>
                <w:b/>
                <w:sz w:val="24"/>
                <w:szCs w:val="24"/>
                <w:lang w:val="en-US"/>
              </w:rPr>
            </w:pPr>
            <w:r w:rsidRPr="008F7397">
              <w:rPr>
                <w:rFonts w:asciiTheme="majorBidi" w:hAnsiTheme="majorBidi" w:cstheme="majorBidi"/>
                <w:b/>
                <w:sz w:val="24"/>
                <w:szCs w:val="24"/>
                <w:lang w:val="en-US"/>
              </w:rPr>
              <w:t>Table S</w:t>
            </w:r>
            <w:r w:rsidR="0004568F">
              <w:rPr>
                <w:rFonts w:asciiTheme="majorBidi" w:hAnsiTheme="majorBidi" w:cstheme="majorBidi"/>
                <w:b/>
                <w:sz w:val="24"/>
                <w:szCs w:val="24"/>
                <w:lang w:val="en-US"/>
              </w:rPr>
              <w:t>8</w:t>
            </w:r>
            <w:r w:rsidRPr="008F7397">
              <w:rPr>
                <w:rFonts w:asciiTheme="majorBidi" w:hAnsiTheme="majorBidi" w:cstheme="majorBidi"/>
                <w:b/>
                <w:sz w:val="24"/>
                <w:szCs w:val="24"/>
              </w:rPr>
              <w:t xml:space="preserve"> Continue</w:t>
            </w:r>
            <w:r w:rsidRPr="008F7397">
              <w:rPr>
                <w:rFonts w:asciiTheme="majorBidi" w:hAnsiTheme="majorBidi" w:cstheme="majorBidi"/>
                <w:b/>
                <w:sz w:val="24"/>
                <w:szCs w:val="24"/>
                <w:lang w:val="en-US"/>
              </w:rPr>
              <w:t>. Target functions for AML general model and cell specific calibrated AML model</w:t>
            </w:r>
            <w:r w:rsidRPr="008F7397">
              <w:rPr>
                <w:rFonts w:asciiTheme="majorBidi" w:hAnsiTheme="majorBidi" w:cstheme="majorBidi"/>
                <w:sz w:val="24"/>
                <w:szCs w:val="24"/>
                <w:lang w:val="en-US"/>
              </w:rPr>
              <w:t>.</w:t>
            </w:r>
          </w:p>
        </w:tc>
      </w:tr>
      <w:tr w:rsidR="00183843" w:rsidRPr="008F7397" w:rsidTr="00183843">
        <w:trPr>
          <w:cantSplit/>
        </w:trPr>
        <w:tc>
          <w:tcPr>
            <w:tcW w:w="1173" w:type="dxa"/>
          </w:tcPr>
          <w:p w:rsidR="00183843" w:rsidRPr="008F7397" w:rsidRDefault="00183843" w:rsidP="00183843">
            <w:pPr>
              <w:rPr>
                <w:rFonts w:asciiTheme="majorBidi" w:hAnsiTheme="majorBidi" w:cstheme="majorBidi"/>
                <w:b/>
                <w:sz w:val="24"/>
                <w:szCs w:val="24"/>
              </w:rPr>
            </w:pPr>
            <w:r w:rsidRPr="008F7397">
              <w:rPr>
                <w:rFonts w:asciiTheme="majorBidi" w:hAnsiTheme="majorBidi" w:cstheme="majorBidi"/>
                <w:b/>
                <w:sz w:val="24"/>
                <w:szCs w:val="24"/>
              </w:rPr>
              <w:t>Protein/Node</w:t>
            </w:r>
          </w:p>
        </w:tc>
        <w:tc>
          <w:tcPr>
            <w:tcW w:w="1195" w:type="dxa"/>
          </w:tcPr>
          <w:p w:rsidR="00183843" w:rsidRPr="008F7397" w:rsidRDefault="00183843" w:rsidP="00183843">
            <w:pPr>
              <w:rPr>
                <w:rFonts w:asciiTheme="majorBidi" w:hAnsiTheme="majorBidi" w:cstheme="majorBidi"/>
                <w:b/>
                <w:sz w:val="24"/>
                <w:szCs w:val="24"/>
              </w:rPr>
            </w:pPr>
            <w:r w:rsidRPr="008F7397">
              <w:rPr>
                <w:rFonts w:asciiTheme="majorBidi" w:hAnsiTheme="majorBidi" w:cstheme="majorBidi"/>
                <w:b/>
                <w:sz w:val="24"/>
                <w:szCs w:val="24"/>
              </w:rPr>
              <w:t>GeneralModel</w:t>
            </w:r>
          </w:p>
        </w:tc>
        <w:tc>
          <w:tcPr>
            <w:tcW w:w="1709" w:type="dxa"/>
          </w:tcPr>
          <w:p w:rsidR="00183843" w:rsidRPr="008F7397" w:rsidRDefault="00183843" w:rsidP="00183843">
            <w:pPr>
              <w:rPr>
                <w:rFonts w:asciiTheme="majorBidi" w:hAnsiTheme="majorBidi" w:cstheme="majorBidi"/>
                <w:b/>
                <w:sz w:val="24"/>
                <w:szCs w:val="24"/>
              </w:rPr>
            </w:pPr>
            <w:r w:rsidRPr="008F7397">
              <w:rPr>
                <w:rFonts w:asciiTheme="majorBidi" w:hAnsiTheme="majorBidi" w:cstheme="majorBidi"/>
                <w:b/>
                <w:sz w:val="24"/>
                <w:szCs w:val="24"/>
              </w:rPr>
              <w:t>Cell Specific Model</w:t>
            </w:r>
          </w:p>
        </w:tc>
        <w:tc>
          <w:tcPr>
            <w:tcW w:w="4536" w:type="dxa"/>
          </w:tcPr>
          <w:p w:rsidR="00183843" w:rsidRPr="008F7397" w:rsidRDefault="00296C44" w:rsidP="00183843">
            <w:pPr>
              <w:rPr>
                <w:rFonts w:asciiTheme="majorBidi" w:hAnsiTheme="majorBidi" w:cstheme="majorBidi"/>
                <w:b/>
                <w:sz w:val="24"/>
                <w:szCs w:val="24"/>
              </w:rPr>
            </w:pPr>
            <w:r w:rsidRPr="008F7397">
              <w:rPr>
                <w:rFonts w:asciiTheme="majorBidi" w:hAnsiTheme="majorBidi" w:cstheme="majorBidi"/>
                <w:b/>
                <w:sz w:val="24"/>
                <w:szCs w:val="24"/>
              </w:rPr>
              <w:t>Literature and Experimental Supporting Evidences</w:t>
            </w:r>
          </w:p>
        </w:tc>
      </w:tr>
      <w:tr w:rsidR="00183843" w:rsidRPr="008F7397" w:rsidTr="00183843">
        <w:trPr>
          <w:cantSplit/>
        </w:trPr>
        <w:tc>
          <w:tcPr>
            <w:tcW w:w="1173" w:type="dxa"/>
          </w:tcPr>
          <w:p w:rsidR="00183843" w:rsidRPr="008F7397" w:rsidRDefault="00183843" w:rsidP="00EB3FAC">
            <w:pPr>
              <w:rPr>
                <w:rFonts w:asciiTheme="majorBidi" w:hAnsiTheme="majorBidi" w:cstheme="majorBidi"/>
                <w:bCs/>
                <w:sz w:val="24"/>
                <w:szCs w:val="24"/>
              </w:rPr>
            </w:pPr>
            <w:r w:rsidRPr="008F7397">
              <w:rPr>
                <w:rFonts w:asciiTheme="majorBidi" w:hAnsiTheme="majorBidi" w:cstheme="majorBidi"/>
                <w:bCs/>
                <w:sz w:val="24"/>
                <w:szCs w:val="24"/>
              </w:rPr>
              <w:lastRenderedPageBreak/>
              <w:t>S6</w:t>
            </w:r>
          </w:p>
        </w:tc>
        <w:tc>
          <w:tcPr>
            <w:tcW w:w="1195" w:type="dxa"/>
          </w:tcPr>
          <w:p w:rsidR="00183843" w:rsidRPr="008F7397" w:rsidRDefault="00183843" w:rsidP="00EB3FAC">
            <w:pPr>
              <w:rPr>
                <w:rFonts w:asciiTheme="majorBidi" w:hAnsiTheme="majorBidi" w:cstheme="majorBidi"/>
                <w:bCs/>
                <w:sz w:val="24"/>
                <w:szCs w:val="24"/>
              </w:rPr>
            </w:pPr>
            <w:r w:rsidRPr="008F7397">
              <w:rPr>
                <w:rFonts w:asciiTheme="majorBidi" w:hAnsiTheme="majorBidi" w:cstheme="majorBidi"/>
                <w:bCs/>
                <w:sz w:val="24"/>
                <w:szCs w:val="24"/>
              </w:rPr>
              <w:t>AVG(RSK, EIF3, mTORC1)</w:t>
            </w:r>
          </w:p>
        </w:tc>
        <w:tc>
          <w:tcPr>
            <w:tcW w:w="1709" w:type="dxa"/>
          </w:tcPr>
          <w:p w:rsidR="00183843" w:rsidRPr="008F7397" w:rsidRDefault="00183843" w:rsidP="00EB3FAC">
            <w:pPr>
              <w:rPr>
                <w:rFonts w:asciiTheme="majorBidi" w:hAnsiTheme="majorBidi" w:cstheme="majorBidi"/>
                <w:bCs/>
                <w:sz w:val="24"/>
                <w:szCs w:val="24"/>
              </w:rPr>
            </w:pPr>
            <w:r w:rsidRPr="008F7397">
              <w:rPr>
                <w:rFonts w:asciiTheme="majorBidi" w:hAnsiTheme="majorBidi" w:cstheme="majorBidi"/>
                <w:bCs/>
                <w:sz w:val="24"/>
                <w:szCs w:val="24"/>
              </w:rPr>
              <w:t>1/8*RSK+3/4*mTORC1+1/8*EIF3</w:t>
            </w:r>
          </w:p>
          <w:p w:rsidR="00183843" w:rsidRPr="008F7397" w:rsidRDefault="00183843" w:rsidP="00EB3FAC">
            <w:pPr>
              <w:rPr>
                <w:rFonts w:asciiTheme="majorBidi" w:hAnsiTheme="majorBidi" w:cstheme="majorBidi"/>
                <w:bCs/>
                <w:sz w:val="24"/>
                <w:szCs w:val="24"/>
              </w:rPr>
            </w:pPr>
          </w:p>
        </w:tc>
        <w:tc>
          <w:tcPr>
            <w:tcW w:w="4536" w:type="dxa"/>
          </w:tcPr>
          <w:p w:rsidR="00183843" w:rsidRPr="008F7397" w:rsidRDefault="00183843" w:rsidP="005D7A0D">
            <w:pPr>
              <w:rPr>
                <w:rFonts w:asciiTheme="majorBidi" w:hAnsiTheme="majorBidi" w:cstheme="majorBidi"/>
                <w:bCs/>
                <w:sz w:val="24"/>
                <w:szCs w:val="24"/>
              </w:rPr>
            </w:pPr>
            <w:r w:rsidRPr="008F7397">
              <w:rPr>
                <w:rFonts w:asciiTheme="majorBidi" w:hAnsiTheme="majorBidi" w:cstheme="majorBidi"/>
                <w:sz w:val="24"/>
                <w:szCs w:val="24"/>
                <w:lang w:val="en-US"/>
              </w:rPr>
              <w:t xml:space="preserve">Released from PRAS40 inhibition </w:t>
            </w:r>
            <w:r w:rsidR="00760C56" w:rsidRPr="008F7397">
              <w:rPr>
                <w:rFonts w:asciiTheme="majorBidi" w:hAnsiTheme="majorBidi" w:cstheme="majorBidi"/>
                <w:sz w:val="24"/>
                <w:szCs w:val="24"/>
                <w:lang w:val="en-US"/>
              </w:rPr>
              <w:fldChar w:fldCharType="begin"/>
            </w:r>
            <w:r w:rsidR="005D7A0D" w:rsidRPr="008F7397">
              <w:rPr>
                <w:rFonts w:asciiTheme="majorBidi" w:hAnsiTheme="majorBidi" w:cstheme="majorBidi"/>
                <w:sz w:val="24"/>
                <w:szCs w:val="24"/>
                <w:lang w:val="en-US"/>
              </w:rPr>
              <w:instrText xml:space="preserve"> ADDIN ZOTERO_ITEM CSL_CITATION {"citationID":"zHClnaVT","properties":{"formattedCitation":"[3]","plainCitation":"[3]"},"citationItems":[{"id":326,"uris":["http://zotero.org/users/2553926/items/6G59U3RR"],"uri":["http://zotero.org/users/2553926/items/6G59U3RR"],"itemData":{"id":326,"type":"article-journal","title":"Pim kinases phosphorylate Chk1 and regulate its functions in acute myeloid leukemia","container-title":"Leukemia","page":"293-301","volume":"28","issue":"2","source":"PubMed","abstract":"Phosphorylation by Akt on Ser 280 was reported to induce cytoplasmic retention and inactivation of CHK1 with consequent genetic instability in PTEN-/- cells. In acute myeloid leukemia cells carrying the FLT3-internal tandem duplication (ITD) mutation, we observed high rates of FLT3-ITD-dependent CHK1 Ser 280 phosphorylation. Pharmacological inhibition and RNA interference identified Pim1/2, not Akt, as effectors of this phosphorylation. Pim1 catalyzed Ser 280 phosphorylation in vitro and ectopic expression of Pim1/2-induced CHK1 phosphorylation. Ser 280 phosphorylation did not modify CHK1 localization, but facilitated its cell cycle and resistance functions in leukemic cells. FLT3, PIM or CHK1 inhibitors synergized with DNA-damaging agents to induce apoptosis, allowing cells to bypass the etoposide-induced G2/M arrest. Consistently, etoposide-induced CHK1-dependent phosphorylations of CDC25C on Ser 216 and histone H3 on Thr11 were decreased upon FLT3 inhibition. Accordingly, ectopic expression of CHK1 improved the resistance of FLT3-ITD cells and maintained histone H3 phosphorylation in response to DNA damage, whereas expression of unphosphorylated Ser 280Ala mutant did not. Finally, FLT3- and Pim-dependent phosphorylation of CHK1 on Ser 280 was confirmed in primary blasts from patients. These results identify a new pathway involved in the resistance of FLT3-ITD leukemic cells to genotoxic agents, and they constitute the first report of CHK1 Ser 280 regulation in myeloid malignancies.","DOI":"10.1038/leu.2013.168","ISSN":"1476-5551","note":"PMID: 23748345","journalAbbreviation":"Leukemia","language":"eng","author":[{"family":"Yuan","given":"L. L."},{"family":"Green","given":"A. S."},{"family":"Bertoli","given":"S."},{"family":"Grimal","given":"F."},{"family":"Mansat-De Mas","given":"V."},{"family":"Dozier","given":"C."},{"family":"Tamburini","given":"J."},{"family":"Récher","given":"C."},{"family":"Didier","given":"C."},{"family":"Manenti","given":"S."}],"issued":{"date-parts":[["2014",2]]}}}],"schema":"https://github.com/citation-style-language/schema/raw/master/csl-citation.json"} </w:instrText>
            </w:r>
            <w:r w:rsidR="00760C56" w:rsidRPr="008F7397">
              <w:rPr>
                <w:rFonts w:asciiTheme="majorBidi" w:hAnsiTheme="majorBidi" w:cstheme="majorBidi"/>
                <w:sz w:val="24"/>
                <w:szCs w:val="24"/>
                <w:lang w:val="en-US"/>
              </w:rPr>
              <w:fldChar w:fldCharType="separate"/>
            </w:r>
            <w:r w:rsidR="005D7A0D" w:rsidRPr="008F7397">
              <w:rPr>
                <w:rFonts w:ascii="Times New Roman" w:hAnsi="Times New Roman" w:cs="Times New Roman"/>
                <w:sz w:val="24"/>
              </w:rPr>
              <w:t>[3]</w:t>
            </w:r>
            <w:r w:rsidR="00760C56" w:rsidRPr="008F7397">
              <w:rPr>
                <w:rFonts w:asciiTheme="majorBidi" w:hAnsiTheme="majorBidi" w:cstheme="majorBidi"/>
                <w:sz w:val="24"/>
                <w:szCs w:val="24"/>
                <w:lang w:val="en-US"/>
              </w:rPr>
              <w:fldChar w:fldCharType="end"/>
            </w:r>
            <w:r w:rsidRPr="008F7397">
              <w:rPr>
                <w:rFonts w:asciiTheme="majorBidi" w:hAnsiTheme="majorBidi" w:cstheme="majorBidi"/>
                <w:sz w:val="24"/>
                <w:szCs w:val="24"/>
                <w:lang w:val="en-US"/>
              </w:rPr>
              <w:t xml:space="preserve"> mTORC1 </w:t>
            </w:r>
            <w:r w:rsidRPr="008F7397">
              <w:rPr>
                <w:rFonts w:asciiTheme="majorBidi" w:hAnsiTheme="majorBidi" w:cstheme="majorBidi"/>
                <w:sz w:val="24"/>
                <w:szCs w:val="24"/>
              </w:rPr>
              <w:t xml:space="preserve">if able to phosphorylat the key translation regulator p70S6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{"citationID":"ecxAW5NA","properties":{"formattedCitation":"[6], [8], [11]","plainCitation":"[6], [8], [11]"},"citationItems":[{"id":314,"uris":["http://zotero.org/users/2553926/items/K7ZAEVIB"],"uri":["http://zotero.org/users/2553926/items/K7ZAEVIB"],"itemData":{"id":314,"type":"article-journal","title":"TORC-specific phosphorylation of mammalian target of rapamycin (mTOR): phospho-Ser2481 is a marker for intact mTOR signaling complex 2","container-title":"Cancer Research","page":"1821-1827","volume":"69","issue":"5","source":"PubMed","abstract":"The mammalian target of rapamycin (mTOR) serine/threonine kinase is the catalytic component of two evolutionarily conserved signaling complexes. mTOR signaling complex 1 (mTORC1) is a key regulator of growth factor and nutrient signaling. S6 kinase is the best-characterized downstream effector of mTORC1. mTOR signaling complex 2 (mTORC2) has a role in regulating the actin cytoskeleton and activating Akt through S473 phosphorylation. Herein, we show that mTOR is phosphorylated differentially when associated with mTORC1 and mTORC2 and that intact complexes are required for these mTORC-specific mTOR phosphorylations. Specifically, we find that mTORC1 contains mTOR phosphorylated predominantly on S2448, whereas mTORC2 contains mTOR phosphorylated predominantly on S2481. Using S2481 phosphorylation as a marker for mTORC2 sensitivity to rapamycin, we find that mTORC2 formation is in fact rapamycin sensitive in several cancer cell lines in which it had been previously reported that mTORC2 assembly and function were rapamycin insensitive. Thus, phospho-S2481 on mTOR serves as a biomarker for intact mTORC2 and its sensitivity to rapamycin.","DOI":"10.1158/0008-5472.CAN-08-3014","ISSN":"1538-7445","note":"PMID: 19244117\nPMCID: PMC2652681","shortTitle":"TORC-specific phosphorylation of mammalian target of rapamycin (mTOR)","journalAbbreviation":"Cancer Res.","language":"eng","author":[{"family":"Copp","given":"Jeremy"},{"family":"Manning","given":"Gerard"},{"family":"Hunter","given":"Tony"}],"issued":{"date-parts":[["2009",3,1]]}},"label":"page"},{"id":347,"uris":["http://zotero.org/users/2553926/items/XIIEKS5W"],"uri":["http://zotero.org/users/2553926/items/XIIEKS5W"],"itemData":{"id":347,"type":"article-journal","title":"mTOR: from growth signal integration to cancer, diabetes and ageing","container-title":"Nature Reviews. Molecular Cell Biology","page":"21-35","volume":"12","issue":"1","source":"PubMed","abstract":"In all eukaryotes, the target of rapamycin (TOR) signalling pathway couples energy and nutrient abundance to the execution of cell growth and division, owing to the ability of TOR protein kinase to simultaneously sense energy, nutrients and stress and, in metazoans, growth factors. Mammalian TOR complex 1 (mTORC1) and mTORC2 exert their actions by regulating other important kinases, such as S6 kinase (S6K) and Akt. In the past few years, a significant advance in our understanding of the regulation and functions of mTOR has revealed the crucial involvement of this signalling pathway in the onset and progression of diabetes, cancer and ageing.","DOI":"10.1038/nrm3025","ISSN":"1471-0080","note":"PMID: 21157483\nPMCID: PMC3390257","shortTitle":"mTOR","journalAbbreviation":"Nat. Rev. Mol. Cell Biol.","language":"eng","author":[{"family":"Zoncu","given":"Roberto"},{"family":"Efeyan","given":"Alejo"},{"family":"Sabatini","given":"David M."}],"issued":{"date-parts":[["2011",1]]}},"label":"page"},{"id":345,"uris":["http://zotero.org/users/2553926/items/8C3EWTRV"],"uri":["http://zotero.org/users/2553926/items/8C3EWTRV"],"itemData":{"id":345,"type":"article-journal","title":"PIM1 protein kinase regulates PRAS40 phosphorylation and mTOR activity in FDCP1 cells","container-title":"Cancer Biology &amp; Therapy","page":"846-853","volume":"8","issue":"9","source":"PubMed","abstract":"PIM1 is a serine/threonine kinase that has diverse biological roles in cell survival, proliferation and differentiation. PIM1 has been implicated in early transformation and tumor progression in haematopoietic malignancies and prostate carcinomas. The ability of PIM1 to regulate these processes is thought to be in part secondary to its activity in stimulating 4EBP1 phosphorylation and enhancement of protein synthesis. Because 4EBP1 is an mTOR substrate, we have investigated how PIM1 might regulate this latter enzyme. We have examined the ability of PIM1 to modulate PRAS40, a protein known to negatively regulate mTOR activity in FDCP1 cells. Upon phosphorylation, PRAS40 dissociates from the mTOR complex and increases mTOR kinase activity. We find that enforced overexpression of PIM1 increases PRAS40 phosphorylation at Thr(246), an AKT phosphorylation site, whether grown in complete media or deprived of IL-3 and serum. The increase in PRAS40 phosphorylation was independent of AKT activation and not inhibited by wortmannin. In vitro kinase assays indicate that the PIM1 protein kinase is capable of directly phosphorylating Thr(246) in PRAS40. PIM1 protein kinase overexpression reduced the association of PRAS40 with mTOR, and increased the mTOR directed phosphorylation of 4EBP1 and p70S6Kinase. Treatment of FDCP1 cells transfected with PIM1 (FD/mpim44) with small molecule inhibitors of PIM1 kinase activity reduced both PRAS40 and 4EBP1 phosphorylation. These results suggest that PIM1 regulates mTOR activity through phosphorylation of PRAS40. Thus, increases in mTOR activity mediated by the PIM protein kinase may have the potential to control cell growth.","ISSN":"1555-8576","note":"PMID: 19276681","journalAbbreviation":"Cancer Biol. Ther.","language":"eng","author":[{"family":"Zhang","given":"Fengxue"},{"family":"Beharry","given":"Zanna M."},{"family":"Harris","given":"Thurl E."},{"family":"Lilly","given":"Michael B."},{"family":"Smith","given":"Charles D."},{"family":"Mahajan","given":"Sandeep"},{"family":"Kraft","given":"Andrew S."}],"issued":{"date-parts":[["2009",5]]}},"label":"page"}],"schema":"https://github.com/citation-style-language/schema/raw/master/csl-citation.json"}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[6], [8], [11]</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 xml:space="preserve">, which in turn phosphorylates S6. eIF3 binds mTORC1 and recruits it to untranslated mRnAs so that it is optimally placed to phosphorylate s6K1 and 4EBP1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Lp4MNGDB","properties":{"formattedCitation":"[8]","plainCitation":"[8]"},"citationItems":[{"id":347,"uris":["http://zotero.org/users/2553926/items/XIIEKS5W"],"uri":["http://zotero.org/users/2553926/items/XIIEKS5W"],"itemData":{"id":347,"type":"article-journal","title":"mTOR: from growth signal integration to cancer, diabetes and ageing","container-title":"Nature Reviews. Molecular Cell Biology","page":"21-35","volume":"12","issue":"1","source":"PubMed","abstract":"In all eukaryotes, the target of rapamycin (TOR) signalling pathway couples energy and nutrient abundance to the execution of cell growth and division, owing to the ability of TOR protein kinase to simultaneously sense energy, nutrients and stress and, in metazoans, growth factors. Mammalian TOR complex 1 (mTORC1) and mTORC2 exert their actions by regulating other important kinases, such as S6 kinase (S6K) and Akt. In the past few years, a significant advance in our understanding of the regulation and functions of mTOR has revealed the crucial involvement of this signalling pathway in the onset and progression of diabetes, cancer and ageing.","DOI":"10.1038/nrm3025","ISSN":"1471-0080","note":"PMID: 21157483\nPMCID: PMC3390257","shortTitle":"mTOR","journalAbbreviation":"Nat. Rev. Mol. Cell Biol.","language":"eng","author":[{"family":"Zoncu","given":"Roberto"},{"family":"Efeyan","given":"Alejo"},{"family":"Sabatini","given":"David M."}],"issued":{"date-parts":[["2011",1]]}}}],"schema":"https://github.com/citation-style-language/schema/raw/master/csl-citation.json"}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[8]</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 xml:space="preserve">. Roux et al. speculated that an mTOR-independent pathway that requires RSK activity promotes S6 phosphorylation at Ser235/236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MC76dUDX","properties":{"formattedCitation":"[15]","plainCitation":"[15]"},"citationItems":[{"id":358,"uris":["http://zotero.org/users/2553926/items/AWURA8KD"],"uri":["http://zotero.org/users/2553926/items/AWURA8KD"],"itemData":{"id":358,"type":"article-journal","title":"RAS/ERK signaling promotes site-specific ribosomal protein S6 phosphorylation via RSK and stimulates cap-dependent translation","container-title":"The Journal of Biological Chemistry","page":"14056-14064","volume":"282","issue":"19","source":"PubMed","abstract":"Converging signals from the mammalian target of rapamycin (mTOR) and phosphoinositide 3-kinase (PI3K) pathways are well established to modulate translation initiation. Less is known regarding the molecular basis of protein synthesis regulated by other inputs, such as agonists of the Ras/extracellular signal-regulated kinase (ERK) signaling cascade. Ribosomal protein (rp) S6 is a component of the 40S ribosomal subunit that becomes phosphorylated at several serine residues upon mitogen stimulation, but the exact molecular mechanisms regulating its phosphorylation and the function of phosphorylated rpS6 is poorly understood. Here, we provide evidence that activation of the p90 ribosomal S6 kinases (RSKs) by serum, growth factors, tumor promoting phorbol esters, and oncogenic Ras is required for rpS6 phosphorylation downstream of the Ras/ERK signaling cascade. We demonstrate that while ribosomal S6 kinase 1 (S6K1) phosphorylates rpS6 at all sites, RSK exclusively phosphorylates rpS6 at Ser(235/236) in vitro and in vivo using an mTOR-independent mechanism. Mutation of rpS6 at Ser(235/236) reveals that phosphorylation of these sites promotes its recruitment to the 7-methylguanosine cap complex, suggesting that Ras/ERK signaling regulates assembly of the translation preinitiation complex. These data demonstrate that RSK provides an mTOR-independent pathway linking the Ras/ERK signaling cascade to the translational machinery.","DOI":"10.1074/jbc.M700906200","ISSN":"0021-9258","note":"PMID: 17360704\nPMCID: PMC3618456","journalAbbreviation":"J. Biol. Chem.","language":"eng","author":[{"family":"Roux","given":"Philippe P."},{"family":"Shahbazian","given":"David"},{"family":"Vu","given":"Hieu"},{"family":"Holz","given":"Marina K."},{"family":"Cohen","given":"Michael S."},{"family":"Taunton","given":"Jack"},{"family":"Sonenberg","given":"Nahum"},{"family":"Blenis","given":"John"}],"issued":{"date-parts":[["2007",5,11]]}}}],"schema":"https://github.com/citation-style-language/schema/raw/master/csl-citation.json"}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[15]</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 xml:space="preserve">. Our theranostic results support the </w:t>
            </w:r>
            <w:r w:rsidRPr="008F7397">
              <w:rPr>
                <w:rFonts w:asciiTheme="majorBidi" w:hAnsiTheme="majorBidi" w:cstheme="majorBidi"/>
                <w:bCs/>
                <w:sz w:val="24"/>
                <w:szCs w:val="24"/>
              </w:rPr>
              <w:t>hypothesis, showing consistent inhibition of S6 for cell lines treated with Pim and FLT3 inhibitos comnbination, inhibitong simoltanously both MAPK and mTORC1 pathways (Fig 1B and S1C).</w:t>
            </w:r>
          </w:p>
        </w:tc>
      </w:tr>
      <w:tr w:rsidR="00183843" w:rsidRPr="008F7397" w:rsidTr="00016195">
        <w:trPr>
          <w:cantSplit/>
          <w:trHeight w:val="8049"/>
        </w:trPr>
        <w:tc>
          <w:tcPr>
            <w:tcW w:w="1173" w:type="dxa"/>
            <w:tcBorders>
              <w:bottom w:val="single" w:sz="4" w:space="0" w:color="auto"/>
            </w:tcBorders>
          </w:tcPr>
          <w:p w:rsidR="00183843" w:rsidRPr="008F7397" w:rsidRDefault="00183843" w:rsidP="00017D03">
            <w:pPr>
              <w:rPr>
                <w:rFonts w:asciiTheme="majorBidi" w:hAnsiTheme="majorBidi" w:cstheme="majorBidi"/>
                <w:bCs/>
                <w:sz w:val="24"/>
                <w:szCs w:val="24"/>
              </w:rPr>
            </w:pPr>
            <w:r w:rsidRPr="008F7397">
              <w:rPr>
                <w:rFonts w:asciiTheme="majorBidi" w:hAnsiTheme="majorBidi" w:cstheme="majorBidi"/>
                <w:bCs/>
                <w:sz w:val="24"/>
                <w:szCs w:val="24"/>
              </w:rPr>
              <w:t>BCR</w:t>
            </w:r>
          </w:p>
        </w:tc>
        <w:tc>
          <w:tcPr>
            <w:tcW w:w="1195" w:type="dxa"/>
            <w:tcBorders>
              <w:bottom w:val="single" w:sz="4" w:space="0" w:color="auto"/>
            </w:tcBorders>
          </w:tcPr>
          <w:p w:rsidR="00183843" w:rsidRPr="008F7397" w:rsidRDefault="00183843" w:rsidP="00017D03">
            <w:pPr>
              <w:rPr>
                <w:rFonts w:asciiTheme="majorBidi" w:hAnsiTheme="majorBidi" w:cstheme="majorBidi"/>
                <w:bCs/>
                <w:sz w:val="24"/>
                <w:szCs w:val="24"/>
              </w:rPr>
            </w:pPr>
            <w:r w:rsidRPr="008F7397">
              <w:rPr>
                <w:rFonts w:asciiTheme="majorBidi" w:hAnsiTheme="majorBidi" w:cstheme="majorBidi"/>
                <w:bCs/>
                <w:sz w:val="24"/>
                <w:szCs w:val="24"/>
              </w:rPr>
              <w:t>AVG(FLT-ITD)</w:t>
            </w:r>
          </w:p>
        </w:tc>
        <w:tc>
          <w:tcPr>
            <w:tcW w:w="1709" w:type="dxa"/>
            <w:tcBorders>
              <w:bottom w:val="single" w:sz="4" w:space="0" w:color="auto"/>
            </w:tcBorders>
          </w:tcPr>
          <w:p w:rsidR="00183843" w:rsidRPr="008F7397" w:rsidRDefault="00183843" w:rsidP="00183843">
            <w:pPr>
              <w:rPr>
                <w:rFonts w:asciiTheme="majorBidi" w:hAnsiTheme="majorBidi" w:cstheme="majorBidi"/>
                <w:bCs/>
                <w:sz w:val="24"/>
                <w:szCs w:val="24"/>
              </w:rPr>
            </w:pPr>
            <w:r w:rsidRPr="008F7397">
              <w:rPr>
                <w:rFonts w:asciiTheme="majorBidi" w:hAnsiTheme="majorBidi" w:cstheme="majorBidi"/>
                <w:bCs/>
                <w:sz w:val="24"/>
                <w:szCs w:val="24"/>
              </w:rPr>
              <w:t>max(1, 1/2*FltITD)</w:t>
            </w:r>
          </w:p>
        </w:tc>
        <w:tc>
          <w:tcPr>
            <w:tcW w:w="4536" w:type="dxa"/>
            <w:tcBorders>
              <w:bottom w:val="single" w:sz="4" w:space="0" w:color="auto"/>
            </w:tcBorders>
          </w:tcPr>
          <w:p w:rsidR="00183843" w:rsidRPr="008F7397" w:rsidRDefault="00183843" w:rsidP="00F03A4C">
            <w:pPr>
              <w:rPr>
                <w:rFonts w:asciiTheme="majorBidi" w:hAnsiTheme="majorBidi" w:cstheme="majorBidi"/>
                <w:sz w:val="24"/>
                <w:szCs w:val="24"/>
              </w:rPr>
            </w:pPr>
            <w:r w:rsidRPr="008F7397">
              <w:rPr>
                <w:rFonts w:asciiTheme="majorBidi" w:hAnsiTheme="majorBidi" w:cstheme="majorBidi"/>
                <w:sz w:val="24"/>
                <w:szCs w:val="24"/>
              </w:rPr>
              <w:t xml:space="preserve">We observed high levels of phosphorylation activity on BCR Y177 in EOL1, KG1a and MV411, reduced by the FLT3 inhibitor, yet no change after PIM inhibition as a single treatment (Fig 1B). We hypothesize that BCR plays a role in resistance to PIM inhibitor, yet is activated downstream of FLT3 and is sensitive to FLT3 inhibitor aiding to inhibit the MAPk pathway (Fig 3B and 3D). Kazi et al. provided evidence that SLAP directly associates with Flt3 and BCR  to modulate downstream signaling of FLT3-induced Akt, Erk and p38 activation </w:t>
            </w:r>
          </w:p>
          <w:p w:rsidR="00183843" w:rsidRPr="008F7397" w:rsidRDefault="00760C56" w:rsidP="005D7A0D">
            <w:pPr>
              <w:rPr>
                <w:rFonts w:asciiTheme="majorBidi" w:hAnsiTheme="majorBidi" w:cstheme="majorBidi"/>
                <w:bCs/>
                <w:sz w:val="24"/>
                <w:szCs w:val="24"/>
              </w:rPr>
            </w:pPr>
            <w:r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iUHhJUEB","properties":{"formattedCitation":"[16]","plainCitation":"[16]"},"citationItems":[{"id":380,"uris":["http://zotero.org/users/2553926/items/HXX58CWR"],"uri":["http://zotero.org/users/2553926/items/HXX58CWR"],"itemData":{"id":380,"type":"article-journal","title":"Src-Like Adaptor Protein (SLAP) Binds to the Receptor Tyrosine Kinase Flt3 and Modulates Receptor Stability and Downstream Signaling","container-title":"PLOS ONE","page":"e53509","volume":"7","issue":"12","source":"PLoS Journals","abstract":"Fms-like tyrosine kinase 3 (Flt3) is an important growth factor receptor in hematopoiesis. Gain-of-function mutations of the receptor contribute to the transformation of acute myeloid leukemia (AML). Src-like adaptor protein (SLAP) is an interaction partner of the E3 ubiquitin ligase Cbl that can regulate receptor tyrosine kinases-mediated signal transduction. In this study, we analyzed the role of SLAP in signal transduction downstream of the type III receptor tyrosine kinase Flt3. The results show that upon ligand stimulation SLAP stably associates with Flt3 through multiple phosphotyrosine residues in Flt3. SLAP constitutively interacts with oncogenic Flt3-ITD and co-localizes with Flt3 near the cell membrane. This association initiates Cbl-dependent receptor ubiquitination and degradation. Depletion of SLAP expression by shRNA in Flt3-transfected Ba/F3 cells resulted in a weaker activation of FL-induced PI3K-Akt and MAPK signaling. Meta-analysis of microarray data from patient samples suggests that SLAP mRNA is differentially expressed in different cancers and its expression was significantly increased in patients carrying the Flt3-ITD mutation. Thus, our data suggest a novel role of SLAP in different cancers and in modulation of receptor tyrosine kinase signaling apart from its conventional role in regulation of receptor stability.","DOI":"10.1371/journal.pone.0053509","ISSN":"1932-6203","journalAbbreviation":"PLOS ONE","author":[{"family":"Kazi","given":"Julhash U."},{"family":"Rönnstrand","given":"Lars"}],"issued":{"date-parts":[["2012",12,31]]}}}],"schema":"https://github.com/citation-style-language/schema/raw/master/csl-citation.json"} </w:instrText>
            </w:r>
            <w:r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[16]</w:t>
            </w:r>
            <w:r w:rsidRPr="008F7397">
              <w:rPr>
                <w:rFonts w:asciiTheme="majorBidi" w:hAnsiTheme="majorBidi" w:cstheme="majorBidi"/>
                <w:sz w:val="24"/>
                <w:szCs w:val="24"/>
              </w:rPr>
              <w:fldChar w:fldCharType="end"/>
            </w:r>
            <w:r w:rsidR="00183843" w:rsidRPr="008F7397">
              <w:rPr>
                <w:rFonts w:asciiTheme="majorBidi" w:hAnsiTheme="majorBidi" w:cstheme="majorBidi"/>
                <w:sz w:val="24"/>
                <w:szCs w:val="24"/>
              </w:rPr>
              <w:t xml:space="preserve"> </w:t>
            </w:r>
            <w:r w:rsidR="00183843" w:rsidRPr="008F7397">
              <w:rPr>
                <w:rFonts w:asciiTheme="majorBidi" w:hAnsiTheme="majorBidi" w:cstheme="majorBidi"/>
                <w:bCs/>
                <w:sz w:val="24"/>
                <w:szCs w:val="24"/>
              </w:rPr>
              <w:t xml:space="preserve">. In their survey of activated FLT3 signaling in leukemia, Gy et al. </w:t>
            </w:r>
            <w:r w:rsidRPr="008F7397">
              <w:rPr>
                <w:rFonts w:asciiTheme="majorBidi" w:hAnsiTheme="majorBidi" w:cstheme="majorBidi"/>
                <w:bCs/>
                <w:sz w:val="24"/>
                <w:szCs w:val="24"/>
              </w:rPr>
              <w:fldChar w:fldCharType="begin"/>
            </w:r>
            <w:r w:rsidR="005D7A0D" w:rsidRPr="008F7397">
              <w:rPr>
                <w:rFonts w:asciiTheme="majorBidi" w:hAnsiTheme="majorBidi" w:cstheme="majorBidi"/>
                <w:bCs/>
                <w:sz w:val="24"/>
                <w:szCs w:val="24"/>
              </w:rPr>
              <w:instrText xml:space="preserve"> ADDIN ZOTERO_ITEM CSL_CITATION {"citationID":"gkevptGY","properties":{"formattedCitation":"[17]","plainCitation":"[17]"},"citationItems":[{"id":383,"uris":["http://zotero.org/users/2553926/items/PPR3MSRI"],"uri":["http://zotero.org/users/2553926/items/PPR3MSRI"],"itemData":{"id":383,"type":"article-journal","title":"Survey of Activated FLT3 Signaling in Leukemia","container-title":"PLOS ONE","page":"e19169","volume":"6","issue":"4","source":"PLoS Journals","abstract":"Activating mutations of FMS-like tyrosine kinase-3 (FLT3) are found in approximately 30% of patients with acute myeloid leukemia (AML). FLT3 is therefore an attractive drug target. However, the molecular mechanisms by which FLT3 mutations lead to cell transformation in AML remain unclear. To develop a better understanding of FLT3 signaling as well as its downstream effectors, we performed detailed phosphoproteomic analysis of FLT3 signaling in human leukemia cells. We identified over 1000 tyrosine phosphorylation sites from about 750 proteins in both AML (wild type and mutant FLT3) and B cell acute lymphoblastic leukemia (normal and amplification of FLT3) cell lines. Furthermore, using stable isotope labeling by amino acids in cell culture (SILAC), we were able to quantified over 400 phosphorylation sites (pTyr, pSer, and pThr) that were responsive to FLT3 inhibition in FLT3 driven human leukemia cell lines. We also extended this phosphoproteomic analysis on bone marrow from primary AML patient samples, and identify over 200 tyrosine and 800 serine/threonine phosphorylation sites in vivo. This study showed that oncogenic FLT3 regulates proteins involving diverse cellular processes and affects multiple signaling pathways in human leukemia that we previously appreciated, such as Fc epsilon RI-mediated signaling, BCR, and CD40 signaling pathways. It provides a valuable resource for investigation of oncogenic FLT3 signaling in human leukemia.","DOI":"10.1371/journal.pone.0019169","ISSN":"1932-6203","journalAbbreviation":"PLOS ONE","author":[{"family":"Gu","given":"Ting-lei"},{"family":"Nardone","given":"Julie"},{"family":"Wang","given":"Yi"},{"family":"Loriaux","given":"Marc"},{"family":"Villén","given":"Judit"},{"family":"Beausoleil","given":"Sean"},{"family":"Tucker","given":"Meghan"},{"family":"Kornhauser","given":"Jon"},{"family":"Ren","given":"Jianmin"},{"family":"MacNeill","given":"Joan"},{"family":"Gygi","given":"Steven P."},{"family":"Druker","given":"Brian J."},{"family":"Heinrich","given":"Michael C."},{"family":"Rush","given":"John"},{"family":"Polakiewicz","given":"Roberto D."}],"issued":{"date-parts":[["2011",4,28]]}}}],"schema":"https://github.com/citation-style-language/schema/raw/master/csl-citation.json"} </w:instrText>
            </w:r>
            <w:r w:rsidRPr="008F7397">
              <w:rPr>
                <w:rFonts w:asciiTheme="majorBidi" w:hAnsiTheme="majorBidi" w:cstheme="majorBidi"/>
                <w:bCs/>
                <w:sz w:val="24"/>
                <w:szCs w:val="24"/>
              </w:rPr>
              <w:fldChar w:fldCharType="separate"/>
            </w:r>
            <w:r w:rsidR="005D7A0D" w:rsidRPr="008F7397">
              <w:rPr>
                <w:rFonts w:ascii="Times New Roman" w:hAnsi="Times New Roman" w:cs="Times New Roman"/>
                <w:sz w:val="24"/>
              </w:rPr>
              <w:t>[17]</w:t>
            </w:r>
            <w:r w:rsidRPr="008F7397">
              <w:rPr>
                <w:rFonts w:asciiTheme="majorBidi" w:hAnsiTheme="majorBidi" w:cstheme="majorBidi"/>
                <w:bCs/>
                <w:sz w:val="24"/>
                <w:szCs w:val="24"/>
              </w:rPr>
              <w:fldChar w:fldCharType="end"/>
            </w:r>
            <w:r w:rsidR="00183843" w:rsidRPr="008F7397">
              <w:rPr>
                <w:rFonts w:asciiTheme="majorBidi" w:hAnsiTheme="majorBidi" w:cstheme="majorBidi"/>
                <w:bCs/>
                <w:sz w:val="24"/>
                <w:szCs w:val="24"/>
              </w:rPr>
              <w:t xml:space="preserve"> </w:t>
            </w:r>
            <w:r w:rsidR="00183843" w:rsidRPr="008F7397">
              <w:rPr>
                <w:rFonts w:asciiTheme="majorBidi" w:hAnsiTheme="majorBidi" w:cstheme="majorBidi"/>
                <w:sz w:val="24"/>
                <w:szCs w:val="24"/>
              </w:rPr>
              <w:t>showed that oncogenic FLT3 affects BCR signaling pathway in human leukemia.</w:t>
            </w:r>
          </w:p>
        </w:tc>
      </w:tr>
      <w:tr w:rsidR="00016195" w:rsidRPr="008F7397" w:rsidTr="00016195">
        <w:trPr>
          <w:cantSplit/>
        </w:trPr>
        <w:tc>
          <w:tcPr>
            <w:tcW w:w="8613" w:type="dxa"/>
            <w:gridSpan w:val="4"/>
            <w:tcBorders>
              <w:top w:val="single" w:sz="4" w:space="0" w:color="auto"/>
              <w:left w:val="nil"/>
              <w:bottom w:val="nil"/>
              <w:right w:val="nil"/>
            </w:tcBorders>
          </w:tcPr>
          <w:p w:rsidR="00016195" w:rsidRPr="008F7397" w:rsidRDefault="00016195" w:rsidP="00183843">
            <w:pPr>
              <w:rPr>
                <w:rFonts w:asciiTheme="majorBidi" w:hAnsiTheme="majorBidi" w:cstheme="majorBidi"/>
                <w:b/>
                <w:sz w:val="24"/>
                <w:szCs w:val="24"/>
                <w:lang w:val="en-US"/>
              </w:rPr>
            </w:pPr>
          </w:p>
        </w:tc>
      </w:tr>
      <w:tr w:rsidR="00133DC7" w:rsidRPr="008F7397" w:rsidTr="00016195">
        <w:trPr>
          <w:cantSplit/>
        </w:trPr>
        <w:tc>
          <w:tcPr>
            <w:tcW w:w="8613" w:type="dxa"/>
            <w:gridSpan w:val="4"/>
            <w:tcBorders>
              <w:top w:val="nil"/>
              <w:left w:val="nil"/>
              <w:right w:val="nil"/>
            </w:tcBorders>
          </w:tcPr>
          <w:p w:rsidR="00133DC7" w:rsidRPr="008F7397" w:rsidRDefault="00133DC7" w:rsidP="0004568F">
            <w:pPr>
              <w:rPr>
                <w:rFonts w:asciiTheme="majorBidi" w:hAnsiTheme="majorBidi" w:cstheme="majorBidi"/>
                <w:b/>
                <w:sz w:val="24"/>
                <w:szCs w:val="24"/>
                <w:lang w:val="en-US"/>
              </w:rPr>
            </w:pPr>
            <w:r w:rsidRPr="008F7397">
              <w:rPr>
                <w:rFonts w:asciiTheme="majorBidi" w:hAnsiTheme="majorBidi" w:cstheme="majorBidi"/>
                <w:b/>
                <w:sz w:val="24"/>
                <w:szCs w:val="24"/>
                <w:lang w:val="en-US"/>
              </w:rPr>
              <w:t>Table S</w:t>
            </w:r>
            <w:r w:rsidR="0004568F">
              <w:rPr>
                <w:rFonts w:asciiTheme="majorBidi" w:hAnsiTheme="majorBidi" w:cstheme="majorBidi"/>
                <w:b/>
                <w:sz w:val="24"/>
                <w:szCs w:val="24"/>
              </w:rPr>
              <w:t>8</w:t>
            </w:r>
            <w:r w:rsidRPr="008F7397">
              <w:rPr>
                <w:rFonts w:asciiTheme="majorBidi" w:hAnsiTheme="majorBidi" w:cstheme="majorBidi"/>
                <w:b/>
                <w:sz w:val="24"/>
                <w:szCs w:val="24"/>
              </w:rPr>
              <w:t xml:space="preserve"> Continue</w:t>
            </w:r>
            <w:r w:rsidRPr="008F7397">
              <w:rPr>
                <w:rFonts w:asciiTheme="majorBidi" w:hAnsiTheme="majorBidi" w:cstheme="majorBidi"/>
                <w:b/>
                <w:sz w:val="24"/>
                <w:szCs w:val="24"/>
                <w:lang w:val="en-US"/>
              </w:rPr>
              <w:t>. Target functions for AML general model and cell specific calibrated AML model</w:t>
            </w:r>
            <w:r w:rsidRPr="008F7397">
              <w:rPr>
                <w:rFonts w:asciiTheme="majorBidi" w:hAnsiTheme="majorBidi" w:cstheme="majorBidi"/>
                <w:sz w:val="24"/>
                <w:szCs w:val="24"/>
                <w:lang w:val="en-US"/>
              </w:rPr>
              <w:t>.</w:t>
            </w:r>
          </w:p>
        </w:tc>
      </w:tr>
      <w:tr w:rsidR="00183843" w:rsidRPr="008F7397" w:rsidTr="00183843">
        <w:trPr>
          <w:cantSplit/>
        </w:trPr>
        <w:tc>
          <w:tcPr>
            <w:tcW w:w="1173" w:type="dxa"/>
          </w:tcPr>
          <w:p w:rsidR="00183843" w:rsidRPr="008F7397" w:rsidRDefault="00183843" w:rsidP="00183843">
            <w:pPr>
              <w:rPr>
                <w:rFonts w:asciiTheme="majorBidi" w:hAnsiTheme="majorBidi" w:cstheme="majorBidi"/>
                <w:b/>
                <w:sz w:val="24"/>
                <w:szCs w:val="24"/>
              </w:rPr>
            </w:pPr>
            <w:r w:rsidRPr="008F7397">
              <w:rPr>
                <w:rFonts w:asciiTheme="majorBidi" w:hAnsiTheme="majorBidi" w:cstheme="majorBidi"/>
                <w:b/>
                <w:sz w:val="24"/>
                <w:szCs w:val="24"/>
              </w:rPr>
              <w:t>Protein/Node</w:t>
            </w:r>
          </w:p>
        </w:tc>
        <w:tc>
          <w:tcPr>
            <w:tcW w:w="1195" w:type="dxa"/>
          </w:tcPr>
          <w:p w:rsidR="00183843" w:rsidRPr="008F7397" w:rsidRDefault="00183843" w:rsidP="00183843">
            <w:pPr>
              <w:rPr>
                <w:rFonts w:asciiTheme="majorBidi" w:hAnsiTheme="majorBidi" w:cstheme="majorBidi"/>
                <w:b/>
                <w:sz w:val="24"/>
                <w:szCs w:val="24"/>
              </w:rPr>
            </w:pPr>
            <w:r w:rsidRPr="008F7397">
              <w:rPr>
                <w:rFonts w:asciiTheme="majorBidi" w:hAnsiTheme="majorBidi" w:cstheme="majorBidi"/>
                <w:b/>
                <w:sz w:val="24"/>
                <w:szCs w:val="24"/>
              </w:rPr>
              <w:t>GeneralModel</w:t>
            </w:r>
          </w:p>
        </w:tc>
        <w:tc>
          <w:tcPr>
            <w:tcW w:w="1709" w:type="dxa"/>
          </w:tcPr>
          <w:p w:rsidR="00183843" w:rsidRPr="008F7397" w:rsidRDefault="00183843" w:rsidP="00183843">
            <w:pPr>
              <w:rPr>
                <w:rFonts w:asciiTheme="majorBidi" w:hAnsiTheme="majorBidi" w:cstheme="majorBidi"/>
                <w:b/>
                <w:sz w:val="24"/>
                <w:szCs w:val="24"/>
              </w:rPr>
            </w:pPr>
            <w:r w:rsidRPr="008F7397">
              <w:rPr>
                <w:rFonts w:asciiTheme="majorBidi" w:hAnsiTheme="majorBidi" w:cstheme="majorBidi"/>
                <w:b/>
                <w:sz w:val="24"/>
                <w:szCs w:val="24"/>
              </w:rPr>
              <w:t>Cell Specific Model</w:t>
            </w:r>
          </w:p>
        </w:tc>
        <w:tc>
          <w:tcPr>
            <w:tcW w:w="4536" w:type="dxa"/>
          </w:tcPr>
          <w:p w:rsidR="00183843" w:rsidRPr="008F7397" w:rsidRDefault="00296C44" w:rsidP="00183843">
            <w:pPr>
              <w:rPr>
                <w:rFonts w:asciiTheme="majorBidi" w:hAnsiTheme="majorBidi" w:cstheme="majorBidi"/>
                <w:b/>
                <w:sz w:val="24"/>
                <w:szCs w:val="24"/>
              </w:rPr>
            </w:pPr>
            <w:r w:rsidRPr="008F7397">
              <w:rPr>
                <w:rFonts w:asciiTheme="majorBidi" w:hAnsiTheme="majorBidi" w:cstheme="majorBidi"/>
                <w:b/>
                <w:sz w:val="24"/>
                <w:szCs w:val="24"/>
              </w:rPr>
              <w:t>Literature and Experimental Supporting Evidences</w:t>
            </w:r>
          </w:p>
        </w:tc>
      </w:tr>
      <w:tr w:rsidR="00183843" w:rsidRPr="008F7397" w:rsidTr="00183843">
        <w:trPr>
          <w:cantSplit/>
        </w:trPr>
        <w:tc>
          <w:tcPr>
            <w:tcW w:w="1173" w:type="dxa"/>
          </w:tcPr>
          <w:p w:rsidR="00183843" w:rsidRPr="008F7397" w:rsidRDefault="00183843" w:rsidP="00121066">
            <w:pPr>
              <w:rPr>
                <w:rFonts w:asciiTheme="majorBidi" w:hAnsiTheme="majorBidi" w:cstheme="majorBidi"/>
                <w:bCs/>
                <w:sz w:val="24"/>
                <w:szCs w:val="24"/>
              </w:rPr>
            </w:pPr>
            <w:r w:rsidRPr="008F7397">
              <w:rPr>
                <w:rFonts w:asciiTheme="majorBidi" w:hAnsiTheme="majorBidi" w:cstheme="majorBidi"/>
                <w:bCs/>
                <w:sz w:val="24"/>
                <w:szCs w:val="24"/>
              </w:rPr>
              <w:lastRenderedPageBreak/>
              <w:t>Grb2/SOS</w:t>
            </w:r>
          </w:p>
        </w:tc>
        <w:tc>
          <w:tcPr>
            <w:tcW w:w="1195" w:type="dxa"/>
          </w:tcPr>
          <w:p w:rsidR="00183843" w:rsidRPr="008F7397" w:rsidRDefault="00183843" w:rsidP="00121066">
            <w:pPr>
              <w:rPr>
                <w:rFonts w:asciiTheme="majorBidi" w:hAnsiTheme="majorBidi" w:cstheme="majorBidi"/>
                <w:bCs/>
                <w:sz w:val="24"/>
                <w:szCs w:val="24"/>
              </w:rPr>
            </w:pPr>
            <w:r w:rsidRPr="008F7397">
              <w:rPr>
                <w:rFonts w:asciiTheme="majorBidi" w:hAnsiTheme="majorBidi" w:cstheme="majorBidi"/>
                <w:bCs/>
                <w:sz w:val="24"/>
                <w:szCs w:val="24"/>
              </w:rPr>
              <w:t>AVG(BCR, FGFR1)</w:t>
            </w:r>
          </w:p>
        </w:tc>
        <w:tc>
          <w:tcPr>
            <w:tcW w:w="1709" w:type="dxa"/>
          </w:tcPr>
          <w:p w:rsidR="00183843" w:rsidRPr="008F7397" w:rsidRDefault="00183843" w:rsidP="00121066">
            <w:pPr>
              <w:rPr>
                <w:rFonts w:asciiTheme="majorBidi" w:hAnsiTheme="majorBidi" w:cstheme="majorBidi"/>
                <w:bCs/>
                <w:sz w:val="24"/>
                <w:szCs w:val="24"/>
              </w:rPr>
            </w:pPr>
            <w:r w:rsidRPr="008F7397">
              <w:rPr>
                <w:rFonts w:asciiTheme="majorBidi" w:hAnsiTheme="majorBidi" w:cstheme="majorBidi"/>
                <w:bCs/>
                <w:sz w:val="24"/>
                <w:szCs w:val="24"/>
              </w:rPr>
              <w:t>max(BCR,1/2*FGFR1)</w:t>
            </w:r>
          </w:p>
        </w:tc>
        <w:tc>
          <w:tcPr>
            <w:tcW w:w="4536" w:type="dxa"/>
            <w:vMerge w:val="restart"/>
          </w:tcPr>
          <w:p w:rsidR="00183843" w:rsidRPr="008F7397" w:rsidRDefault="00183843" w:rsidP="005D7A0D">
            <w:pPr>
              <w:rPr>
                <w:rFonts w:asciiTheme="majorBidi" w:hAnsiTheme="majorBidi" w:cstheme="majorBidi"/>
                <w:bCs/>
                <w:sz w:val="24"/>
                <w:szCs w:val="24"/>
              </w:rPr>
            </w:pPr>
            <w:r w:rsidRPr="008F7397">
              <w:rPr>
                <w:rFonts w:asciiTheme="majorBidi" w:hAnsiTheme="majorBidi" w:cstheme="majorBidi"/>
                <w:sz w:val="24"/>
                <w:szCs w:val="24"/>
              </w:rPr>
              <w:t xml:space="preserve">BCR initiates three major signalling pathways: the Ras pathway, leading to ERK activation; the phospholipase C-γ pathway; and the PI3K pathway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fz86rEFa","properties":{"formattedCitation":"[18]","plainCitation":"[18]"},"citationItems":[{"id":386,"uris":["http://zotero.org/users/2553926/items/AV5WQZCR"],"uri":["http://zotero.org/users/2553926/items/AV5WQZCR"],"itemData":{"id":386,"type":"article-journal","title":"Convergence of signaling pathways on the activation of ERK in B cells","container-title":"The Journal of Biological Chemistry","page":"23420-23426","volume":"277","issue":"26","source":"PubMed","abstract":"The B cell receptor (BCR) initiates three major signaling pathways: the Ras pathway, which leads to extracellular signal-regulated kinase (ERK) activation; the phospholipase C-gamma pathway, which causes calcium mobilization; and the phosphoinositide 3-kinase (PI 3-kinase) pathway. These combine to induce different biological responses depending on the context of the BCR signal. Both the Ras and PI 3-kinase pathways are important for B cell development and activation. Several model systems show evidence of cross-regulation between these pathways. Here we demonstrate through the use of PI 3-kinase inhibitors and a dominant-negative PI 3-kinase construct that the BCR-induced phosphorylation and activation of ERK is dependent on PI 3-kinase. PI 3-kinase feeds into the Ras signaling cascade at multiple points, both upstream and downstream of Ras. We also show that ERK activation is dependent on phospholipase C-gamma, in keeping with its dependence on calcium mobilization. Last, the activation of PI 3-kinase itself is completely dependent on Ras. We conclude that the PI 3-kinase and Ras signaling cascades are intimately connected in B cells and that the activation of ERK is a signal integration point, since it requires simultaneous input from all three major signaling pathways.","DOI":"10.1074/jbc.M202485200","ISSN":"0021-9258","note":"PMID: 11976336","journalAbbreviation":"J. Biol. Chem.","language":"eng","author":[{"family":"Jacob","given":"Anand"},{"family":"Cooney","given":"Damon"},{"family":"Pradhan","given":"Madhura"},{"family":"Coggeshall","given":"K. Mark"}],"issued":{"date-parts":[["2002",6,28]]}}}],"schema":"https://github.com/citation-style-language/schema/raw/master/csl-citation.json"}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[18]</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w:t>
            </w:r>
          </w:p>
          <w:p w:rsidR="00183843" w:rsidRPr="008F7397" w:rsidRDefault="00183843" w:rsidP="005D7A0D">
            <w:pPr>
              <w:rPr>
                <w:rFonts w:asciiTheme="majorBidi" w:hAnsiTheme="majorBidi" w:cstheme="majorBidi"/>
                <w:sz w:val="24"/>
                <w:szCs w:val="24"/>
              </w:rPr>
            </w:pPr>
            <w:r w:rsidRPr="008F7397">
              <w:rPr>
                <w:rFonts w:asciiTheme="majorBidi" w:hAnsiTheme="majorBidi" w:cstheme="majorBidi"/>
                <w:bCs/>
                <w:sz w:val="24"/>
                <w:szCs w:val="24"/>
              </w:rPr>
              <w:t xml:space="preserve">Ma et al. </w:t>
            </w:r>
            <w:r w:rsidR="00760C56" w:rsidRPr="008F7397">
              <w:rPr>
                <w:rFonts w:asciiTheme="majorBidi" w:hAnsiTheme="majorBidi" w:cstheme="majorBidi"/>
                <w:bCs/>
                <w:sz w:val="24"/>
                <w:szCs w:val="24"/>
              </w:rPr>
              <w:fldChar w:fldCharType="begin"/>
            </w:r>
            <w:r w:rsidR="005D7A0D" w:rsidRPr="008F7397">
              <w:rPr>
                <w:rFonts w:asciiTheme="majorBidi" w:hAnsiTheme="majorBidi" w:cstheme="majorBidi"/>
                <w:bCs/>
                <w:sz w:val="24"/>
                <w:szCs w:val="24"/>
              </w:rPr>
              <w:instrText xml:space="preserve"> ADDIN ZOTERO_ITEM CSL_CITATION {"citationID":"jxPuo7vE","properties":{"formattedCitation":"[19]","plainCitation":"[19]"},"citationItems":[{"id":388,"uris":["http://zotero.org/users/2553926/items/2BZ3NNXH"],"uri":["http://zotero.org/users/2553926/items/2BZ3NNXH"],"itemData":{"id":388,"type":"article-journal","title":"Bcr phosphorylated on tyrosine 177 binds Grb2","container-title":"Oncogene","page":"2367-2372","volume":"14","issue":"19","source":"PubMed","abstract":"We and others have shown that the Bcr-Abl oncoprotein binds activators of the Ras pathway such as Grb2 and Shc. Grb2 binding is mediated through a phosphorylated tyrosine residue (Y177) located within a consensus Grb2 binding site encoded by the first exon of the BCR gene. Our results indicate that P160 BCR is tyrosine phosphorylated at the same site by Bcr-Abl in kinase assays (Puil et al., 1994). We performed experiments to determine whether Bcr, which was tyrosine phosphorylated within cells by activated c-Abl, could also bind Grb2, and whether phosphotyrosine 177 was the major binding site. Complexes between Bcr and Abl were detected in a hemopoietic cell line lacking Bcr-Abl and in COS1 cells coexpressing both Bcr and Abl proteins. P160 BCR was tyrosine phosphorylated in COS1 cells coexpressing Abl and Bcr proteins. Similarly, various deletion mutants of Bcr including BCRN553, BCRN413 and BCRN221 were tyrosine phosphorylated by activated c-Abl whereas BCRN159 was not. Wild-type Bcr and Bcr Y177F were examined under these conditions for their ability to co-precipitate with Grb2. The results showed that while wild-type tyrosine phosphorylated Bcr efficiently bound Grb2, tyrosine phosphorylated Bcr Y177F had greatly reduced Grb2-binding ability. Studies with GST-SH2 (Grb2) revealed that tyrosine phosphorylated Bcr was able to bind to GST SH2 (Grb2) but tyrosine phosphorylated Bcr Y177F was deficient in binding. These results indicate that the Bcr protein when phosphorylated at tyrosine 177 binds Grb2, thereby implicating Bcr as a potantial activator of the Ras pathway.","DOI":"10.1038/sj.onc.1201053","ISSN":"0950-9232","note":"PMID: 9178913","journalAbbreviation":"Oncogene","language":"eng","author":[{"family":"Ma","given":"G."},{"family":"Lu","given":"D."},{"family":"Wu","given":"Y."},{"family":"Liu","given":"J."},{"family":"Arlinghaus","given":"R. B."}],"issued":{"date-parts":[["1997",5,15]]}}}],"schema":"https://github.com/citation-style-language/schema/raw/master/csl-citation.json"} </w:instrText>
            </w:r>
            <w:r w:rsidR="00760C56" w:rsidRPr="008F7397">
              <w:rPr>
                <w:rFonts w:asciiTheme="majorBidi" w:hAnsiTheme="majorBidi" w:cstheme="majorBidi"/>
                <w:bCs/>
                <w:sz w:val="24"/>
                <w:szCs w:val="24"/>
              </w:rPr>
              <w:fldChar w:fldCharType="separate"/>
            </w:r>
            <w:r w:rsidR="005D7A0D" w:rsidRPr="008F7397">
              <w:rPr>
                <w:rFonts w:ascii="Times New Roman" w:hAnsi="Times New Roman" w:cs="Times New Roman"/>
                <w:sz w:val="24"/>
              </w:rPr>
              <w:t>[19]</w:t>
            </w:r>
            <w:r w:rsidR="00760C56" w:rsidRPr="008F7397">
              <w:rPr>
                <w:rFonts w:asciiTheme="majorBidi" w:hAnsiTheme="majorBidi" w:cstheme="majorBidi"/>
                <w:bCs/>
                <w:sz w:val="24"/>
                <w:szCs w:val="24"/>
              </w:rPr>
              <w:fldChar w:fldCharType="end"/>
            </w:r>
            <w:r w:rsidRPr="008F7397">
              <w:rPr>
                <w:rFonts w:asciiTheme="majorBidi" w:hAnsiTheme="majorBidi" w:cstheme="majorBidi"/>
                <w:bCs/>
                <w:sz w:val="24"/>
                <w:szCs w:val="24"/>
              </w:rPr>
              <w:t xml:space="preserve"> and Million et al. </w:t>
            </w:r>
            <w:r w:rsidR="00760C56" w:rsidRPr="008F7397">
              <w:rPr>
                <w:rFonts w:asciiTheme="majorBidi" w:hAnsiTheme="majorBidi" w:cstheme="majorBidi"/>
                <w:bCs/>
                <w:sz w:val="24"/>
                <w:szCs w:val="24"/>
              </w:rPr>
              <w:fldChar w:fldCharType="begin"/>
            </w:r>
            <w:r w:rsidR="005D7A0D" w:rsidRPr="008F7397">
              <w:rPr>
                <w:rFonts w:asciiTheme="majorBidi" w:hAnsiTheme="majorBidi" w:cstheme="majorBidi"/>
                <w:bCs/>
                <w:sz w:val="24"/>
                <w:szCs w:val="24"/>
              </w:rPr>
              <w:instrText xml:space="preserve"> ADDIN ZOTERO_ITEM CSL_CITATION {"citationID":"V7smioBH","properties":{"formattedCitation":"[20]","plainCitation":"[20]"},"citationItems":[{"id":390,"uris":["http://zotero.org/users/2553926/items/GVBK8QUP"],"uri":["http://zotero.org/users/2553926/items/GVBK8QUP"],"itemData":{"id":390,"type":"article-journal","title":"The Grb2 binding site is required for the induction of chronic myeloid leukemia-like disease in mice by the Bcr/Abl tyrosine kinase","container-title":"Blood","page":"664-670","volume":"96","issue":"2","source":"PubMed","abstract":"The BCR/ABL oncogene results from a balanced translocation between chromosomes 9 and 22 and is found in patients with chronic myeloid leukemia (CML) and in some patients with acute B-lymphoid leukemia. The Bcr/Abl fusion protein is a constitutively active tyrosine kinase that stimulates several intracellular signaling pathways, including activation of Ras through direct binding of the SH2-containing adapter protein Grb2 to Bcr tyrosine 177. A tyrosine-to-phenylalanine mutation (Y177F) at this site blocks the co-association of Bcr/Abl and Grb2 in vivo and impairs focus formation by Bcr/Abl in fibroblasts. However, the Bcr/Abl Y177F mutant can transform hematopoietic cell lines and primary bone marrow cells in vitro, so the importance of the Bcr/Abl-Grb2 interaction to myeloid and lymphoid leukemogenesis in vivo is unclear. We have recently demonstrated the efficient induction of CML-like myeloproliferative disease by BCR/ABL in a murine bone marrow transduction/transplantation model system. The Y177F mutation greatly attenuates the myeloproliferative disease induced by BCR/ABL, with mice developing B- and T-lymphoid leukemias of longer latency. In addition, the v-abl oncogene of Abelson murine leukemia virus, whose protein product lacks interaction with Grb2, is completely defective for the induction of CML-like disease. These results suggest that direct binding of Grb2 is required for the efficient induction of CML-like myeloproliferative disease by oncogenic Abl proteins. (Blood. 2000;96:664-670)","ISSN":"0006-4971","note":"PMID: 10887132","journalAbbreviation":"Blood","language":"eng","author":[{"family":"Million","given":"R. P."},{"family":"Van Etten","given":"R. A."}],"issued":{"date-parts":[["2000",7,15]]}}}],"schema":"https://github.com/citation-style-language/schema/raw/master/csl-citation.json"} </w:instrText>
            </w:r>
            <w:r w:rsidR="00760C56" w:rsidRPr="008F7397">
              <w:rPr>
                <w:rFonts w:asciiTheme="majorBidi" w:hAnsiTheme="majorBidi" w:cstheme="majorBidi"/>
                <w:bCs/>
                <w:sz w:val="24"/>
                <w:szCs w:val="24"/>
              </w:rPr>
              <w:fldChar w:fldCharType="separate"/>
            </w:r>
            <w:r w:rsidR="005D7A0D" w:rsidRPr="008F7397">
              <w:rPr>
                <w:rFonts w:ascii="Times New Roman" w:hAnsi="Times New Roman" w:cs="Times New Roman"/>
                <w:sz w:val="24"/>
              </w:rPr>
              <w:t>[20]</w:t>
            </w:r>
            <w:r w:rsidR="00760C56" w:rsidRPr="008F7397">
              <w:rPr>
                <w:rFonts w:asciiTheme="majorBidi" w:hAnsiTheme="majorBidi" w:cstheme="majorBidi"/>
                <w:bCs/>
                <w:sz w:val="24"/>
                <w:szCs w:val="24"/>
              </w:rPr>
              <w:fldChar w:fldCharType="end"/>
            </w:r>
            <w:r w:rsidRPr="008F7397">
              <w:rPr>
                <w:rFonts w:asciiTheme="majorBidi" w:hAnsiTheme="majorBidi" w:cstheme="majorBidi"/>
                <w:bCs/>
                <w:sz w:val="24"/>
                <w:szCs w:val="24"/>
              </w:rPr>
              <w:t xml:space="preserve"> </w:t>
            </w:r>
            <w:r w:rsidRPr="008F7397">
              <w:rPr>
                <w:rFonts w:asciiTheme="majorBidi" w:hAnsiTheme="majorBidi" w:cstheme="majorBidi"/>
                <w:sz w:val="24"/>
                <w:szCs w:val="24"/>
              </w:rPr>
              <w:t xml:space="preserve">researched the effect of BCR/Abl fusion and suggest that when BCR is phosphorylated on site 177 it activates Ras through binding GRB2, leading to over expression of ERK and PI3K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rMUnH4eT","properties":{"formattedCitation":"[18]","plainCitation":"[18]"},"citationItems":[{"id":386,"uris":["http://zotero.org/users/2553926/items/AV5WQZCR"],"uri":["http://zotero.org/users/2553926/items/AV5WQZCR"],"itemData":{"id":386,"type":"article-journal","title":"Convergence of signaling pathways on the activation of ERK in B cells","container-title":"The Journal of Biological Chemistry","page":"23420-23426","volume":"277","issue":"26","source":"PubMed","abstract":"The B cell receptor (BCR) initiates three major signaling pathways: the Ras pathway, which leads to extracellular signal-regulated kinase (ERK) activation; the phospholipase C-gamma pathway, which causes calcium mobilization; and the phosphoinositide 3-kinase (PI 3-kinase) pathway. These combine to induce different biological responses depending on the context of the BCR signal. Both the Ras and PI 3-kinase pathways are important for B cell development and activation. Several model systems show evidence of cross-regulation between these pathways. Here we demonstrate through the use of PI 3-kinase inhibitors and a dominant-negative PI 3-kinase construct that the BCR-induced phosphorylation and activation of ERK is dependent on PI 3-kinase. PI 3-kinase feeds into the Ras signaling cascade at multiple points, both upstream and downstream of Ras. We also show that ERK activation is dependent on phospholipase C-gamma, in keeping with its dependence on calcium mobilization. Last, the activation of PI 3-kinase itself is completely dependent on Ras. We conclude that the PI 3-kinase and Ras signaling cascades are intimately connected in B cells and that the activation of ERK is a signal integration point, since it requires simultaneous input from all three major signaling pathways.","DOI":"10.1074/jbc.M202485200","ISSN":"0021-9258","note":"PMID: 11976336","journalAbbreviation":"J. Biol. Chem.","language":"eng","author":[{"family":"Jacob","given":"Anand"},{"family":"Cooney","given":"Damon"},{"family":"Pradhan","given":"Madhura"},{"family":"Coggeshall","given":"K. Mark"}],"issued":{"date-parts":[["2002",6,28]]}}}],"schema":"https://github.com/citation-style-language/schema/raw/master/csl-citation.json"}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[18]</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w:t>
            </w:r>
          </w:p>
          <w:p w:rsidR="00183843" w:rsidRPr="008F7397" w:rsidRDefault="00183843" w:rsidP="009A5A9E">
            <w:pPr>
              <w:rPr>
                <w:rFonts w:asciiTheme="majorBidi" w:hAnsiTheme="majorBidi" w:cstheme="majorBidi"/>
                <w:sz w:val="24"/>
                <w:szCs w:val="24"/>
              </w:rPr>
            </w:pPr>
            <w:r w:rsidRPr="008F7397">
              <w:rPr>
                <w:rFonts w:asciiTheme="majorBidi" w:hAnsiTheme="majorBidi" w:cstheme="majorBidi"/>
                <w:sz w:val="24"/>
                <w:szCs w:val="24"/>
              </w:rPr>
              <w:t>Our RPPA reports highlight the correlated respons of BCR and downstream ERK in the MAPK pathway (BCR pY177 and ERK1/2 pT202/Y204 for MOLM16, EOL1 and MV411 through the single and combination treatments Fig 1B).  PI3K was not measured directly, yet its target AKT was observed, and sowhs the expected correlation to BCR activity (Fig 3B and 3D).</w:t>
            </w:r>
          </w:p>
        </w:tc>
      </w:tr>
      <w:tr w:rsidR="00183843" w:rsidRPr="008F7397" w:rsidTr="00183843">
        <w:trPr>
          <w:cantSplit/>
        </w:trPr>
        <w:tc>
          <w:tcPr>
            <w:tcW w:w="1173" w:type="dxa"/>
          </w:tcPr>
          <w:p w:rsidR="00183843" w:rsidRPr="008F7397" w:rsidRDefault="00183843" w:rsidP="00121066">
            <w:pPr>
              <w:rPr>
                <w:rFonts w:asciiTheme="majorBidi" w:hAnsiTheme="majorBidi" w:cstheme="majorBidi"/>
                <w:bCs/>
                <w:sz w:val="24"/>
                <w:szCs w:val="24"/>
              </w:rPr>
            </w:pPr>
            <w:r w:rsidRPr="008F7397">
              <w:rPr>
                <w:rFonts w:asciiTheme="majorBidi" w:hAnsiTheme="majorBidi" w:cstheme="majorBidi"/>
                <w:bCs/>
                <w:sz w:val="24"/>
                <w:szCs w:val="24"/>
              </w:rPr>
              <w:t>RAS</w:t>
            </w:r>
          </w:p>
        </w:tc>
        <w:tc>
          <w:tcPr>
            <w:tcW w:w="1195" w:type="dxa"/>
          </w:tcPr>
          <w:p w:rsidR="00183843" w:rsidRPr="008F7397" w:rsidRDefault="00183843" w:rsidP="00121066">
            <w:pPr>
              <w:rPr>
                <w:rFonts w:asciiTheme="majorBidi" w:hAnsiTheme="majorBidi" w:cstheme="majorBidi"/>
                <w:bCs/>
                <w:sz w:val="24"/>
                <w:szCs w:val="24"/>
              </w:rPr>
            </w:pPr>
            <w:r w:rsidRPr="008F7397">
              <w:rPr>
                <w:rFonts w:asciiTheme="majorBidi" w:hAnsiTheme="majorBidi" w:cstheme="majorBidi"/>
                <w:bCs/>
                <w:sz w:val="24"/>
                <w:szCs w:val="24"/>
              </w:rPr>
              <w:t>AVG(BCR,Grb2/SOS)</w:t>
            </w:r>
          </w:p>
        </w:tc>
        <w:tc>
          <w:tcPr>
            <w:tcW w:w="1709" w:type="dxa"/>
          </w:tcPr>
          <w:p w:rsidR="00183843" w:rsidRPr="008F7397" w:rsidRDefault="00183843" w:rsidP="00121066">
            <w:pPr>
              <w:rPr>
                <w:rFonts w:asciiTheme="majorBidi" w:hAnsiTheme="majorBidi" w:cstheme="majorBidi"/>
                <w:bCs/>
                <w:sz w:val="24"/>
                <w:szCs w:val="24"/>
                <w:lang w:val="de-DE"/>
              </w:rPr>
            </w:pPr>
            <w:r w:rsidRPr="008F7397">
              <w:rPr>
                <w:rFonts w:asciiTheme="majorBidi" w:hAnsiTheme="majorBidi" w:cstheme="majorBidi"/>
                <w:bCs/>
                <w:sz w:val="24"/>
                <w:szCs w:val="24"/>
                <w:lang w:val="de-DE"/>
              </w:rPr>
              <w:t>min(Grb2/SOS,BCR)</w:t>
            </w:r>
          </w:p>
        </w:tc>
        <w:tc>
          <w:tcPr>
            <w:tcW w:w="4536" w:type="dxa"/>
            <w:vMerge/>
          </w:tcPr>
          <w:p w:rsidR="00183843" w:rsidRPr="008F7397" w:rsidRDefault="00183843" w:rsidP="00DE5569">
            <w:pPr>
              <w:rPr>
                <w:rFonts w:asciiTheme="majorBidi" w:hAnsiTheme="majorBidi" w:cstheme="majorBidi"/>
                <w:bCs/>
                <w:sz w:val="24"/>
                <w:szCs w:val="24"/>
              </w:rPr>
            </w:pPr>
          </w:p>
        </w:tc>
      </w:tr>
      <w:tr w:rsidR="00183843" w:rsidRPr="008F7397" w:rsidTr="00183843">
        <w:trPr>
          <w:cantSplit/>
        </w:trPr>
        <w:tc>
          <w:tcPr>
            <w:tcW w:w="1173" w:type="dxa"/>
          </w:tcPr>
          <w:p w:rsidR="00183843" w:rsidRPr="008F7397" w:rsidRDefault="00183843" w:rsidP="00121066">
            <w:pPr>
              <w:rPr>
                <w:rFonts w:asciiTheme="majorBidi" w:hAnsiTheme="majorBidi" w:cstheme="majorBidi"/>
                <w:bCs/>
                <w:sz w:val="24"/>
                <w:szCs w:val="24"/>
              </w:rPr>
            </w:pPr>
            <w:r w:rsidRPr="008F7397">
              <w:rPr>
                <w:rFonts w:asciiTheme="majorBidi" w:hAnsiTheme="majorBidi" w:cstheme="majorBidi"/>
                <w:bCs/>
                <w:sz w:val="24"/>
                <w:szCs w:val="24"/>
              </w:rPr>
              <w:t>PI3K</w:t>
            </w:r>
          </w:p>
        </w:tc>
        <w:tc>
          <w:tcPr>
            <w:tcW w:w="1195" w:type="dxa"/>
          </w:tcPr>
          <w:p w:rsidR="00183843" w:rsidRPr="008F7397" w:rsidRDefault="00183843" w:rsidP="00121066">
            <w:pPr>
              <w:rPr>
                <w:rFonts w:asciiTheme="majorBidi" w:hAnsiTheme="majorBidi" w:cstheme="majorBidi"/>
                <w:bCs/>
                <w:sz w:val="24"/>
                <w:szCs w:val="24"/>
              </w:rPr>
            </w:pPr>
            <w:r w:rsidRPr="008F7397">
              <w:rPr>
                <w:rFonts w:asciiTheme="majorBidi" w:hAnsiTheme="majorBidi" w:cstheme="majorBidi"/>
                <w:bCs/>
                <w:sz w:val="24"/>
                <w:szCs w:val="24"/>
              </w:rPr>
              <w:t>AVG(Grb2/SOS, !RAS)</w:t>
            </w:r>
          </w:p>
        </w:tc>
        <w:tc>
          <w:tcPr>
            <w:tcW w:w="1709" w:type="dxa"/>
          </w:tcPr>
          <w:p w:rsidR="00183843" w:rsidRPr="008F7397" w:rsidRDefault="00183843" w:rsidP="00121066">
            <w:pPr>
              <w:rPr>
                <w:rFonts w:asciiTheme="majorBidi" w:hAnsiTheme="majorBidi" w:cstheme="majorBidi"/>
                <w:bCs/>
                <w:sz w:val="24"/>
                <w:szCs w:val="24"/>
              </w:rPr>
            </w:pPr>
            <w:r w:rsidRPr="008F7397">
              <w:rPr>
                <w:rFonts w:asciiTheme="majorBidi" w:hAnsiTheme="majorBidi" w:cstheme="majorBidi"/>
                <w:bCs/>
                <w:sz w:val="24"/>
                <w:szCs w:val="24"/>
              </w:rPr>
              <w:t>max(BCR,Grb2/SOS,1/2*PDGFRA)</w:t>
            </w:r>
          </w:p>
        </w:tc>
        <w:tc>
          <w:tcPr>
            <w:tcW w:w="4536" w:type="dxa"/>
            <w:vMerge/>
          </w:tcPr>
          <w:p w:rsidR="00183843" w:rsidRPr="008F7397" w:rsidRDefault="00183843" w:rsidP="00DE5569">
            <w:pPr>
              <w:rPr>
                <w:rFonts w:asciiTheme="majorBidi" w:hAnsiTheme="majorBidi" w:cstheme="majorBidi"/>
                <w:bCs/>
                <w:sz w:val="24"/>
                <w:szCs w:val="24"/>
              </w:rPr>
            </w:pPr>
          </w:p>
        </w:tc>
      </w:tr>
      <w:tr w:rsidR="00183843" w:rsidRPr="008F7397" w:rsidTr="00183843">
        <w:trPr>
          <w:cantSplit/>
        </w:trPr>
        <w:tc>
          <w:tcPr>
            <w:tcW w:w="1173" w:type="dxa"/>
          </w:tcPr>
          <w:p w:rsidR="00183843" w:rsidRPr="008F7397" w:rsidRDefault="00183843" w:rsidP="00017D03">
            <w:pPr>
              <w:rPr>
                <w:rFonts w:asciiTheme="majorBidi" w:hAnsiTheme="majorBidi" w:cstheme="majorBidi"/>
                <w:bCs/>
                <w:sz w:val="24"/>
                <w:szCs w:val="24"/>
              </w:rPr>
            </w:pPr>
            <w:r w:rsidRPr="008F7397">
              <w:rPr>
                <w:rFonts w:asciiTheme="majorBidi" w:hAnsiTheme="majorBidi" w:cstheme="majorBidi"/>
                <w:bCs/>
                <w:sz w:val="24"/>
                <w:szCs w:val="24"/>
              </w:rPr>
              <w:t>RAF</w:t>
            </w:r>
          </w:p>
        </w:tc>
        <w:tc>
          <w:tcPr>
            <w:tcW w:w="1195" w:type="dxa"/>
          </w:tcPr>
          <w:p w:rsidR="00183843" w:rsidRPr="008F7397" w:rsidRDefault="00183843" w:rsidP="00017D03">
            <w:pPr>
              <w:rPr>
                <w:rFonts w:asciiTheme="majorBidi" w:hAnsiTheme="majorBidi" w:cstheme="majorBidi"/>
                <w:bCs/>
                <w:sz w:val="24"/>
                <w:szCs w:val="24"/>
              </w:rPr>
            </w:pPr>
            <w:r w:rsidRPr="008F7397">
              <w:rPr>
                <w:rFonts w:asciiTheme="majorBidi" w:hAnsiTheme="majorBidi" w:cstheme="majorBidi"/>
                <w:bCs/>
                <w:sz w:val="24"/>
                <w:szCs w:val="24"/>
              </w:rPr>
              <w:t>AVG(RAS)</w:t>
            </w:r>
          </w:p>
        </w:tc>
        <w:tc>
          <w:tcPr>
            <w:tcW w:w="1709" w:type="dxa"/>
          </w:tcPr>
          <w:p w:rsidR="00183843" w:rsidRPr="008F7397" w:rsidRDefault="00183843" w:rsidP="00017D03">
            <w:pPr>
              <w:rPr>
                <w:rFonts w:asciiTheme="majorBidi" w:hAnsiTheme="majorBidi" w:cstheme="majorBidi"/>
                <w:bCs/>
                <w:sz w:val="24"/>
                <w:szCs w:val="24"/>
              </w:rPr>
            </w:pPr>
            <w:r w:rsidRPr="008F7397">
              <w:rPr>
                <w:rFonts w:asciiTheme="majorBidi" w:hAnsiTheme="majorBidi" w:cstheme="majorBidi"/>
                <w:bCs/>
                <w:sz w:val="24"/>
                <w:szCs w:val="24"/>
              </w:rPr>
              <w:t>AVG(RAS)</w:t>
            </w:r>
          </w:p>
        </w:tc>
        <w:tc>
          <w:tcPr>
            <w:tcW w:w="4536" w:type="dxa"/>
            <w:vMerge w:val="restart"/>
          </w:tcPr>
          <w:p w:rsidR="00183843" w:rsidRPr="008F7397" w:rsidRDefault="00183843" w:rsidP="005D7A0D">
            <w:pPr>
              <w:rPr>
                <w:rFonts w:asciiTheme="majorBidi" w:hAnsiTheme="majorBidi" w:cstheme="majorBidi"/>
                <w:bCs/>
                <w:sz w:val="24"/>
                <w:szCs w:val="24"/>
              </w:rPr>
            </w:pPr>
            <w:r w:rsidRPr="008F7397">
              <w:rPr>
                <w:rFonts w:asciiTheme="majorBidi" w:hAnsiTheme="majorBidi" w:cstheme="majorBidi"/>
                <w:bCs/>
                <w:sz w:val="24"/>
                <w:szCs w:val="24"/>
              </w:rPr>
              <w:t xml:space="preserve">MAPK signaling cascade </w:t>
            </w:r>
            <w:r w:rsidR="00760C56" w:rsidRPr="008F7397">
              <w:rPr>
                <w:rFonts w:asciiTheme="majorBidi" w:hAnsiTheme="majorBidi" w:cstheme="majorBidi"/>
                <w:bCs/>
                <w:sz w:val="24"/>
                <w:szCs w:val="24"/>
              </w:rPr>
              <w:fldChar w:fldCharType="begin"/>
            </w:r>
            <w:r w:rsidR="005D7A0D" w:rsidRPr="008F7397">
              <w:rPr>
                <w:rFonts w:asciiTheme="majorBidi" w:hAnsiTheme="majorBidi" w:cstheme="majorBidi"/>
                <w:bCs/>
                <w:sz w:val="24"/>
                <w:szCs w:val="24"/>
              </w:rPr>
              <w:instrText xml:space="preserve"> ADDIN ZOTERO_ITEM CSL_CITATION {"citationID":"Kl3o1oby","properties":{"formattedCitation":"[21]","plainCitation":"[21]"},"citationItems":[{"id":392,"uris":["http://zotero.org/users/2553926/items/Z5A8QXER"],"uri":["http://zotero.org/users/2553926/items/Z5A8QXER"],"itemData":{"id":392,"type":"article-journal","title":"The MAPK signaling cascade.","container-title":"The FASEB Journal","page":"726-735","volume":"9","issue":"9","source":"www.fasebj.org","abstract":"The transmission of extracellular signals into their intracellular targets is mediated by a network of interacting proteins that regulate a large number of cellular processes. Cumulative efforts from many laboratories over the past decade have allowed the elucidation of one such signaling mechanism, which involves activations of several membranal signaling molecules followed by a sequential stimulation of several cytoplasmic protein kinases collectively known as mitogen-activated protein kinase (MAPK) signaling cascade. Up to six tiers in this cascade contribute to the amplification and specificity of the transmitted signals that eventually activate several regulatory molecules in the cytoplasm and in the nucleus to initiate cellular processes such as proliferation, differentiation, and development. Moreover, because many oncogenes have been shown to encode proteins that transmit mitogenic signals upstream of this cascade, the MAPK pathway provides a simple unifying explanation for the mechanism of action of most, if not all, nonnuclear oncogenes. The pattern of MAPK cascade is not restricted to growth factor signaling and it is now known that signaling pathways initiated by phorbol esters, ionophors, heat shock, and ligands for seven transmembrane receptors use distinct MAPK cascades with little or no cross-reactivity between them. In this review we emphasize primarily the first MAPK cascade to be discovered that uses the MEK and ERK isoforms and describe their involvement in different cellular processes.","ISSN":"0892-6638, 1530-6860","note":"PMID: 7601337","journalAbbreviation":"FASEB J","language":"en","author":[{"family":"Seger","given":"R."},{"family":"Krebs","given":"E. G."}],"issued":{"date-parts":[["1995",6,1]]}}}],"schema":"https://github.com/citation-style-language/schema/raw/master/csl-citation.json"} </w:instrText>
            </w:r>
            <w:r w:rsidR="00760C56" w:rsidRPr="008F7397">
              <w:rPr>
                <w:rFonts w:asciiTheme="majorBidi" w:hAnsiTheme="majorBidi" w:cstheme="majorBidi"/>
                <w:bCs/>
                <w:sz w:val="24"/>
                <w:szCs w:val="24"/>
              </w:rPr>
              <w:fldChar w:fldCharType="separate"/>
            </w:r>
            <w:r w:rsidR="005D7A0D" w:rsidRPr="008F7397">
              <w:rPr>
                <w:rFonts w:ascii="Times New Roman" w:hAnsi="Times New Roman" w:cs="Times New Roman"/>
                <w:sz w:val="24"/>
              </w:rPr>
              <w:t>[21]</w:t>
            </w:r>
            <w:r w:rsidR="00760C56" w:rsidRPr="008F7397">
              <w:rPr>
                <w:rFonts w:asciiTheme="majorBidi" w:hAnsiTheme="majorBidi" w:cstheme="majorBidi"/>
                <w:bCs/>
                <w:sz w:val="24"/>
                <w:szCs w:val="24"/>
              </w:rPr>
              <w:fldChar w:fldCharType="end"/>
            </w:r>
            <w:r w:rsidRPr="008F7397">
              <w:rPr>
                <w:rFonts w:asciiTheme="majorBidi" w:hAnsiTheme="majorBidi" w:cstheme="majorBidi"/>
                <w:bCs/>
                <w:sz w:val="24"/>
                <w:szCs w:val="24"/>
              </w:rPr>
              <w:t xml:space="preserve"> characterizes the RAS-RAF-MEK-ERK-RSK cascade. </w:t>
            </w:r>
            <w:r w:rsidRPr="008F7397">
              <w:rPr>
                <w:rFonts w:asciiTheme="majorBidi" w:hAnsiTheme="majorBidi" w:cstheme="majorBidi"/>
                <w:sz w:val="24"/>
                <w:szCs w:val="24"/>
              </w:rPr>
              <w:t>FIP1L1–PDGFR</w:t>
            </w:r>
            <w:r w:rsidRPr="008F7397">
              <w:rPr>
                <w:rFonts w:asciiTheme="majorBidi" w:hAnsiTheme="majorBidi" w:cstheme="majorBidi"/>
                <w:noProof/>
                <w:sz w:val="24"/>
                <w:szCs w:val="24"/>
                <w:lang w:val="en-GB" w:eastAsia="en-GB"/>
              </w:rPr>
              <w:drawing>
                <wp:inline distT="0" distB="0" distL="0" distR="0">
                  <wp:extent cx="71120" cy="71120"/>
                  <wp:effectExtent l="19050" t="0" r="5080" b="0"/>
                  <wp:docPr id="2" name="Picture 6"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pha"/>
                          <pic:cNvPicPr>
                            <a:picLocks noChangeAspect="1" noChangeArrowheads="1"/>
                          </pic:cNvPicPr>
                        </pic:nvPicPr>
                        <pic:blipFill>
                          <a:blip r:embed="rId15" cstate="print"/>
                          <a:srcRect/>
                          <a:stretch>
                            <a:fillRect/>
                          </a:stretch>
                        </pic:blipFill>
                        <pic:spPr bwMode="auto">
                          <a:xfrm>
                            <a:off x="0" y="0"/>
                            <a:ext cx="71120" cy="71120"/>
                          </a:xfrm>
                          <a:prstGeom prst="rect">
                            <a:avLst/>
                          </a:prstGeom>
                          <a:noFill/>
                          <a:ln w="9525">
                            <a:noFill/>
                            <a:miter lim="800000"/>
                            <a:headEnd/>
                            <a:tailEnd/>
                          </a:ln>
                        </pic:spPr>
                      </pic:pic>
                    </a:graphicData>
                  </a:graphic>
                </wp:inline>
              </w:drawing>
            </w:r>
            <w:r w:rsidRPr="008F7397">
              <w:rPr>
                <w:rFonts w:asciiTheme="majorBidi" w:hAnsiTheme="majorBidi" w:cstheme="majorBidi"/>
                <w:sz w:val="24"/>
                <w:szCs w:val="24"/>
              </w:rPr>
              <w:t xml:space="preserve"> fusion is required to stimulate proliferation and mediate survival of the eosinophils in CEL patients, through activation of several signaling pathways including PI3K, ERK 1/2 and STAT5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ZWZa1a1V","properties":{"formattedCitation":"[22]","plainCitation":"[22]"},"citationItems":[{"id":396,"uris":["http://zotero.org/users/2553926/items/2VS4UIGD"],"uri":["http://zotero.org/users/2553926/items/2VS4UIGD"],"itemData":{"id":396,"type":"article-journal","title":"Five years since the discovery of FIP1L1–PDGFRA: what we have learned about the fusion and other molecularly defined eosinophilias","container-title":"Leukemia","page":"1999-2010","volume":"22","issue":"11","source":"www.nature.com","abstract":"The year 2008 marks the fifth anniversary since the publication which identified the FIP1L1–PDGFRA fusion gene in patients with idiopathic hypereosinophilia. With the benefit of time, a more comprehensive picture has emerged regarding several characteristics of the fusion, including its incidence, biological features and the clinical profile of patients who carry the molecular rearrangement. A few prospective trials have now better defined the natural history of imatinib-treated FIP1L1–PDGFRA-positive patients, from which some basic conclusions can be drawn: the prognosis is outstanding, acquired resistance is exceedingly rare, but ongoing imatinib treatment is likely required to prevent relapse. The emergence of genetically assigned eosinophilias has led the World Health Organization in 2008 to adopt a semi-molecular classification scheme, with one subcategory named 'myeloid and lymphoid neoplasms with eosinophilia and abnormalities of PDGFRA, PDGFRB or FGFR1.' Molecular rearrangements involving other partner genes, such as ETV6 and JAK2, have also been associated with eosinophilic disorders, and will likely be assimilated into such classifications over time. Despite the molecularly defined eosinophilias comprising a small proportion of cases compared to the aggregate of other subtypes of hypereosinophilia, their recognition is critical because of the availability of highly effective molecularly targeted therapy.","DOI":"10.1038/leu.2008.287","ISSN":"0887-6924","shortTitle":"Five years since the discovery of FIP1L1–PDGFRA","journalAbbreviation":"Leukemia","language":"en","author":[{"family":"Gotlib","given":"J."},{"family":"Cools","given":"J."}],"issued":{"date-parts":[["2008",10,9]]}}}],"schema":"https://github.com/citation-style-language/schema/raw/master/csl-citation.json"}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[22]</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w:t>
            </w:r>
          </w:p>
        </w:tc>
      </w:tr>
      <w:tr w:rsidR="00183843" w:rsidRPr="008F7397" w:rsidTr="00183843">
        <w:trPr>
          <w:cantSplit/>
        </w:trPr>
        <w:tc>
          <w:tcPr>
            <w:tcW w:w="1173" w:type="dxa"/>
          </w:tcPr>
          <w:p w:rsidR="00183843" w:rsidRPr="008F7397" w:rsidRDefault="00183843" w:rsidP="00017D03">
            <w:pPr>
              <w:rPr>
                <w:rFonts w:asciiTheme="majorBidi" w:hAnsiTheme="majorBidi" w:cstheme="majorBidi"/>
                <w:bCs/>
                <w:sz w:val="24"/>
                <w:szCs w:val="24"/>
              </w:rPr>
            </w:pPr>
            <w:r w:rsidRPr="008F7397">
              <w:rPr>
                <w:rFonts w:asciiTheme="majorBidi" w:hAnsiTheme="majorBidi" w:cstheme="majorBidi"/>
                <w:bCs/>
                <w:sz w:val="24"/>
                <w:szCs w:val="24"/>
              </w:rPr>
              <w:t>MEK</w:t>
            </w:r>
          </w:p>
        </w:tc>
        <w:tc>
          <w:tcPr>
            <w:tcW w:w="1195" w:type="dxa"/>
          </w:tcPr>
          <w:p w:rsidR="00183843" w:rsidRPr="008F7397" w:rsidRDefault="00183843" w:rsidP="00017D03">
            <w:pPr>
              <w:rPr>
                <w:rFonts w:asciiTheme="majorBidi" w:hAnsiTheme="majorBidi" w:cstheme="majorBidi"/>
                <w:bCs/>
                <w:sz w:val="24"/>
                <w:szCs w:val="24"/>
              </w:rPr>
            </w:pPr>
            <w:r w:rsidRPr="008F7397">
              <w:rPr>
                <w:rFonts w:asciiTheme="majorBidi" w:hAnsiTheme="majorBidi" w:cstheme="majorBidi"/>
                <w:bCs/>
                <w:sz w:val="24"/>
                <w:szCs w:val="24"/>
              </w:rPr>
              <w:t>AVG(RAF)</w:t>
            </w:r>
          </w:p>
        </w:tc>
        <w:tc>
          <w:tcPr>
            <w:tcW w:w="1709" w:type="dxa"/>
          </w:tcPr>
          <w:p w:rsidR="00183843" w:rsidRPr="008F7397" w:rsidRDefault="00183843" w:rsidP="00017D03">
            <w:pPr>
              <w:rPr>
                <w:rFonts w:asciiTheme="majorBidi" w:hAnsiTheme="majorBidi" w:cstheme="majorBidi"/>
                <w:bCs/>
                <w:sz w:val="24"/>
                <w:szCs w:val="24"/>
              </w:rPr>
            </w:pPr>
            <w:r w:rsidRPr="008F7397">
              <w:rPr>
                <w:rFonts w:asciiTheme="majorBidi" w:hAnsiTheme="majorBidi" w:cstheme="majorBidi"/>
                <w:bCs/>
                <w:sz w:val="24"/>
                <w:szCs w:val="24"/>
              </w:rPr>
              <w:t>AVG(RAF)</w:t>
            </w:r>
          </w:p>
        </w:tc>
        <w:tc>
          <w:tcPr>
            <w:tcW w:w="4536" w:type="dxa"/>
            <w:vMerge/>
          </w:tcPr>
          <w:p w:rsidR="00183843" w:rsidRPr="008F7397" w:rsidRDefault="00183843" w:rsidP="00017D03">
            <w:pPr>
              <w:rPr>
                <w:rFonts w:asciiTheme="majorBidi" w:hAnsiTheme="majorBidi" w:cstheme="majorBidi"/>
                <w:bCs/>
                <w:sz w:val="24"/>
                <w:szCs w:val="24"/>
              </w:rPr>
            </w:pPr>
          </w:p>
        </w:tc>
      </w:tr>
      <w:tr w:rsidR="00183843" w:rsidRPr="008F7397" w:rsidTr="00183843">
        <w:trPr>
          <w:cantSplit/>
        </w:trPr>
        <w:tc>
          <w:tcPr>
            <w:tcW w:w="1173" w:type="dxa"/>
          </w:tcPr>
          <w:p w:rsidR="00183843" w:rsidRPr="008F7397" w:rsidRDefault="00183843" w:rsidP="00017D03">
            <w:pPr>
              <w:rPr>
                <w:rFonts w:asciiTheme="majorBidi" w:hAnsiTheme="majorBidi" w:cstheme="majorBidi"/>
                <w:bCs/>
                <w:sz w:val="24"/>
                <w:szCs w:val="24"/>
              </w:rPr>
            </w:pPr>
            <w:r w:rsidRPr="008F7397">
              <w:rPr>
                <w:rFonts w:asciiTheme="majorBidi" w:hAnsiTheme="majorBidi" w:cstheme="majorBidi"/>
                <w:bCs/>
                <w:sz w:val="24"/>
                <w:szCs w:val="24"/>
              </w:rPr>
              <w:t>ERK</w:t>
            </w:r>
          </w:p>
        </w:tc>
        <w:tc>
          <w:tcPr>
            <w:tcW w:w="1195" w:type="dxa"/>
          </w:tcPr>
          <w:p w:rsidR="00183843" w:rsidRPr="008F7397" w:rsidRDefault="00183843" w:rsidP="00017D03">
            <w:pPr>
              <w:rPr>
                <w:rFonts w:asciiTheme="majorBidi" w:hAnsiTheme="majorBidi" w:cstheme="majorBidi"/>
                <w:bCs/>
                <w:sz w:val="24"/>
                <w:szCs w:val="24"/>
              </w:rPr>
            </w:pPr>
            <w:r w:rsidRPr="008F7397">
              <w:rPr>
                <w:rFonts w:asciiTheme="majorBidi" w:hAnsiTheme="majorBidi" w:cstheme="majorBidi"/>
                <w:bCs/>
                <w:sz w:val="24"/>
                <w:szCs w:val="24"/>
              </w:rPr>
              <w:t>AVG(MEK, PDGFRA)</w:t>
            </w:r>
          </w:p>
        </w:tc>
        <w:tc>
          <w:tcPr>
            <w:tcW w:w="1709" w:type="dxa"/>
          </w:tcPr>
          <w:p w:rsidR="00183843" w:rsidRPr="008F7397" w:rsidRDefault="00183843" w:rsidP="00017D03">
            <w:pPr>
              <w:rPr>
                <w:rFonts w:asciiTheme="majorBidi" w:hAnsiTheme="majorBidi" w:cstheme="majorBidi"/>
                <w:bCs/>
                <w:sz w:val="24"/>
                <w:szCs w:val="24"/>
              </w:rPr>
            </w:pPr>
            <w:r w:rsidRPr="008F7397">
              <w:rPr>
                <w:rFonts w:asciiTheme="majorBidi" w:hAnsiTheme="majorBidi" w:cstheme="majorBidi"/>
                <w:bCs/>
                <w:sz w:val="24"/>
                <w:szCs w:val="24"/>
              </w:rPr>
              <w:t>max(MEK,1/2*PDGFRA)</w:t>
            </w:r>
          </w:p>
        </w:tc>
        <w:tc>
          <w:tcPr>
            <w:tcW w:w="4536" w:type="dxa"/>
            <w:vMerge/>
          </w:tcPr>
          <w:p w:rsidR="00183843" w:rsidRPr="008F7397" w:rsidRDefault="00183843" w:rsidP="00017D03">
            <w:pPr>
              <w:rPr>
                <w:rFonts w:asciiTheme="majorBidi" w:hAnsiTheme="majorBidi" w:cstheme="majorBidi"/>
                <w:bCs/>
                <w:sz w:val="24"/>
                <w:szCs w:val="24"/>
              </w:rPr>
            </w:pPr>
          </w:p>
        </w:tc>
      </w:tr>
      <w:tr w:rsidR="00183843" w:rsidRPr="008F7397" w:rsidTr="00133DC7">
        <w:trPr>
          <w:cantSplit/>
          <w:trHeight w:val="992"/>
        </w:trPr>
        <w:tc>
          <w:tcPr>
            <w:tcW w:w="1173" w:type="dxa"/>
          </w:tcPr>
          <w:p w:rsidR="00183843" w:rsidRPr="008F7397" w:rsidRDefault="00183843" w:rsidP="00017D03">
            <w:pPr>
              <w:rPr>
                <w:rFonts w:asciiTheme="majorBidi" w:hAnsiTheme="majorBidi" w:cstheme="majorBidi"/>
                <w:bCs/>
                <w:sz w:val="24"/>
                <w:szCs w:val="24"/>
              </w:rPr>
            </w:pPr>
            <w:r w:rsidRPr="008F7397">
              <w:rPr>
                <w:rFonts w:asciiTheme="majorBidi" w:hAnsiTheme="majorBidi" w:cstheme="majorBidi"/>
                <w:bCs/>
                <w:sz w:val="24"/>
                <w:szCs w:val="24"/>
              </w:rPr>
              <w:t>RSK</w:t>
            </w:r>
          </w:p>
        </w:tc>
        <w:tc>
          <w:tcPr>
            <w:tcW w:w="1195" w:type="dxa"/>
          </w:tcPr>
          <w:p w:rsidR="00183843" w:rsidRPr="008F7397" w:rsidRDefault="00183843" w:rsidP="00017D03">
            <w:pPr>
              <w:rPr>
                <w:rFonts w:asciiTheme="majorBidi" w:hAnsiTheme="majorBidi" w:cstheme="majorBidi"/>
                <w:bCs/>
                <w:sz w:val="24"/>
                <w:szCs w:val="24"/>
              </w:rPr>
            </w:pPr>
            <w:r w:rsidRPr="008F7397">
              <w:rPr>
                <w:rFonts w:asciiTheme="majorBidi" w:hAnsiTheme="majorBidi" w:cstheme="majorBidi"/>
                <w:bCs/>
                <w:sz w:val="24"/>
                <w:szCs w:val="24"/>
              </w:rPr>
              <w:t>AVG(ERK)</w:t>
            </w:r>
          </w:p>
        </w:tc>
        <w:tc>
          <w:tcPr>
            <w:tcW w:w="1709" w:type="dxa"/>
          </w:tcPr>
          <w:p w:rsidR="00183843" w:rsidRPr="008F7397" w:rsidRDefault="00183843" w:rsidP="00017D03">
            <w:pPr>
              <w:rPr>
                <w:rFonts w:asciiTheme="majorBidi" w:hAnsiTheme="majorBidi" w:cstheme="majorBidi"/>
                <w:bCs/>
                <w:sz w:val="24"/>
                <w:szCs w:val="24"/>
              </w:rPr>
            </w:pPr>
            <w:r w:rsidRPr="008F7397">
              <w:rPr>
                <w:rFonts w:asciiTheme="majorBidi" w:hAnsiTheme="majorBidi" w:cstheme="majorBidi"/>
                <w:bCs/>
                <w:sz w:val="24"/>
                <w:szCs w:val="24"/>
              </w:rPr>
              <w:t>AVG(ERK)</w:t>
            </w:r>
          </w:p>
        </w:tc>
        <w:tc>
          <w:tcPr>
            <w:tcW w:w="4536" w:type="dxa"/>
            <w:vMerge/>
          </w:tcPr>
          <w:p w:rsidR="00183843" w:rsidRPr="008F7397" w:rsidRDefault="00183843" w:rsidP="00017D03">
            <w:pPr>
              <w:rPr>
                <w:rFonts w:asciiTheme="majorBidi" w:hAnsiTheme="majorBidi" w:cstheme="majorBidi"/>
                <w:bCs/>
                <w:sz w:val="24"/>
                <w:szCs w:val="24"/>
              </w:rPr>
            </w:pPr>
          </w:p>
        </w:tc>
      </w:tr>
      <w:tr w:rsidR="00133DC7" w:rsidRPr="008F7397" w:rsidTr="00016195">
        <w:trPr>
          <w:cantSplit/>
          <w:trHeight w:val="2117"/>
        </w:trPr>
        <w:tc>
          <w:tcPr>
            <w:tcW w:w="1173" w:type="dxa"/>
            <w:tcBorders>
              <w:bottom w:val="single" w:sz="4" w:space="0" w:color="auto"/>
            </w:tcBorders>
          </w:tcPr>
          <w:p w:rsidR="00133DC7" w:rsidRPr="008F7397" w:rsidRDefault="00133DC7" w:rsidP="00E24644">
            <w:pPr>
              <w:rPr>
                <w:rFonts w:asciiTheme="majorBidi" w:hAnsiTheme="majorBidi" w:cstheme="majorBidi"/>
                <w:bCs/>
                <w:sz w:val="24"/>
                <w:szCs w:val="24"/>
              </w:rPr>
            </w:pPr>
            <w:r w:rsidRPr="008F7397">
              <w:rPr>
                <w:rFonts w:asciiTheme="majorBidi" w:hAnsiTheme="majorBidi" w:cstheme="majorBidi"/>
                <w:bCs/>
                <w:sz w:val="24"/>
                <w:szCs w:val="24"/>
              </w:rPr>
              <w:t>AKT</w:t>
            </w:r>
          </w:p>
        </w:tc>
        <w:tc>
          <w:tcPr>
            <w:tcW w:w="1195" w:type="dxa"/>
            <w:tcBorders>
              <w:bottom w:val="single" w:sz="4" w:space="0" w:color="auto"/>
            </w:tcBorders>
          </w:tcPr>
          <w:p w:rsidR="00133DC7" w:rsidRPr="008F7397" w:rsidRDefault="00133DC7" w:rsidP="00E24644">
            <w:pPr>
              <w:rPr>
                <w:rFonts w:asciiTheme="majorBidi" w:hAnsiTheme="majorBidi" w:cstheme="majorBidi"/>
                <w:bCs/>
                <w:sz w:val="24"/>
                <w:szCs w:val="24"/>
              </w:rPr>
            </w:pPr>
            <w:r w:rsidRPr="008F7397">
              <w:rPr>
                <w:rFonts w:asciiTheme="majorBidi" w:hAnsiTheme="majorBidi" w:cstheme="majorBidi"/>
                <w:bCs/>
                <w:sz w:val="24"/>
                <w:szCs w:val="24"/>
              </w:rPr>
              <w:t>AVG(PI3K, PDK1, mTORC2, !S6, !PRAS40)</w:t>
            </w:r>
          </w:p>
        </w:tc>
        <w:tc>
          <w:tcPr>
            <w:tcW w:w="1709" w:type="dxa"/>
            <w:tcBorders>
              <w:bottom w:val="single" w:sz="4" w:space="0" w:color="auto"/>
            </w:tcBorders>
          </w:tcPr>
          <w:p w:rsidR="00133DC7" w:rsidRPr="008F7397" w:rsidRDefault="00133DC7" w:rsidP="00E24644">
            <w:pPr>
              <w:rPr>
                <w:rFonts w:asciiTheme="majorBidi" w:hAnsiTheme="majorBidi" w:cstheme="majorBidi"/>
                <w:bCs/>
                <w:sz w:val="24"/>
                <w:szCs w:val="24"/>
              </w:rPr>
            </w:pPr>
            <w:r w:rsidRPr="008F7397">
              <w:rPr>
                <w:rFonts w:asciiTheme="majorBidi" w:hAnsiTheme="majorBidi" w:cstheme="majorBidi"/>
                <w:bCs/>
                <w:sz w:val="24"/>
                <w:szCs w:val="24"/>
              </w:rPr>
              <w:t>max(PI3K,mTORC2)</w:t>
            </w:r>
          </w:p>
        </w:tc>
        <w:tc>
          <w:tcPr>
            <w:tcW w:w="4536" w:type="dxa"/>
            <w:tcBorders>
              <w:bottom w:val="single" w:sz="4" w:space="0" w:color="auto"/>
            </w:tcBorders>
          </w:tcPr>
          <w:p w:rsidR="00133DC7" w:rsidRPr="008F7397" w:rsidRDefault="00133DC7" w:rsidP="005D7A0D">
            <w:pPr>
              <w:rPr>
                <w:rFonts w:asciiTheme="majorBidi" w:hAnsiTheme="majorBidi" w:cstheme="majorBidi"/>
                <w:sz w:val="24"/>
                <w:szCs w:val="24"/>
              </w:rPr>
            </w:pPr>
            <w:r w:rsidRPr="008F7397">
              <w:rPr>
                <w:rFonts w:asciiTheme="majorBidi" w:hAnsiTheme="majorBidi" w:cstheme="majorBidi"/>
                <w:sz w:val="24"/>
                <w:szCs w:val="24"/>
              </w:rPr>
              <w:t xml:space="preserve">PI3K generates PIP3, which recruits the protein kinase AKT to the plasma membrane where it is activated by PDK1 and mTORC2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{"citationID":"mrbbkJen","properties":{"formattedCitation":"[4], [23]","plainCitation":"[4], [23]"},"citationItems":[{"id":341,"uris":["http://zotero.org/users/2553926/items/XR9A3GQ4"],"uri":["http://zotero.org/users/2553926/items/XR9A3GQ4"],"itemData":{"id":341,"type":"article-journal","title":"The Ras-ERK and PI3K-mTOR pathways: cross-talk and compensation","container-title":"Trends in Biochemical Sciences","page":"320-328","volume":"36","issue":"6","source":"PubMed","abstract":"The Ras-extracellular signal-regulated kinase (Ras-ERK) and phosphatidylinositol 3-kinase-mammalian target of rapamycin (PI3K-mTOR) signaling pathways are the chief mechanisms for controlling cell survival, differentiation, proliferation, metabolism, and motility in response to extracellular cues. Components of these pathways were among the first to be discovered when scientists began cloning proto-oncogenes and purifying cellular kinase activities in the 1980s. Ras-ERK and PI3K-mTOR were originally modeled as linear signaling conduits activated by different stimuli, yet even early experiments hinted that they might intersect to regulate each other and co-regulate downstream functions. The extent of this cross-talk and its significance in cancer therapeutics are now becoming clear.","DOI":"10.1016/j.tibs.2011.03.006","ISSN":"0968-0004","note":"PMID: 21531565\nPMCID: PMC3112285","shortTitle":"The Ras-ERK and PI3K-mTOR pathways","journalAbbreviation":"Trends Biochem. Sci.","language":"eng","author":[{"family":"Mendoza","given":"Michelle C."},{"family":"Er","given":"E. Emrah"},{"family":"Blenis","given":"John"}],"issued":{"date-parts":[["2011",6]]}},"label":"page"},{"id":404,"uris":["http://zotero.org/users/2553926/items/93XSDEAI"],"uri":["http://zotero.org/users/2553926/items/93XSDEAI"],"itemData":{"id":404,"type":"article-journal","title":"Rapamycin derivatives reduce mTORC2 signaling and inhibit AKT activation in AML","container-title":"Blood","page":"3509-3512","volume":"109","issue":"8","source":"PubMed","abstract":"The mTOR complex 2 (mTORC2) containing mTOR and rictor is thought to be rapamycin insensitive and was recently shown to regulate the prosurvival kinase AKT by phosphorylation on Ser473. We investigated the molecular effects of mTOR inhibition by the rapamycin derivatives (RDs) temsirolimus (CCI-779) and everolimus (RAD001) in acute myeloid leukemia (AML) cells. Unexpectedly, RDs not only inhibited the mTOR complex 1 (mTORC1) containing mTOR and raptor with decreased p70S6K, 4EPB1 phosphorylation, and GLUT1 mRNA, but also blocked AKT activation via inhibition of mTORC2 formation. This resulted in suppression of phosphorylation of the direct AKT substrate FKHR and decreased transcription of D-cyclins in AML cells. Similar observations were made in samples from patients with hematologic malignancies who received RDs in clinical studies. Our study provides the first evidence that rapamycin derivatives inhibit AKT signaling in primary AML cells both in vitro and in vivo, and supports the therapeutic potential of mTOR inhibition strategies in leukemias.","DOI":"10.1182/blood-2006-06-030833","ISSN":"0006-4971","note":"PMID: 17179228\nPMCID: PMC1852241","journalAbbreviation":"Blood","language":"eng","author":[{"family":"Zeng","given":"Zhihong"},{"family":"Sarbassov","given":"Dos D."},{"family":"Samudio","given":"Ismael J."},{"family":"Yee","given":"Karen W. L."},{"family":"Munsell","given":"Mark F."},{"family":"Ellen Jackson","given":"C."},{"family":"Giles","given":"Francis J."},{"family":"Sabatini","given":"David M."},{"family":"Andreeff","given":"Michael"},{"family":"Konopleva","given":"Marina"}],"issued":{"date-parts":[["2007",4,15]]}},"label":"page"}],"schema":"https://github.com/citation-style-language/schema/raw/master/csl-citation.json"}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[4], [23]</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w:t>
            </w:r>
            <w:r w:rsidRPr="008F7397">
              <w:rPr>
                <w:rFonts w:asciiTheme="majorBidi" w:hAnsiTheme="majorBidi" w:cstheme="majorBidi"/>
                <w:bCs/>
                <w:sz w:val="24"/>
                <w:szCs w:val="24"/>
              </w:rPr>
              <w:t xml:space="preserve"> </w:t>
            </w:r>
          </w:p>
          <w:p w:rsidR="00133DC7" w:rsidRPr="008F7397" w:rsidRDefault="00133DC7" w:rsidP="00E24644">
            <w:pPr>
              <w:rPr>
                <w:rFonts w:asciiTheme="majorBidi" w:hAnsiTheme="majorBidi" w:cstheme="majorBidi"/>
                <w:bCs/>
                <w:sz w:val="24"/>
                <w:szCs w:val="24"/>
              </w:rPr>
            </w:pPr>
            <w:r w:rsidRPr="008F7397">
              <w:rPr>
                <w:rFonts w:asciiTheme="majorBidi" w:hAnsiTheme="majorBidi" w:cstheme="majorBidi"/>
                <w:sz w:val="24"/>
                <w:szCs w:val="24"/>
              </w:rPr>
              <w:t xml:space="preserve">AKT is consistently high in MV411 cells (Fig 3B), and it responses to FLT3 inhibitor and the combination of FLT3 and PIMs inhibitors, as would be expected of mTORC2 target, downstream of PI3K. We hypothesize that the mechanism described above of FLT-ITD trigering PI3K and TSC2-mTORC to activate AKT, is a key factor in MV411 resistance to PIM inhibitors. </w:t>
            </w:r>
          </w:p>
        </w:tc>
      </w:tr>
      <w:tr w:rsidR="00016195" w:rsidRPr="008F7397" w:rsidTr="00016195">
        <w:trPr>
          <w:cantSplit/>
        </w:trPr>
        <w:tc>
          <w:tcPr>
            <w:tcW w:w="8613" w:type="dxa"/>
            <w:gridSpan w:val="4"/>
            <w:tcBorders>
              <w:top w:val="single" w:sz="4" w:space="0" w:color="auto"/>
              <w:left w:val="nil"/>
              <w:bottom w:val="nil"/>
              <w:right w:val="nil"/>
            </w:tcBorders>
          </w:tcPr>
          <w:p w:rsidR="00016195" w:rsidRPr="008F7397" w:rsidRDefault="00016195" w:rsidP="00183843">
            <w:pPr>
              <w:rPr>
                <w:rFonts w:asciiTheme="majorBidi" w:hAnsiTheme="majorBidi" w:cstheme="majorBidi"/>
                <w:b/>
                <w:sz w:val="24"/>
                <w:szCs w:val="24"/>
                <w:lang w:val="en-US"/>
              </w:rPr>
            </w:pPr>
          </w:p>
        </w:tc>
      </w:tr>
      <w:tr w:rsidR="00183843" w:rsidRPr="008F7397" w:rsidTr="00016195">
        <w:trPr>
          <w:cantSplit/>
        </w:trPr>
        <w:tc>
          <w:tcPr>
            <w:tcW w:w="8613" w:type="dxa"/>
            <w:gridSpan w:val="4"/>
            <w:tcBorders>
              <w:top w:val="nil"/>
              <w:left w:val="nil"/>
              <w:right w:val="nil"/>
            </w:tcBorders>
          </w:tcPr>
          <w:p w:rsidR="00183843" w:rsidRPr="008F7397" w:rsidRDefault="00183843" w:rsidP="0004568F">
            <w:pPr>
              <w:rPr>
                <w:rFonts w:asciiTheme="majorBidi" w:hAnsiTheme="majorBidi" w:cstheme="majorBidi"/>
                <w:b/>
                <w:sz w:val="24"/>
                <w:szCs w:val="24"/>
              </w:rPr>
            </w:pPr>
            <w:r w:rsidRPr="008F7397">
              <w:rPr>
                <w:rFonts w:asciiTheme="majorBidi" w:hAnsiTheme="majorBidi" w:cstheme="majorBidi"/>
                <w:b/>
                <w:sz w:val="24"/>
                <w:szCs w:val="24"/>
                <w:lang w:val="en-US"/>
              </w:rPr>
              <w:t>Table S</w:t>
            </w:r>
            <w:r w:rsidR="0004568F">
              <w:rPr>
                <w:rFonts w:asciiTheme="majorBidi" w:hAnsiTheme="majorBidi" w:cstheme="majorBidi"/>
                <w:b/>
                <w:sz w:val="24"/>
                <w:szCs w:val="24"/>
              </w:rPr>
              <w:t>8</w:t>
            </w:r>
            <w:r w:rsidRPr="008F7397">
              <w:rPr>
                <w:rFonts w:asciiTheme="majorBidi" w:hAnsiTheme="majorBidi" w:cstheme="majorBidi"/>
                <w:b/>
                <w:sz w:val="24"/>
                <w:szCs w:val="24"/>
              </w:rPr>
              <w:t xml:space="preserve"> Continue</w:t>
            </w:r>
            <w:r w:rsidRPr="008F7397">
              <w:rPr>
                <w:rFonts w:asciiTheme="majorBidi" w:hAnsiTheme="majorBidi" w:cstheme="majorBidi"/>
                <w:b/>
                <w:sz w:val="24"/>
                <w:szCs w:val="24"/>
                <w:lang w:val="en-US"/>
              </w:rPr>
              <w:t>. Target functions for AML general model and cell specific calibrated AML model</w:t>
            </w:r>
          </w:p>
        </w:tc>
      </w:tr>
      <w:tr w:rsidR="00183843" w:rsidRPr="008F7397" w:rsidTr="00183843">
        <w:trPr>
          <w:cantSplit/>
        </w:trPr>
        <w:tc>
          <w:tcPr>
            <w:tcW w:w="1173" w:type="dxa"/>
          </w:tcPr>
          <w:p w:rsidR="00183843" w:rsidRPr="008F7397" w:rsidRDefault="00183843" w:rsidP="00183843">
            <w:pPr>
              <w:rPr>
                <w:rFonts w:asciiTheme="majorBidi" w:hAnsiTheme="majorBidi" w:cstheme="majorBidi"/>
                <w:b/>
                <w:sz w:val="24"/>
                <w:szCs w:val="24"/>
              </w:rPr>
            </w:pPr>
            <w:r w:rsidRPr="008F7397">
              <w:rPr>
                <w:rFonts w:asciiTheme="majorBidi" w:hAnsiTheme="majorBidi" w:cstheme="majorBidi"/>
                <w:b/>
                <w:sz w:val="24"/>
                <w:szCs w:val="24"/>
              </w:rPr>
              <w:t>Protein/Node</w:t>
            </w:r>
          </w:p>
        </w:tc>
        <w:tc>
          <w:tcPr>
            <w:tcW w:w="1195" w:type="dxa"/>
          </w:tcPr>
          <w:p w:rsidR="00183843" w:rsidRPr="008F7397" w:rsidRDefault="00183843" w:rsidP="00183843">
            <w:pPr>
              <w:rPr>
                <w:rFonts w:asciiTheme="majorBidi" w:hAnsiTheme="majorBidi" w:cstheme="majorBidi"/>
                <w:b/>
                <w:sz w:val="24"/>
                <w:szCs w:val="24"/>
              </w:rPr>
            </w:pPr>
            <w:r w:rsidRPr="008F7397">
              <w:rPr>
                <w:rFonts w:asciiTheme="majorBidi" w:hAnsiTheme="majorBidi" w:cstheme="majorBidi"/>
                <w:b/>
                <w:sz w:val="24"/>
                <w:szCs w:val="24"/>
              </w:rPr>
              <w:t>GeneralModel</w:t>
            </w:r>
          </w:p>
        </w:tc>
        <w:tc>
          <w:tcPr>
            <w:tcW w:w="1709" w:type="dxa"/>
          </w:tcPr>
          <w:p w:rsidR="00183843" w:rsidRPr="008F7397" w:rsidRDefault="00183843" w:rsidP="00183843">
            <w:pPr>
              <w:rPr>
                <w:rFonts w:asciiTheme="majorBidi" w:hAnsiTheme="majorBidi" w:cstheme="majorBidi"/>
                <w:b/>
                <w:sz w:val="24"/>
                <w:szCs w:val="24"/>
              </w:rPr>
            </w:pPr>
            <w:r w:rsidRPr="008F7397">
              <w:rPr>
                <w:rFonts w:asciiTheme="majorBidi" w:hAnsiTheme="majorBidi" w:cstheme="majorBidi"/>
                <w:b/>
                <w:sz w:val="24"/>
                <w:szCs w:val="24"/>
              </w:rPr>
              <w:t>Cell Specific Model</w:t>
            </w:r>
          </w:p>
        </w:tc>
        <w:tc>
          <w:tcPr>
            <w:tcW w:w="4536" w:type="dxa"/>
          </w:tcPr>
          <w:p w:rsidR="00183843" w:rsidRPr="008F7397" w:rsidRDefault="00296C44" w:rsidP="00183843">
            <w:pPr>
              <w:rPr>
                <w:rFonts w:asciiTheme="majorBidi" w:hAnsiTheme="majorBidi" w:cstheme="majorBidi"/>
                <w:b/>
                <w:sz w:val="24"/>
                <w:szCs w:val="24"/>
              </w:rPr>
            </w:pPr>
            <w:r w:rsidRPr="008F7397">
              <w:rPr>
                <w:rFonts w:asciiTheme="majorBidi" w:hAnsiTheme="majorBidi" w:cstheme="majorBidi"/>
                <w:b/>
                <w:sz w:val="24"/>
                <w:szCs w:val="24"/>
              </w:rPr>
              <w:t>Literature and Experimental Supporting Evidences</w:t>
            </w:r>
          </w:p>
        </w:tc>
      </w:tr>
      <w:tr w:rsidR="00183843" w:rsidRPr="008F7397" w:rsidTr="00183843">
        <w:trPr>
          <w:cantSplit/>
        </w:trPr>
        <w:tc>
          <w:tcPr>
            <w:tcW w:w="1173" w:type="dxa"/>
          </w:tcPr>
          <w:p w:rsidR="00183843" w:rsidRPr="008F7397" w:rsidRDefault="00183843" w:rsidP="00DE5569">
            <w:pPr>
              <w:rPr>
                <w:rFonts w:asciiTheme="majorBidi" w:hAnsiTheme="majorBidi" w:cstheme="majorBidi"/>
                <w:bCs/>
                <w:sz w:val="24"/>
                <w:szCs w:val="24"/>
              </w:rPr>
            </w:pPr>
            <w:r w:rsidRPr="008F7397">
              <w:rPr>
                <w:rFonts w:asciiTheme="majorBidi" w:hAnsiTheme="majorBidi" w:cstheme="majorBidi"/>
                <w:bCs/>
                <w:sz w:val="24"/>
                <w:szCs w:val="24"/>
              </w:rPr>
              <w:lastRenderedPageBreak/>
              <w:t>mTORC2</w:t>
            </w:r>
          </w:p>
        </w:tc>
        <w:tc>
          <w:tcPr>
            <w:tcW w:w="1195" w:type="dxa"/>
          </w:tcPr>
          <w:p w:rsidR="00183843" w:rsidRPr="008F7397" w:rsidRDefault="00183843" w:rsidP="00DE5569">
            <w:pPr>
              <w:rPr>
                <w:rFonts w:asciiTheme="majorBidi" w:hAnsiTheme="majorBidi" w:cstheme="majorBidi"/>
                <w:bCs/>
                <w:sz w:val="24"/>
                <w:szCs w:val="24"/>
              </w:rPr>
            </w:pPr>
            <w:r w:rsidRPr="008F7397">
              <w:rPr>
                <w:rFonts w:asciiTheme="majorBidi" w:hAnsiTheme="majorBidi" w:cstheme="majorBidi"/>
                <w:bCs/>
                <w:sz w:val="24"/>
                <w:szCs w:val="24"/>
              </w:rPr>
              <w:t>AVG(PI3K, !TSC2)</w:t>
            </w:r>
          </w:p>
        </w:tc>
        <w:tc>
          <w:tcPr>
            <w:tcW w:w="1709" w:type="dxa"/>
          </w:tcPr>
          <w:p w:rsidR="00183843" w:rsidRPr="008F7397" w:rsidRDefault="00183843" w:rsidP="00DE5569">
            <w:pPr>
              <w:rPr>
                <w:rFonts w:asciiTheme="majorBidi" w:hAnsiTheme="majorBidi" w:cstheme="majorBidi"/>
                <w:bCs/>
                <w:sz w:val="24"/>
                <w:szCs w:val="24"/>
              </w:rPr>
            </w:pPr>
            <w:r w:rsidRPr="008F7397">
              <w:rPr>
                <w:rFonts w:asciiTheme="majorBidi" w:hAnsiTheme="majorBidi" w:cstheme="majorBidi"/>
                <w:bCs/>
                <w:sz w:val="24"/>
                <w:szCs w:val="24"/>
              </w:rPr>
              <w:t>AVG(PI3K)</w:t>
            </w:r>
          </w:p>
        </w:tc>
        <w:tc>
          <w:tcPr>
            <w:tcW w:w="4536" w:type="dxa"/>
          </w:tcPr>
          <w:p w:rsidR="00183843" w:rsidRPr="008F7397" w:rsidRDefault="00183843" w:rsidP="005D7A0D">
            <w:pPr>
              <w:rPr>
                <w:rFonts w:asciiTheme="majorBidi" w:hAnsiTheme="majorBidi" w:cstheme="majorBidi"/>
                <w:sz w:val="24"/>
                <w:szCs w:val="24"/>
              </w:rPr>
            </w:pPr>
            <w:r w:rsidRPr="008F7397">
              <w:rPr>
                <w:rFonts w:asciiTheme="majorBidi" w:hAnsiTheme="majorBidi" w:cstheme="majorBidi"/>
                <w:sz w:val="24"/>
                <w:szCs w:val="24"/>
              </w:rPr>
              <w:t xml:space="preserve">mTORC2 is knwon to be activated by PI3K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mDJLqfdO","properties":{"formattedCitation":"[4]","plainCitation":"[4]"},"citationItems":[{"id":341,"uris":["http://zotero.org/users/2553926/items/XR9A3GQ4"],"uri":["http://zotero.org/users/2553926/items/XR9A3GQ4"],"itemData":{"id":341,"type":"article-journal","title":"The Ras-ERK and PI3K-mTOR pathways: cross-talk and compensation","container-title":"Trends in Biochemical Sciences","page":"320-328","volume":"36","issue":"6","source":"PubMed","abstract":"The Ras-extracellular signal-regulated kinase (Ras-ERK) and phosphatidylinositol 3-kinase-mammalian target of rapamycin (PI3K-mTOR) signaling pathways are the chief mechanisms for controlling cell survival, differentiation, proliferation, metabolism, and motility in response to extracellular cues. Components of these pathways were among the first to be discovered when scientists began cloning proto-oncogenes and purifying cellular kinase activities in the 1980s. Ras-ERK and PI3K-mTOR were originally modeled as linear signaling conduits activated by different stimuli, yet even early experiments hinted that they might intersect to regulate each other and co-regulate downstream functions. The extent of this cross-talk and its significance in cancer therapeutics are now becoming clear.","DOI":"10.1016/j.tibs.2011.03.006","ISSN":"0968-0004","note":"PMID: 21531565\nPMCID: PMC3112285","shortTitle":"The Ras-ERK and PI3K-mTOR pathways","journalAbbreviation":"Trends Biochem. Sci.","language":"eng","author":[{"family":"Mendoza","given":"Michelle C."},{"family":"Er","given":"E. Emrah"},{"family":"Blenis","given":"John"}],"issued":{"date-parts":[["2011",6]]}}}],"schema":"https://github.com/citation-style-language/schema/raw/master/csl-citation.json"}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[4]</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 xml:space="preserve">. It was also found that TSC2 is defective in cells lacking the TSC1-TSC2 complex, thus believed that TSC2 has a feed back inhibitory effect on mTORC2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IbGOZwLv","properties":{"formattedCitation":"[24]","plainCitation":"[24]"},"citationItems":[{"id":401,"uris":["http://zotero.org/users/2553926/items/VVKCR8CB"],"uri":["http://zotero.org/users/2553926/items/VVKCR8CB"],"itemData":{"id":401,"type":"article-journal","title":"A complex interplay between Akt, TSC2, and the two mTOR complexes","container-title":"Biochemical Society transactions","page":"217-222","volume":"37","issue":"Pt 1","source":"PubMed Central","abstract":"Akt/PKB both regulates and is regulated by the TSC1-TSC2 complex. Downstream of phosphoinositide 3-kinase (PI3K), Akt directly phosphorylates TSC2 on multiple sites. While the molecular mechanism is not well understood, these phosphorylation events relieve the inhibitory effects of the TSC1-TSC2 complex on Rheb and mTOR complex 1 (mTORC1), thereby activating mTORC1 in response to growth factors. Through negative feedback mechanisms, mTORC1 activity inhibits growth factor stimulation of PI3K. This is particularly evident in cells and tumors lacking the TSC1-TSC2 complex, where Akt signalling is severely attenuated due, at least in part, to constitutive activation of mTORC1. An additional level of complexity in the relationship between Akt and the TSC1-TSC2 complex has recently been uncovered. The growth factor-stimulated kinase activity of mTOR complex 2 (mTORC2 or the mTOR-Rictor complex), which normally enhances Akt signalling by phosphorylating its hydrophobic motif (Ser473), was found to be defective in cells lacking the TSC1-TSC2 complex. This effect on mTORC2 can be separated from the inhibitory effects of the TSC1-TSC2 complex on Rheb and mTORC1. This review discusses our current understanding of the increasingly complex functional interactions between Akt, the TSC1-TSC2 complex and mTOR, which are fundamentally important players in a large variety of human diseases.","DOI":"10.1042/BST0370217","ISSN":"0300-5127","note":"PMID: 19143635\nPMCID: PMC2778026","journalAbbreviation":"Biochem Soc Trans","author":[{"family":"Huang","given":"Jingxiang"},{"family":"Manning","given":"Brendan D."}],"issued":{"date-parts":[["2009",2]]}}}],"schema":"https://github.com/citation-style-language/schema/raw/master/csl-citation.json"}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[24]</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 However our RPPA results do not show this to effect mTORC2 (</w:t>
            </w:r>
            <w:r w:rsidR="00016195" w:rsidRPr="008F7397">
              <w:rPr>
                <w:rFonts w:asciiTheme="majorBidi" w:hAnsiTheme="majorBidi" w:cstheme="majorBidi"/>
                <w:sz w:val="24"/>
                <w:szCs w:val="24"/>
              </w:rPr>
              <w:t>Fig</w:t>
            </w:r>
            <w:r w:rsidRPr="008F7397">
              <w:rPr>
                <w:rFonts w:asciiTheme="majorBidi" w:hAnsiTheme="majorBidi" w:cstheme="majorBidi"/>
                <w:sz w:val="24"/>
                <w:szCs w:val="24"/>
              </w:rPr>
              <w:t xml:space="preserve"> S1), consistent with the claim that t</w:t>
            </w:r>
            <w:r w:rsidRPr="008F7397">
              <w:rPr>
                <w:rFonts w:asciiTheme="majorBidi" w:hAnsiTheme="majorBidi" w:cstheme="majorBidi"/>
                <w:sz w:val="24"/>
                <w:szCs w:val="24"/>
                <w:lang w:val="en-US"/>
              </w:rPr>
              <w:t xml:space="preserve">his effect on mTORC2 can be separated from the inhibitory effects of the TSC1-TSC2 complex on </w:t>
            </w:r>
            <w:proofErr w:type="spellStart"/>
            <w:r w:rsidRPr="008F7397">
              <w:rPr>
                <w:rFonts w:asciiTheme="majorBidi" w:hAnsiTheme="majorBidi" w:cstheme="majorBidi"/>
                <w:sz w:val="24"/>
                <w:szCs w:val="24"/>
                <w:lang w:val="en-US"/>
              </w:rPr>
              <w:t>Rheb</w:t>
            </w:r>
            <w:proofErr w:type="spellEnd"/>
            <w:r w:rsidRPr="008F7397">
              <w:rPr>
                <w:rFonts w:asciiTheme="majorBidi" w:hAnsiTheme="majorBidi" w:cstheme="majorBidi"/>
                <w:sz w:val="24"/>
                <w:szCs w:val="24"/>
                <w:lang w:val="en-US"/>
              </w:rPr>
              <w:t xml:space="preserve"> and mTORC1</w:t>
            </w:r>
            <w:r w:rsidRPr="008F7397">
              <w:rPr>
                <w:rFonts w:asciiTheme="majorBidi" w:hAnsiTheme="majorBidi" w:cstheme="majorBidi"/>
                <w:sz w:val="24"/>
                <w:szCs w:val="24"/>
              </w:rPr>
              <w:t xml:space="preserve">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0L6LpCJb","properties":{"formattedCitation":"[24]","plainCitation":"[24]"},"citationItems":[{"id":401,"uris":["http://zotero.org/users/2553926/items/VVKCR8CB"],"uri":["http://zotero.org/users/2553926/items/VVKCR8CB"],"itemData":{"id":401,"type":"article-journal","title":"A complex interplay between Akt, TSC2, and the two mTOR complexes","container-title":"Biochemical Society transactions","page":"217-222","volume":"37","issue":"Pt 1","source":"PubMed Central","abstract":"Akt/PKB both regulates and is regulated by the TSC1-TSC2 complex. Downstream of phosphoinositide 3-kinase (PI3K), Akt directly phosphorylates TSC2 on multiple sites. While the molecular mechanism is not well understood, these phosphorylation events relieve the inhibitory effects of the TSC1-TSC2 complex on Rheb and mTOR complex 1 (mTORC1), thereby activating mTORC1 in response to growth factors. Through negative feedback mechanisms, mTORC1 activity inhibits growth factor stimulation of PI3K. This is particularly evident in cells and tumors lacking the TSC1-TSC2 complex, where Akt signalling is severely attenuated due, at least in part, to constitutive activation of mTORC1. An additional level of complexity in the relationship between Akt and the TSC1-TSC2 complex has recently been uncovered. The growth factor-stimulated kinase activity of mTOR complex 2 (mTORC2 or the mTOR-Rictor complex), which normally enhances Akt signalling by phosphorylating its hydrophobic motif (Ser473), was found to be defective in cells lacking the TSC1-TSC2 complex. This effect on mTORC2 can be separated from the inhibitory effects of the TSC1-TSC2 complex on Rheb and mTORC1. This review discusses our current understanding of the increasingly complex functional interactions between Akt, the TSC1-TSC2 complex and mTOR, which are fundamentally important players in a large variety of human diseases.","DOI":"10.1042/BST0370217","ISSN":"0300-5127","note":"PMID: 19143635\nPMCID: PMC2778026","journalAbbreviation":"Biochem Soc Trans","author":[{"family":"Huang","given":"Jingxiang"},{"family":"Manning","given":"Brendan D."}],"issued":{"date-parts":[["2009",2]]}}}],"schema":"https://github.com/citation-style-language/schema/raw/master/csl-citation.json"}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[24]</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lang w:val="en-US"/>
              </w:rPr>
              <w:t>.</w:t>
            </w:r>
            <w:r w:rsidRPr="008F7397">
              <w:rPr>
                <w:rFonts w:asciiTheme="majorBidi" w:hAnsiTheme="majorBidi" w:cstheme="majorBidi"/>
                <w:sz w:val="24"/>
                <w:szCs w:val="24"/>
              </w:rPr>
              <w:t xml:space="preserve"> </w:t>
            </w:r>
          </w:p>
          <w:p w:rsidR="00183843" w:rsidRPr="008F7397" w:rsidRDefault="00183843" w:rsidP="005D7A0D">
            <w:pPr>
              <w:rPr>
                <w:rFonts w:asciiTheme="majorBidi" w:hAnsiTheme="majorBidi" w:cstheme="majorBidi"/>
                <w:sz w:val="24"/>
                <w:szCs w:val="24"/>
              </w:rPr>
            </w:pPr>
            <w:r w:rsidRPr="008F7397">
              <w:rPr>
                <w:rFonts w:asciiTheme="majorBidi" w:hAnsiTheme="majorBidi" w:cstheme="majorBidi"/>
                <w:sz w:val="24"/>
                <w:szCs w:val="24"/>
              </w:rPr>
              <w:t xml:space="preserve">mTORC2 measured on site Ser2481 of mTOR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FuJwMSip","properties":{"formattedCitation":"[11]","plainCitation":"[11]"},"citationItems":[{"id":314,"uris":["http://zotero.org/users/2553926/items/K7ZAEVIB"],"uri":["http://zotero.org/users/2553926/items/K7ZAEVIB"],"itemData":{"id":314,"type":"article-journal","title":"TORC-specific phosphorylation of mammalian target of rapamycin (mTOR): phospho-Ser2481 is a marker for intact mTOR signaling complex 2","container-title":"Cancer Research","page":"1821-1827","volume":"69","issue":"5","source":"PubMed","abstract":"The mammalian target of rapamycin (mTOR) serine/threonine kinase is the catalytic component of two evolutionarily conserved signaling complexes. mTOR signaling complex 1 (mTORC1) is a key regulator of growth factor and nutrient signaling. S6 kinase is the best-characterized downstream effector of mTORC1. mTOR signaling complex 2 (mTORC2) has a role in regulating the actin cytoskeleton and activating Akt through S473 phosphorylation. Herein, we show that mTOR is phosphorylated differentially when associated with mTORC1 and mTORC2 and that intact complexes are required for these mTORC-specific mTOR phosphorylations. Specifically, we find that mTORC1 contains mTOR phosphorylated predominantly on S2448, whereas mTORC2 contains mTOR phosphorylated predominantly on S2481. Using S2481 phosphorylation as a marker for mTORC2 sensitivity to rapamycin, we find that mTORC2 formation is in fact rapamycin sensitive in several cancer cell lines in which it had been previously reported that mTORC2 assembly and function were rapamycin insensitive. Thus, phospho-S2481 on mTOR serves as a biomarker for intact mTORC2 and its sensitivity to rapamycin.","DOI":"10.1158/0008-5472.CAN-08-3014","ISSN":"1538-7445","note":"PMID: 19244117\nPMCID: PMC2652681","shortTitle":"TORC-specific phosphorylation of mammalian target of rapamycin (mTOR)","journalAbbreviation":"Cancer Res.","language":"eng","author":[{"family":"Copp","given":"Jeremy"},{"family":"Manning","given":"Gerard"},{"family":"Hunter","given":"Tony"}],"issued":{"date-parts":[["2009",3,1]]}}}],"schema":"https://github.com/citation-style-language/schema/raw/master/csl-citation.json"}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[11]</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 xml:space="preserve"> was sensitive to FLT3 inhibitor as well as the combination (Dataset S1), as expected of PI3K target, triggred by FLT-ITD.</w:t>
            </w:r>
          </w:p>
          <w:p w:rsidR="00183843" w:rsidRPr="008F7397" w:rsidRDefault="00183843" w:rsidP="006029D8">
            <w:pPr>
              <w:rPr>
                <w:rFonts w:asciiTheme="majorBidi" w:hAnsiTheme="majorBidi" w:cstheme="majorBidi"/>
                <w:sz w:val="24"/>
                <w:szCs w:val="24"/>
              </w:rPr>
            </w:pPr>
            <w:r w:rsidRPr="008F7397">
              <w:rPr>
                <w:rFonts w:asciiTheme="majorBidi" w:hAnsiTheme="majorBidi" w:cstheme="majorBidi"/>
                <w:sz w:val="24"/>
                <w:szCs w:val="24"/>
              </w:rPr>
              <w:t xml:space="preserve">We there fore speculate that in the context of modeling the signaling events in AML leading to prolifiration and apoptosis, the inhibitory effect of TSC2 on mTORC2 should be excluded. </w:t>
            </w:r>
          </w:p>
        </w:tc>
      </w:tr>
      <w:tr w:rsidR="00183843" w:rsidRPr="008F7397" w:rsidTr="00183843">
        <w:trPr>
          <w:cantSplit/>
          <w:trHeight w:val="3109"/>
        </w:trPr>
        <w:tc>
          <w:tcPr>
            <w:tcW w:w="1173" w:type="dxa"/>
          </w:tcPr>
          <w:p w:rsidR="00183843" w:rsidRPr="008F7397" w:rsidRDefault="00183843" w:rsidP="00017D03">
            <w:pPr>
              <w:rPr>
                <w:rFonts w:asciiTheme="majorBidi" w:hAnsiTheme="majorBidi" w:cstheme="majorBidi"/>
                <w:bCs/>
                <w:sz w:val="24"/>
                <w:szCs w:val="24"/>
              </w:rPr>
            </w:pPr>
            <w:r w:rsidRPr="008F7397">
              <w:rPr>
                <w:rFonts w:asciiTheme="majorBidi" w:hAnsiTheme="majorBidi" w:cstheme="majorBidi"/>
                <w:bCs/>
                <w:sz w:val="24"/>
                <w:szCs w:val="24"/>
              </w:rPr>
              <w:t>mTORC1</w:t>
            </w:r>
          </w:p>
        </w:tc>
        <w:tc>
          <w:tcPr>
            <w:tcW w:w="1195" w:type="dxa"/>
          </w:tcPr>
          <w:p w:rsidR="00183843" w:rsidRPr="008F7397" w:rsidRDefault="00183843" w:rsidP="00017D03">
            <w:pPr>
              <w:rPr>
                <w:rFonts w:asciiTheme="majorBidi" w:hAnsiTheme="majorBidi" w:cstheme="majorBidi"/>
                <w:bCs/>
                <w:sz w:val="24"/>
                <w:szCs w:val="24"/>
              </w:rPr>
            </w:pPr>
            <w:r w:rsidRPr="008F7397">
              <w:rPr>
                <w:rFonts w:asciiTheme="majorBidi" w:hAnsiTheme="majorBidi" w:cstheme="majorBidi"/>
                <w:bCs/>
                <w:sz w:val="24"/>
                <w:szCs w:val="24"/>
              </w:rPr>
              <w:t>AVG(TSC2, !mTORC1PRAS40complex)</w:t>
            </w:r>
          </w:p>
        </w:tc>
        <w:tc>
          <w:tcPr>
            <w:tcW w:w="1709" w:type="dxa"/>
          </w:tcPr>
          <w:p w:rsidR="00183843" w:rsidRPr="008F7397" w:rsidRDefault="00183843" w:rsidP="00017D03">
            <w:pPr>
              <w:rPr>
                <w:rFonts w:asciiTheme="majorBidi" w:hAnsiTheme="majorBidi" w:cstheme="majorBidi"/>
                <w:bCs/>
                <w:sz w:val="24"/>
                <w:szCs w:val="24"/>
              </w:rPr>
            </w:pPr>
            <w:r w:rsidRPr="008F7397">
              <w:rPr>
                <w:rFonts w:asciiTheme="majorBidi" w:hAnsiTheme="majorBidi" w:cstheme="majorBidi"/>
                <w:bCs/>
                <w:sz w:val="24"/>
                <w:szCs w:val="24"/>
              </w:rPr>
              <w:t>1/2*PRAS40+TSC2</w:t>
            </w:r>
          </w:p>
          <w:p w:rsidR="00183843" w:rsidRPr="008F7397" w:rsidRDefault="00183843" w:rsidP="00017D03">
            <w:pPr>
              <w:rPr>
                <w:rFonts w:asciiTheme="majorBidi" w:hAnsiTheme="majorBidi" w:cstheme="majorBidi"/>
                <w:bCs/>
                <w:sz w:val="24"/>
                <w:szCs w:val="24"/>
              </w:rPr>
            </w:pPr>
          </w:p>
        </w:tc>
        <w:tc>
          <w:tcPr>
            <w:tcW w:w="4536" w:type="dxa"/>
          </w:tcPr>
          <w:p w:rsidR="00183843" w:rsidRPr="008F7397" w:rsidRDefault="00183843" w:rsidP="005D7A0D">
            <w:pPr>
              <w:rPr>
                <w:rFonts w:asciiTheme="majorBidi" w:hAnsiTheme="majorBidi" w:cstheme="majorBidi"/>
                <w:sz w:val="24"/>
                <w:szCs w:val="24"/>
              </w:rPr>
            </w:pPr>
            <w:r w:rsidRPr="008F7397">
              <w:rPr>
                <w:rFonts w:asciiTheme="majorBidi" w:hAnsiTheme="majorBidi" w:cstheme="majorBidi"/>
                <w:sz w:val="24"/>
                <w:szCs w:val="24"/>
              </w:rPr>
              <w:t xml:space="preserve">Phosphorylation of PRAS40 by AKT and PIM1 no longer inhibits mTORC1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gFgtSOi5","properties":{"formattedCitation":"[25]","plainCitation":"[25]"},"citationItems":[{"id":316,"uris":["http://zotero.org/users/2553926/items/EIVS69Z9"],"uri":["http://zotero.org/users/2553926/items/EIVS69Z9"],"itemData":{"id":316,"type":"article-journal","title":"AMPK phosphorylation of raptor mediates a metabolic checkpoint","container-title":"Molecular Cell","page":"214-226","volume":"30","issue":"2","source":"PubMed","abstract":"AMPK is a highly conserved sensor of cellular energy status that is activated under conditions of low intracellular ATP. AMPK responds to energy stress by suppressing cell growth and biosynthetic processes, in part through its inhibition of the rapamycin-sensitive mTOR (mTORC1) pathway. AMPK phosphorylation of the TSC2 tumor suppressor contributes to suppression of mTORC1; however, TSC2-deficient cells remain responsive to energy stress. Using a proteomic and bioinformatics approach, we sought to identify additional substrates of AMPK that mediate its effects on growth control. We report here that AMPK directly phosphorylates the mTOR binding partner raptor on two well-conserved serine residues, and this phosphorylation induces 14-3-3 binding to raptor. The phosphorylation of raptor by AMPK is required for the inhibition of mTORC1 and cell-cycle arrest induced by energy stress. These findings uncover a conserved effector of AMPK that mediates its role as a metabolic checkpoint coordinating cell growth with energy status.","DOI":"10.1016/j.molcel.2008.03.003","ISSN":"1097-4164","note":"PMID: 18439900\nPMCID: PMC2674027","journalAbbreviation":"Mol. Cell","language":"eng","author":[{"family":"Gwinn","given":"Dana M."},{"family":"Shackelford","given":"David B."},{"family":"Egan","given":"Daniel F."},{"family":"Mihaylova","given":"Maria M."},{"family":"Mery","given":"Annabelle"},{"family":"Vasquez","given":"Debbie S."},{"family":"Turk","given":"Benjamin E."},{"family":"Shaw","given":"Reuben J."}],"issued":{"date-parts":[["2008",4,25]]}}}],"schema":"https://github.com/citation-style-language/schema/raw/master/csl-citation.json"}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[25]</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 xml:space="preserve">, leading to its dissociation and the subsequent activation of mTORC1, independently of TSC2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VilqLc2J","properties":{"formattedCitation":"[26]","plainCitation":"[26]"},"citationItems":[{"id":324,"uris":["http://zotero.org/users/2553926/items/GUGFKTXQ"],"uri":["http://zotero.org/users/2553926/items/GUGFKTXQ"],"itemData":{"id":324,"type":"article-journal","title":"The two TORCs and Akt","container-title":"Developmental Cell","page":"487-502","volume":"12","issue":"4","source":"PubMed","abstract":"The regulatory circuits that control the activities of the two distinct target of rapamycin (TOR) complexes, TORC1 and TORC2, and of Akt have been a focus of intense research in recent years. It has become increasingly evident that these regulatory circuits control some of the most fundamental aspects of metabolism, cell growth, proliferation, survival, and differentiation at both the cellular and organismal levels. As such, they also play a pivotal role in the genesis of diseases including cancer, diabetes, aging, and degenerative diseases. This review highlights recent developments aimed at deciphering the interplay between Akt and mTORCs as well as their role in embryonic development and in cancer.","DOI":"10.1016/j.devcel.2007.03.020","ISSN":"1534-5807","note":"PMID: 17419990","journalAbbreviation":"Dev. Cell","language":"eng","author":[{"family":"Bhaskar","given":"Prashanth T."},{"family":"Hay","given":"Nissim"}],"issued":{"date-parts":[["2007",4]]}}}],"schema":"https://github.com/citation-style-language/schema/raw/master/csl-citation.json"}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[26]</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 xml:space="preserve">. Lu et al.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Y7qOaNJi","properties":{"formattedCitation":"[27]","plainCitation":"[27]"},"citationItems":[{"id":414,"uris":["http://zotero.org/users/2553926/items/24M54FHE"],"uri":["http://zotero.org/users/2553926/items/24M54FHE"],"itemData":{"id":414,"type":"article-journal","title":"Pim2 is required for maintaining multiple myeloma cell growth through modulating TSC2 phosphorylation","container-title":"Blood","page":"1610-1620","volume":"122","issue":"9","source":"PubMed","abstract":"Multiple myeloma (MM) is the second most common hematologic malignancy. Despite recent treatment advances, it remains incurable. Here, we report that Pim2 kinase expression is highly elevated in MM cells and demonstrate that it is required for MM cell proliferation. Functional interference of Pim2 activity either by short hairpin RNAs or by a potent and selective small-molecule inhibitor leads to significant inhibition of MM cell proliferation. Pim inhibition results in a significant decrease of mammalian target of rapamycin C1 (mTOR-C1) activity, which is critical for cell proliferation. We identify TSC2, a negative regulator of mTOR-C1, as a novel Pim2 substrate and show that Pim2 directly phosphorylates TSC2 on Ser-1798 and relieves the suppression of TSC2 on mTOR-C1. These findings support Pim2 as a promising therapeutic target for MM and define a novel Pim2-TSC2-mTOR-C1 pathway that drives MM proliferation.","DOI":"10.1182/blood-2013-01-481457","ISSN":"1528-0020","note":"PMID: 23818547\nPMCID: PMC3953014","journalAbbreviation":"Blood","language":"eng","author":[{"family":"Lu","given":"Jing"},{"family":"Zavorotinskaya","given":"Tatiana"},{"family":"Dai","given":"Yumin"},{"family":"Niu","given":"Xiao-Hong"},{"family":"Castillo","given":"Joseph"},{"family":"Sim","given":"Janet"},{"family":"Yu","given":"Jianjun"},{"family":"Wang","given":"Yingyun"},{"family":"Langowski","given":"John L."},{"family":"Holash","given":"Jocelyn"},{"family":"Shannon","given":"Kevin"},{"family":"Garcia","given":"Pablo D."}],"issued":{"date-parts":[["2013",8,29]]}}}],"schema":"https://github.com/citation-style-language/schema/raw/master/csl-citation.json"}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[27]</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 xml:space="preserve"> studied mRNA expression in Multiple Myeloma cell lines to show that combinational inhibition of both PIMs and PI3K/Akt leads to more pronounced reduction of mTORC1 activity than inhibiting PIMs or PI3K/Akt alone.</w:t>
            </w:r>
          </w:p>
        </w:tc>
      </w:tr>
      <w:tr w:rsidR="00133DC7" w:rsidRPr="008F7397" w:rsidTr="00016195">
        <w:trPr>
          <w:cantSplit/>
          <w:trHeight w:val="3549"/>
        </w:trPr>
        <w:tc>
          <w:tcPr>
            <w:tcW w:w="1173" w:type="dxa"/>
            <w:tcBorders>
              <w:bottom w:val="single" w:sz="4" w:space="0" w:color="auto"/>
            </w:tcBorders>
          </w:tcPr>
          <w:p w:rsidR="00133DC7" w:rsidRPr="008F7397" w:rsidRDefault="00133DC7" w:rsidP="00E24644">
            <w:pPr>
              <w:rPr>
                <w:rFonts w:asciiTheme="majorBidi" w:hAnsiTheme="majorBidi" w:cstheme="majorBidi"/>
                <w:bCs/>
                <w:sz w:val="24"/>
                <w:szCs w:val="24"/>
              </w:rPr>
            </w:pPr>
            <w:r w:rsidRPr="008F7397">
              <w:rPr>
                <w:rFonts w:asciiTheme="majorBidi" w:hAnsiTheme="majorBidi" w:cstheme="majorBidi"/>
                <w:bCs/>
                <w:sz w:val="24"/>
                <w:szCs w:val="24"/>
              </w:rPr>
              <w:t>TSC2</w:t>
            </w:r>
          </w:p>
        </w:tc>
        <w:tc>
          <w:tcPr>
            <w:tcW w:w="1195" w:type="dxa"/>
            <w:tcBorders>
              <w:bottom w:val="single" w:sz="4" w:space="0" w:color="auto"/>
            </w:tcBorders>
          </w:tcPr>
          <w:p w:rsidR="00133DC7" w:rsidRPr="008F7397" w:rsidRDefault="00133DC7" w:rsidP="00E24644">
            <w:pPr>
              <w:rPr>
                <w:rFonts w:asciiTheme="majorBidi" w:hAnsiTheme="majorBidi" w:cstheme="majorBidi"/>
                <w:bCs/>
                <w:sz w:val="24"/>
                <w:szCs w:val="24"/>
              </w:rPr>
            </w:pPr>
            <w:r w:rsidRPr="008F7397">
              <w:rPr>
                <w:rFonts w:asciiTheme="majorBidi" w:hAnsiTheme="majorBidi" w:cstheme="majorBidi"/>
                <w:bCs/>
                <w:sz w:val="24"/>
                <w:szCs w:val="24"/>
              </w:rPr>
              <w:t>AVG(PIM2, !ERK, !RSK)</w:t>
            </w:r>
          </w:p>
        </w:tc>
        <w:tc>
          <w:tcPr>
            <w:tcW w:w="1709" w:type="dxa"/>
            <w:tcBorders>
              <w:bottom w:val="single" w:sz="4" w:space="0" w:color="auto"/>
            </w:tcBorders>
          </w:tcPr>
          <w:p w:rsidR="00133DC7" w:rsidRPr="008F7397" w:rsidRDefault="00133DC7" w:rsidP="00E24644">
            <w:pPr>
              <w:rPr>
                <w:rFonts w:asciiTheme="majorBidi" w:hAnsiTheme="majorBidi" w:cstheme="majorBidi"/>
                <w:bCs/>
                <w:sz w:val="24"/>
                <w:szCs w:val="24"/>
              </w:rPr>
            </w:pPr>
            <w:r w:rsidRPr="008F7397">
              <w:rPr>
                <w:rFonts w:asciiTheme="majorBidi" w:hAnsiTheme="majorBidi" w:cstheme="majorBidi"/>
                <w:bCs/>
                <w:sz w:val="24"/>
                <w:szCs w:val="24"/>
              </w:rPr>
              <w:t>1/2*((PIM2-1)+1/2*Akt)</w:t>
            </w:r>
          </w:p>
        </w:tc>
        <w:tc>
          <w:tcPr>
            <w:tcW w:w="4536" w:type="dxa"/>
            <w:tcBorders>
              <w:bottom w:val="single" w:sz="4" w:space="0" w:color="auto"/>
            </w:tcBorders>
          </w:tcPr>
          <w:p w:rsidR="00133DC7" w:rsidRPr="008F7397" w:rsidRDefault="00133DC7" w:rsidP="005D7A0D">
            <w:pPr>
              <w:rPr>
                <w:rFonts w:asciiTheme="majorBidi" w:hAnsiTheme="majorBidi" w:cstheme="majorBidi"/>
                <w:bCs/>
                <w:sz w:val="24"/>
                <w:szCs w:val="24"/>
              </w:rPr>
            </w:pPr>
            <w:r w:rsidRPr="008F7397">
              <w:rPr>
                <w:rFonts w:asciiTheme="majorBidi" w:hAnsiTheme="majorBidi" w:cstheme="majorBidi"/>
                <w:sz w:val="24"/>
                <w:szCs w:val="24"/>
              </w:rPr>
              <w:t xml:space="preserve">PIM2 is reported to directly phosphorylate TSC2 on Ser1798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DPdg4948","properties":{"formattedCitation":"[28]","plainCitation":"[28]"},"citationItems":[{"id":406,"uris":["http://zotero.org/users/2553926/items/DH4UKV5X"],"uri":["http://zotero.org/users/2553926/items/DH4UKV5X"],"itemData":{"id":406,"type":"article-journal","title":"Pinning down myeloma with Pim2 inhibitors!","container-title":"Blood","page":"1534-1536","volume":"122","issue":"9","source":"www.bloodjournal.org","DOI":"10.1182/blood-2013-07-514091","ISSN":"0006-4971, 1528-0020","note":"PMID: 23990611","language":"en","author":[{"family":"Neri","given":"Paola"},{"family":"Bahlis","given":"Nizar J."}],"issued":{"date-parts":[["2013",8,29]]}}}],"schema":"https://github.com/citation-style-language/schema/raw/master/csl-citation.json"}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[28]</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w:t>
            </w:r>
            <w:r w:rsidRPr="008F7397">
              <w:rPr>
                <w:rFonts w:asciiTheme="majorBidi" w:hAnsiTheme="majorBidi" w:cstheme="majorBidi"/>
                <w:bCs/>
                <w:sz w:val="24"/>
                <w:szCs w:val="24"/>
              </w:rPr>
              <w:t xml:space="preserve"> </w:t>
            </w:r>
            <w:r w:rsidRPr="008F7397">
              <w:rPr>
                <w:rFonts w:asciiTheme="majorBidi" w:hAnsiTheme="majorBidi" w:cstheme="majorBidi"/>
                <w:sz w:val="24"/>
                <w:szCs w:val="24"/>
              </w:rPr>
              <w:t>Akt phosphorylate</w:t>
            </w:r>
            <w:r w:rsidR="00FD1D8E" w:rsidRPr="008F7397">
              <w:rPr>
                <w:rFonts w:asciiTheme="majorBidi" w:hAnsiTheme="majorBidi" w:cstheme="majorBidi"/>
                <w:sz w:val="24"/>
                <w:szCs w:val="24"/>
              </w:rPr>
              <w:t>s</w:t>
            </w:r>
            <w:r w:rsidRPr="008F7397">
              <w:rPr>
                <w:rFonts w:asciiTheme="majorBidi" w:hAnsiTheme="majorBidi" w:cstheme="majorBidi"/>
                <w:sz w:val="24"/>
                <w:szCs w:val="24"/>
              </w:rPr>
              <w:t xml:space="preserve"> TSC2 on sites Ser1798 and Ser939/Thr1462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VFAADy7g","properties":{"formattedCitation":"[28]","plainCitation":"[28]"},"citationItems":[{"id":406,"uris":["http://zotero.org/users/2553926/items/DH4UKV5X"],"uri":["http://zotero.org/users/2553926/items/DH4UKV5X"],"itemData":{"id":406,"type":"article-journal","title":"Pinning down myeloma with Pim2 inhibitors!","container-title":"Blood","page":"1534-1536","volume":"122","issue":"9","source":"www.bloodjournal.org","DOI":"10.1182/blood-2013-07-514091","ISSN":"0006-4971, 1528-0020","note":"PMID: 23990611","language":"en","author":[{"family":"Neri","given":"Paola"},{"family":"Bahlis","given":"Nizar J."}],"issued":{"date-parts":[["2013",8,29]]}}}],"schema":"https://github.com/citation-style-language/schema/raw/master/csl-citation.json"}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[28]</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 xml:space="preserve">. Both events independently can release TSC inhibition of RHEB, which directly activates mTORC1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{"citationID":"BM5uTGmi","properties":{"formattedCitation":"[4], [29]","plainCitation":"[4], [29]"},"citationItems":[{"id":410,"uris":["http://zotero.org/users/2553926/items/Q4RWMGGA"],"uri":["http://zotero.org/users/2553926/items/Q4RWMGGA"],"itemData":{"id":410,"type":"article-journal","title":"The TSC1-TSC2 Complex Is Required for Proper Activation of mTOR Complex 2","container-title":"Molecular and Cellular Biology","page":"4104-4115","volume":"28","issue":"12","source":"mcb.asm.org","abstract":"The mammalian target of rapamycin (mTOR) is a protein kinase that forms two functionally distinct complexes important for nutrient and growth factor signaling. Both complexes phosphorylate a hydrophobic motif on downstream protein kinases, which contributes to the activation of these kinases. mTOR complex 1 (mTORC1) phosphorylates S6K1, while mTORC2 phosphorylates Akt. The TSC1-TSC2 complex is a critical negative regulator of mTORC1. However, how mTORC2 is regulated and whether the TSC1-TSC2 complex is involved are unknown. We find that mTORC2 isolated from a variety of cells lacking a functional TSC1-TSC2 complex is impaired in its kinase activity toward Akt. Importantly, the defect in mTORC2 activity in these cells can be separated from effects on mTORC1 signaling and known feedback mechanisms affecting insulin receptor substrate-1 and phosphatidylinositol 3-kinase. Our data also suggest that the TSC1-TSC2 complex positively regulates mTORC2 in a manner independent of its GTPase-activating protein activity toward Rheb. Finally, we find that the TSC1-TSC2 complex can physically associate with mTORC2 but not mTORC1. These data demonstrate that the TSC1-TSC2 complex inhibits mTORC1 and activates mTORC2, which through different mechanisms promotes Akt activation.","DOI":"10.1128/MCB.00289-08","ISSN":"0270-7306, 1098-5549","note":"PMID: 18411301","journalAbbreviation":"Mol. Cell. Biol.","language":"en","author":[{"family":"Huang","given":"Jingxiang"},{"family":"Dibble","given":"Christian C."},{"family":"Matsuzaki","given":"Mika"},{"family":"Manning","given":"Brendan D."}],"issued":{"date-parts":[["2008",6,15]]}},"label":"page"},{"id":341,"uris":["http://zotero.org/users/2553926/items/XR9A3GQ4"],"uri":["http://zotero.org/users/2553926/items/XR9A3GQ4"],"itemData":{"id":341,"type":"article-journal","title":"The Ras-ERK and PI3K-mTOR pathways: cross-talk and compensation","container-title":"Trends in Biochemical Sciences","page":"320-328","volume":"36","issue":"6","source":"PubMed","abstract":"The Ras-extracellular signal-regulated kinase (Ras-ERK) and phosphatidylinositol 3-kinase-mammalian target of rapamycin (PI3K-mTOR) signaling pathways are the chief mechanisms for controlling cell survival, differentiation, proliferation, metabolism, and motility in response to extracellular cues. Components of these pathways were among the first to be discovered when scientists began cloning proto-oncogenes and purifying cellular kinase activities in the 1980s. Ras-ERK and PI3K-mTOR were originally modeled as linear signaling conduits activated by different stimuli, yet even early experiments hinted that they might intersect to regulate each other and co-regulate downstream functions. The extent of this cross-talk and its significance in cancer therapeutics are now becoming clear.","DOI":"10.1016/j.tibs.2011.03.006","ISSN":"0968-0004","note":"PMID: 21531565\nPMCID: PMC3112285","shortTitle":"The Ras-ERK and PI3K-mTOR pathways","journalAbbreviation":"Trends Biochem. Sci.","language":"eng","author":[{"family":"Mendoza","given":"Michelle C."},{"family":"Er","given":"E. Emrah"},{"family":"Blenis","given":"John"}],"issued":{"date-parts":[["2011",6]]}},"label":"page"}],"schema":"https://github.com/citation-style-language/schema/raw/master/csl-citation.json"}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[4], [29]</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w:t>
            </w:r>
          </w:p>
        </w:tc>
      </w:tr>
      <w:tr w:rsidR="00016195" w:rsidRPr="008F7397" w:rsidTr="00016195">
        <w:trPr>
          <w:cantSplit/>
        </w:trPr>
        <w:tc>
          <w:tcPr>
            <w:tcW w:w="8613" w:type="dxa"/>
            <w:gridSpan w:val="4"/>
            <w:tcBorders>
              <w:top w:val="single" w:sz="4" w:space="0" w:color="auto"/>
              <w:left w:val="nil"/>
              <w:bottom w:val="nil"/>
              <w:right w:val="nil"/>
            </w:tcBorders>
          </w:tcPr>
          <w:p w:rsidR="00016195" w:rsidRPr="008F7397" w:rsidRDefault="00016195" w:rsidP="00183843">
            <w:pPr>
              <w:rPr>
                <w:rFonts w:asciiTheme="majorBidi" w:hAnsiTheme="majorBidi" w:cstheme="majorBidi"/>
                <w:b/>
                <w:sz w:val="24"/>
                <w:szCs w:val="24"/>
                <w:lang w:val="en-US"/>
              </w:rPr>
            </w:pPr>
          </w:p>
        </w:tc>
      </w:tr>
      <w:tr w:rsidR="00183843" w:rsidRPr="008F7397" w:rsidTr="00016195">
        <w:trPr>
          <w:cantSplit/>
        </w:trPr>
        <w:tc>
          <w:tcPr>
            <w:tcW w:w="8613" w:type="dxa"/>
            <w:gridSpan w:val="4"/>
            <w:tcBorders>
              <w:top w:val="nil"/>
              <w:left w:val="nil"/>
              <w:right w:val="nil"/>
            </w:tcBorders>
          </w:tcPr>
          <w:p w:rsidR="00183843" w:rsidRPr="008F7397" w:rsidRDefault="00183843" w:rsidP="0004568F">
            <w:pPr>
              <w:rPr>
                <w:rFonts w:asciiTheme="majorBidi" w:hAnsiTheme="majorBidi" w:cstheme="majorBidi"/>
                <w:b/>
                <w:sz w:val="24"/>
                <w:szCs w:val="24"/>
                <w:lang w:val="en-US"/>
              </w:rPr>
            </w:pPr>
            <w:r w:rsidRPr="008F7397">
              <w:rPr>
                <w:rFonts w:asciiTheme="majorBidi" w:hAnsiTheme="majorBidi" w:cstheme="majorBidi"/>
                <w:b/>
                <w:sz w:val="24"/>
                <w:szCs w:val="24"/>
                <w:lang w:val="en-US"/>
              </w:rPr>
              <w:t>Table S</w:t>
            </w:r>
            <w:r w:rsidR="0004568F">
              <w:rPr>
                <w:rFonts w:asciiTheme="majorBidi" w:hAnsiTheme="majorBidi" w:cstheme="majorBidi"/>
                <w:b/>
                <w:sz w:val="24"/>
                <w:szCs w:val="24"/>
              </w:rPr>
              <w:t>8</w:t>
            </w:r>
            <w:r w:rsidRPr="008F7397">
              <w:rPr>
                <w:rFonts w:asciiTheme="majorBidi" w:hAnsiTheme="majorBidi" w:cstheme="majorBidi"/>
                <w:b/>
                <w:sz w:val="24"/>
                <w:szCs w:val="24"/>
              </w:rPr>
              <w:t xml:space="preserve"> Continue</w:t>
            </w:r>
            <w:r w:rsidRPr="008F7397">
              <w:rPr>
                <w:rFonts w:asciiTheme="majorBidi" w:hAnsiTheme="majorBidi" w:cstheme="majorBidi"/>
                <w:b/>
                <w:sz w:val="24"/>
                <w:szCs w:val="24"/>
                <w:lang w:val="en-US"/>
              </w:rPr>
              <w:t>. Target functions for AML general model and cell specific calibrated AML model</w:t>
            </w:r>
            <w:r w:rsidRPr="008F7397">
              <w:rPr>
                <w:rFonts w:asciiTheme="majorBidi" w:hAnsiTheme="majorBidi" w:cstheme="majorBidi"/>
                <w:sz w:val="24"/>
                <w:szCs w:val="24"/>
                <w:lang w:val="en-US"/>
              </w:rPr>
              <w:t>.</w:t>
            </w:r>
          </w:p>
        </w:tc>
      </w:tr>
      <w:tr w:rsidR="00183843" w:rsidRPr="008F7397" w:rsidTr="00183843">
        <w:trPr>
          <w:cantSplit/>
        </w:trPr>
        <w:tc>
          <w:tcPr>
            <w:tcW w:w="1173" w:type="dxa"/>
          </w:tcPr>
          <w:p w:rsidR="00183843" w:rsidRPr="008F7397" w:rsidRDefault="00183843" w:rsidP="00183843">
            <w:pPr>
              <w:rPr>
                <w:rFonts w:asciiTheme="majorBidi" w:hAnsiTheme="majorBidi" w:cstheme="majorBidi"/>
                <w:b/>
                <w:sz w:val="24"/>
                <w:szCs w:val="24"/>
              </w:rPr>
            </w:pPr>
            <w:r w:rsidRPr="008F7397">
              <w:rPr>
                <w:rFonts w:asciiTheme="majorBidi" w:hAnsiTheme="majorBidi" w:cstheme="majorBidi"/>
                <w:b/>
                <w:sz w:val="24"/>
                <w:szCs w:val="24"/>
              </w:rPr>
              <w:t>Protein/Node</w:t>
            </w:r>
          </w:p>
        </w:tc>
        <w:tc>
          <w:tcPr>
            <w:tcW w:w="1195" w:type="dxa"/>
          </w:tcPr>
          <w:p w:rsidR="00183843" w:rsidRPr="008F7397" w:rsidRDefault="00183843" w:rsidP="00183843">
            <w:pPr>
              <w:rPr>
                <w:rFonts w:asciiTheme="majorBidi" w:hAnsiTheme="majorBidi" w:cstheme="majorBidi"/>
                <w:b/>
                <w:sz w:val="24"/>
                <w:szCs w:val="24"/>
              </w:rPr>
            </w:pPr>
            <w:r w:rsidRPr="008F7397">
              <w:rPr>
                <w:rFonts w:asciiTheme="majorBidi" w:hAnsiTheme="majorBidi" w:cstheme="majorBidi"/>
                <w:b/>
                <w:sz w:val="24"/>
                <w:szCs w:val="24"/>
              </w:rPr>
              <w:t>GeneralModel</w:t>
            </w:r>
          </w:p>
        </w:tc>
        <w:tc>
          <w:tcPr>
            <w:tcW w:w="1709" w:type="dxa"/>
          </w:tcPr>
          <w:p w:rsidR="00183843" w:rsidRPr="008F7397" w:rsidRDefault="00183843" w:rsidP="00183843">
            <w:pPr>
              <w:rPr>
                <w:rFonts w:asciiTheme="majorBidi" w:hAnsiTheme="majorBidi" w:cstheme="majorBidi"/>
                <w:b/>
                <w:sz w:val="24"/>
                <w:szCs w:val="24"/>
              </w:rPr>
            </w:pPr>
            <w:r w:rsidRPr="008F7397">
              <w:rPr>
                <w:rFonts w:asciiTheme="majorBidi" w:hAnsiTheme="majorBidi" w:cstheme="majorBidi"/>
                <w:b/>
                <w:sz w:val="24"/>
                <w:szCs w:val="24"/>
              </w:rPr>
              <w:t>Cell Specific Model</w:t>
            </w:r>
          </w:p>
        </w:tc>
        <w:tc>
          <w:tcPr>
            <w:tcW w:w="4536" w:type="dxa"/>
          </w:tcPr>
          <w:p w:rsidR="00183843" w:rsidRPr="008F7397" w:rsidRDefault="00296C44" w:rsidP="00183843">
            <w:pPr>
              <w:rPr>
                <w:rFonts w:asciiTheme="majorBidi" w:hAnsiTheme="majorBidi" w:cstheme="majorBidi"/>
                <w:b/>
                <w:sz w:val="24"/>
                <w:szCs w:val="24"/>
              </w:rPr>
            </w:pPr>
            <w:r w:rsidRPr="008F7397">
              <w:rPr>
                <w:rFonts w:asciiTheme="majorBidi" w:hAnsiTheme="majorBidi" w:cstheme="majorBidi"/>
                <w:b/>
                <w:sz w:val="24"/>
                <w:szCs w:val="24"/>
              </w:rPr>
              <w:t>Literature and Experimental Supporting Evidences</w:t>
            </w:r>
          </w:p>
        </w:tc>
      </w:tr>
      <w:tr w:rsidR="00183843" w:rsidRPr="008F7397" w:rsidTr="00183843">
        <w:trPr>
          <w:cantSplit/>
        </w:trPr>
        <w:tc>
          <w:tcPr>
            <w:tcW w:w="1173" w:type="dxa"/>
          </w:tcPr>
          <w:p w:rsidR="00183843" w:rsidRPr="008F7397" w:rsidRDefault="00183843" w:rsidP="00EB3FAC">
            <w:pPr>
              <w:rPr>
                <w:rFonts w:asciiTheme="majorBidi" w:hAnsiTheme="majorBidi" w:cstheme="majorBidi"/>
                <w:bCs/>
                <w:sz w:val="24"/>
                <w:szCs w:val="24"/>
              </w:rPr>
            </w:pPr>
            <w:r w:rsidRPr="008F7397">
              <w:rPr>
                <w:rFonts w:asciiTheme="majorBidi" w:hAnsiTheme="majorBidi" w:cstheme="majorBidi"/>
                <w:bCs/>
                <w:sz w:val="24"/>
                <w:szCs w:val="24"/>
              </w:rPr>
              <w:lastRenderedPageBreak/>
              <w:t>PRAS40</w:t>
            </w:r>
          </w:p>
        </w:tc>
        <w:tc>
          <w:tcPr>
            <w:tcW w:w="1195" w:type="dxa"/>
          </w:tcPr>
          <w:p w:rsidR="00183843" w:rsidRPr="008F7397" w:rsidRDefault="00183843" w:rsidP="00EB3FAC">
            <w:pPr>
              <w:rPr>
                <w:rFonts w:asciiTheme="majorBidi" w:hAnsiTheme="majorBidi" w:cstheme="majorBidi"/>
                <w:bCs/>
                <w:sz w:val="24"/>
                <w:szCs w:val="24"/>
              </w:rPr>
            </w:pPr>
            <w:r w:rsidRPr="008F7397">
              <w:rPr>
                <w:rFonts w:asciiTheme="majorBidi" w:hAnsiTheme="majorBidi" w:cstheme="majorBidi"/>
                <w:bCs/>
                <w:sz w:val="24"/>
                <w:szCs w:val="24"/>
              </w:rPr>
              <w:t>AVG(AKT, PIM1, PIM2)</w:t>
            </w:r>
          </w:p>
        </w:tc>
        <w:tc>
          <w:tcPr>
            <w:tcW w:w="1709" w:type="dxa"/>
          </w:tcPr>
          <w:p w:rsidR="00183843" w:rsidRPr="008F7397" w:rsidRDefault="00183843" w:rsidP="00EB3FAC">
            <w:pPr>
              <w:rPr>
                <w:rFonts w:asciiTheme="majorBidi" w:hAnsiTheme="majorBidi" w:cstheme="majorBidi"/>
                <w:bCs/>
                <w:sz w:val="24"/>
                <w:szCs w:val="24"/>
              </w:rPr>
            </w:pPr>
            <w:r w:rsidRPr="008F7397">
              <w:rPr>
                <w:rFonts w:asciiTheme="majorBidi" w:hAnsiTheme="majorBidi" w:cstheme="majorBidi"/>
                <w:bCs/>
                <w:sz w:val="24"/>
                <w:szCs w:val="24"/>
              </w:rPr>
              <w:t>1/4*PIM1+5/4*Akt</w:t>
            </w:r>
          </w:p>
          <w:p w:rsidR="00183843" w:rsidRPr="008F7397" w:rsidRDefault="00183843" w:rsidP="00EB3FAC">
            <w:pPr>
              <w:rPr>
                <w:rFonts w:asciiTheme="majorBidi" w:hAnsiTheme="majorBidi" w:cstheme="majorBidi"/>
                <w:bCs/>
                <w:sz w:val="24"/>
                <w:szCs w:val="24"/>
              </w:rPr>
            </w:pPr>
          </w:p>
        </w:tc>
        <w:tc>
          <w:tcPr>
            <w:tcW w:w="4536" w:type="dxa"/>
          </w:tcPr>
          <w:p w:rsidR="00183843" w:rsidRPr="008F7397" w:rsidRDefault="00183843" w:rsidP="005D7A0D">
            <w:pPr>
              <w:rPr>
                <w:rFonts w:asciiTheme="majorBidi" w:hAnsiTheme="majorBidi" w:cstheme="majorBidi"/>
                <w:bCs/>
                <w:sz w:val="24"/>
                <w:szCs w:val="24"/>
                <w:lang w:val="en-US"/>
              </w:rPr>
            </w:pPr>
            <w:r w:rsidRPr="008F7397">
              <w:rPr>
                <w:rFonts w:asciiTheme="majorBidi" w:hAnsiTheme="majorBidi" w:cstheme="majorBidi"/>
                <w:sz w:val="24"/>
                <w:szCs w:val="24"/>
              </w:rPr>
              <w:t xml:space="preserve">Both AKT and PIM1 phosphorylate PRAS40 on Thr-246 site, leading to its dissociation and the subsequent activation of mTORC1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d77lOSJF","properties":{"formattedCitation":"[26]","plainCitation":"[26]"},"citationItems":[{"id":324,"uris":["http://zotero.org/users/2553926/items/GUGFKTXQ"],"uri":["http://zotero.org/users/2553926/items/GUGFKTXQ"],"itemData":{"id":324,"type":"article-journal","title":"The two TORCs and Akt","container-title":"Developmental Cell","page":"487-502","volume":"12","issue":"4","source":"PubMed","abstract":"The regulatory circuits that control the activities of the two distinct target of rapamycin (TOR) complexes, TORC1 and TORC2, and of Akt have been a focus of intense research in recent years. It has become increasingly evident that these regulatory circuits control some of the most fundamental aspects of metabolism, cell growth, proliferation, survival, and differentiation at both the cellular and organismal levels. As such, they also play a pivotal role in the genesis of diseases including cancer, diabetes, aging, and degenerative diseases. This review highlights recent developments aimed at deciphering the interplay between Akt and mTORCs as well as their role in embryonic development and in cancer.","DOI":"10.1016/j.devcel.2007.03.020","ISSN":"1534-5807","note":"PMID: 17419990","journalAbbreviation":"Dev. Cell","language":"eng","author":[{"family":"Bhaskar","given":"Prashanth T."},{"family":"Hay","given":"Nissim"}],"issued":{"date-parts":[["2007",4]]}}}],"schema":"https://github.com/citation-style-language/schema/raw/master/csl-citation.json"}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[26]</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 xml:space="preserve">.Our RPPA results support the </w:t>
            </w:r>
            <w:r w:rsidRPr="008F7397">
              <w:rPr>
                <w:rFonts w:asciiTheme="majorBidi" w:hAnsiTheme="majorBidi" w:cstheme="majorBidi"/>
                <w:sz w:val="24"/>
                <w:szCs w:val="24"/>
                <w:lang w:val="en-US"/>
              </w:rPr>
              <w:t>evidences accumulating for AKT/</w:t>
            </w:r>
            <w:proofErr w:type="spellStart"/>
            <w:r w:rsidRPr="008F7397">
              <w:rPr>
                <w:rFonts w:asciiTheme="majorBidi" w:hAnsiTheme="majorBidi" w:cstheme="majorBidi"/>
                <w:sz w:val="24"/>
                <w:szCs w:val="24"/>
                <w:lang w:val="en-US"/>
              </w:rPr>
              <w:t>mTOR</w:t>
            </w:r>
            <w:proofErr w:type="spellEnd"/>
            <w:r w:rsidRPr="008F7397">
              <w:rPr>
                <w:rFonts w:asciiTheme="majorBidi" w:hAnsiTheme="majorBidi" w:cstheme="majorBidi"/>
                <w:sz w:val="24"/>
                <w:szCs w:val="24"/>
                <w:lang w:val="en-US"/>
              </w:rPr>
              <w:t xml:space="preserve"> pathway role in AML</w:t>
            </w:r>
            <w:r w:rsidR="00760C56" w:rsidRPr="008F7397">
              <w:rPr>
                <w:rFonts w:asciiTheme="majorBidi" w:hAnsiTheme="majorBidi" w:cstheme="majorBidi"/>
                <w:sz w:val="24"/>
                <w:szCs w:val="24"/>
                <w:lang w:val="en-US"/>
              </w:rPr>
              <w:fldChar w:fldCharType="begin"/>
            </w:r>
            <w:r w:rsidR="005D7A0D" w:rsidRPr="008F7397">
              <w:rPr>
                <w:rFonts w:asciiTheme="majorBidi" w:hAnsiTheme="majorBidi" w:cstheme="majorBidi"/>
                <w:sz w:val="24"/>
                <w:szCs w:val="24"/>
                <w:lang w:val="en-US"/>
              </w:rPr>
              <w:instrText xml:space="preserve"> ADDIN ZOTERO_ITEM CSL_CITATION {"citationID":"ISU3PAJK","properties":{"formattedCitation":"[2]","plainCitation":"[2]"},"citationItems":[{"id":320,"uris":["http://zotero.org/users/2553926/items/ABDQ97UH"],"uri":["http://zotero.org/users/2553926/items/ABDQ97UH"],"itemData":{"id":320,"type":"article-journal","title":"AZD1208, a potent and selective pan-Pim kinase inhibitor, demonstrates efficacy in preclinical models of acute myeloid leukemia","container-title":"Blood","page":"905-913","volume":"123","issue":"6","source":"PubMed","abstract":"Upregulation of Pim kinases is observed in several types of leukemias and lymphomas. Pim-1, -2, and -3 promote cell proliferation and survival downstream of cytokine and growth factor signaling pathways. AZD1208 is a potent, highly selective, and orally available Pim kinase inhibitor that effectively inhibits all three isoforms at &lt;5 nM or &lt;150 nM in enzyme and cell assays, respectively. AZD1208 inhibited the growth of 5 of 14 acute myeloid leukemia (AML) cell lines tested, and sensitivity correlates with Pim-1 expression and STAT5 activation. AZD1208 causes cell cycle arrest and apoptosis in MOLM-16 cells, accompanied by a dose-dependent reduction in phosphorylation of Bcl-2 antagonist of cell death, 4EBP1, p70S6K, and S6, as well as increases in cleaved caspase 3 and p27. Inhibition of p4EBP1 and p-p70S6K and suppression of translation are the most representative effects of Pim inhibition in sensitive AML cell lines. AZD1208 inhibits the growth of MOLM-16 and KG-1a xenograft tumors in vivo with a clear pharmacodynamic-pharmacokinetic relationship. AZD1208 also potently inhibits colony growth and Pim signaling substrates in primary AML cells from bone marrow that are Flt3 wild-type or Flt3 internal tandem duplication mutant. These results underscore the therapeutic potential of Pim kinase inhibition for the treatment of AML.","DOI":"10.1182/blood-2013-04-495366","ISSN":"1528-0020","note":"PMID: 24363397\nPMCID: PMC3916880","journalAbbreviation":"Blood","language":"eng","author":[{"family":"Keeton","given":"Erika K."},{"family":"McEachern","given":"Kristen"},{"family":"Dillman","given":"Keith S."},{"family":"Palakurthi","given":"Sangeetha"},{"family":"Cao","given":"Yichen"},{"family":"Grondine","given":"Michael R."},{"family":"Kaur","given":"Surinder"},{"family":"Wang","given":"Suping"},{"family":"Chen","given":"Yuching"},{"family":"Wu","given":"Allan"},{"family":"Shen","given":"Minhui"},{"family":"Gibbons","given":"Francis D."},{"family":"Lamb","given":"Michelle L."},{"family":"Zheng","given":"Xiaolan"},{"family":"Stone","given":"Richard M."},{"family":"Deangelo","given":"Daniel J."},{"family":"Platanias","given":"Leonidas C."},{"family":"Dakin","given":"Les A."},{"family":"Chen","given":"Huawei"},{"family":"Lyne","given":"Paul D."},{"family":"Huszar","given":"Dennis"}],"issued":{"date-parts":[["2014",2,6]]}}}],"schema":"https://github.com/citation-style-language/schema/raw/master/csl-citation.json"} </w:instrText>
            </w:r>
            <w:r w:rsidR="00760C56" w:rsidRPr="008F7397">
              <w:rPr>
                <w:rFonts w:asciiTheme="majorBidi" w:hAnsiTheme="majorBidi" w:cstheme="majorBidi"/>
                <w:sz w:val="24"/>
                <w:szCs w:val="24"/>
                <w:lang w:val="en-US"/>
              </w:rPr>
              <w:fldChar w:fldCharType="separate"/>
            </w:r>
            <w:r w:rsidR="005D7A0D" w:rsidRPr="008F7397">
              <w:rPr>
                <w:rFonts w:ascii="Times New Roman" w:hAnsi="Times New Roman" w:cs="Times New Roman"/>
                <w:sz w:val="24"/>
              </w:rPr>
              <w:t>[2]</w:t>
            </w:r>
            <w:r w:rsidR="00760C56" w:rsidRPr="008F7397">
              <w:rPr>
                <w:rFonts w:asciiTheme="majorBidi" w:hAnsiTheme="majorBidi" w:cstheme="majorBidi"/>
                <w:sz w:val="24"/>
                <w:szCs w:val="24"/>
                <w:lang w:val="en-US"/>
              </w:rPr>
              <w:fldChar w:fldCharType="end"/>
            </w:r>
            <w:r w:rsidRPr="008F7397">
              <w:rPr>
                <w:rFonts w:asciiTheme="majorBidi" w:hAnsiTheme="majorBidi" w:cstheme="majorBidi"/>
                <w:sz w:val="24"/>
                <w:szCs w:val="24"/>
                <w:lang w:val="en-US"/>
              </w:rPr>
              <w:t>, presenting elevated levels of PRAS40 phosphorylation in EOL1, MV411 and KG1a (Fig 1B). A key difference of the cell lines we modelled points to MOLM16, harboring a TYK2 mutation, averting from hitting the AKT/</w:t>
            </w:r>
            <w:proofErr w:type="spellStart"/>
            <w:r w:rsidRPr="008F7397">
              <w:rPr>
                <w:rFonts w:asciiTheme="majorBidi" w:hAnsiTheme="majorBidi" w:cstheme="majorBidi"/>
                <w:sz w:val="24"/>
                <w:szCs w:val="24"/>
                <w:lang w:val="en-US"/>
              </w:rPr>
              <w:t>mTOR</w:t>
            </w:r>
            <w:proofErr w:type="spellEnd"/>
            <w:r w:rsidRPr="008F7397">
              <w:rPr>
                <w:rFonts w:asciiTheme="majorBidi" w:hAnsiTheme="majorBidi" w:cstheme="majorBidi"/>
                <w:sz w:val="24"/>
                <w:szCs w:val="24"/>
                <w:lang w:val="en-US"/>
              </w:rPr>
              <w:t xml:space="preserve">. We suggest that while TYK2-mutated cell lines preserve healthy level of regulation of PRAS40 and mTORC1 binding </w:t>
            </w:r>
            <w:r w:rsidR="00760C56" w:rsidRPr="008F7397">
              <w:rPr>
                <w:rFonts w:asciiTheme="majorBidi" w:hAnsiTheme="majorBidi" w:cstheme="majorBidi"/>
                <w:sz w:val="24"/>
                <w:szCs w:val="24"/>
                <w:lang w:val="en-US"/>
              </w:rPr>
              <w:fldChar w:fldCharType="begin"/>
            </w:r>
            <w:r w:rsidR="005D7A0D" w:rsidRPr="008F7397">
              <w:rPr>
                <w:rFonts w:asciiTheme="majorBidi" w:hAnsiTheme="majorBidi" w:cstheme="majorBidi"/>
                <w:sz w:val="24"/>
                <w:szCs w:val="24"/>
                <w:lang w:val="en-US"/>
              </w:rPr>
              <w:instrText xml:space="preserve"> ADDIN ZOTERO_ITEM CSL_CITATION {"citationID":"2adq0s1fbe","properties":{"formattedCitation":"[25], [26]","plainCitation":"[25], [26]"},"citationItems":[{"id":324,"uris":["http://zotero.org/users/2553926/items/GUGFKTXQ"],"uri":["http://zotero.org/users/2553926/items/GUGFKTXQ"],"itemData":{"id":324,"type":"article-journal","title":"The two TORCs and Akt","container-title":"Developmental Cell","page":"487-502","volume":"12","issue":"4","source":"PubMed","abstract":"The regulatory circuits that control the activities of the two distinct target of rapamycin (TOR) complexes, TORC1 and TORC2, and of Akt have been a focus of intense research in recent years. It has become increasingly evident that these regulatory circuits control some of the most fundamental aspects of metabolism, cell growth, proliferation, survival, and differentiation at both the cellular and organismal levels. As such, they also play a pivotal role in the genesis of diseases including cancer, diabetes, aging, and degenerative diseases. This review highlights recent developments aimed at deciphering the interplay between Akt and mTORCs as well as their role in embryonic development and in cancer.","DOI":"10.1016/j.devcel.2007.03.020","ISSN":"1534-5807","note":"PMID: 17419990","journalAbbreviation":"Dev. Cell","language":"eng","author":[{"family":"Bhaskar","given":"Prashanth T."},{"family":"Hay","given":"Nissim"}],"issued":{"date-parts":[["2007",4]]}},"label":"page"},{"id":316,"uris":["http://zotero.org/users/2553926/items/EIVS69Z9"],"uri":["http://zotero.org/users/2553926/items/EIVS69Z9"],"itemData":{"id":316,"type":"article-journal","title":"AMPK phosphorylation of raptor mediates a metabolic checkpoint","container-title":"Molecular Cell","page":"214-226","volume":"30","issue":"2","source":"PubMed","abstract":"AMPK is a highly conserved sensor of cellular energy status that is activated under conditions of low intracellular ATP. AMPK responds to energy stress by suppressing cell growth and biosynthetic processes, in part through its inhibition of the rapamycin-sensitive mTOR (mTORC1) pathway. AMPK phosphorylation of the TSC2 tumor suppressor contributes to suppression of mTORC1; however, TSC2-deficient cells remain responsive to energy stress. Using a proteomic and bioinformatics approach, we sought to identify additional substrates of AMPK that mediate its effects on growth control. We report here that AMPK directly phosphorylates the mTOR binding partner raptor on two well-conserved serine residues, and this phosphorylation induces 14-3-3 binding to raptor. The phosphorylation of raptor by AMPK is required for the inhibition of mTORC1 and cell-cycle arrest induced by energy stress. These findings uncover a conserved effector of AMPK that mediates its role as a metabolic checkpoint coordinating cell growth with energy status.","DOI":"10.1016/j.molcel.2008.03.003","ISSN":"1097-4164","note":"PMID: 18439900\nPMCID: PMC2674027","journalAbbreviation":"Mol. Cell","language":"eng","author":[{"family":"Gwinn","given":"Dana M."},{"family":"Shackelford","given":"David B."},{"family":"Egan","given":"Daniel F."},{"family":"Mihaylova","given":"Maria M."},{"family":"Mery","given":"Annabelle"},{"family":"Vasquez","given":"Debbie S."},{"family":"Turk","given":"Benjamin E."},{"family":"Shaw","given":"Reuben J."}],"issued":{"date-parts":[["2008",4,25]]}},"label":"page"}],"schema":"https://github.com/citation-style-language/schema/raw/master/csl-citation.json"} </w:instrText>
            </w:r>
            <w:r w:rsidR="00760C56" w:rsidRPr="008F7397">
              <w:rPr>
                <w:rFonts w:asciiTheme="majorBidi" w:hAnsiTheme="majorBidi" w:cstheme="majorBidi"/>
                <w:sz w:val="24"/>
                <w:szCs w:val="24"/>
                <w:lang w:val="en-US"/>
              </w:rPr>
              <w:fldChar w:fldCharType="separate"/>
            </w:r>
            <w:r w:rsidR="005D7A0D" w:rsidRPr="008F7397">
              <w:rPr>
                <w:rFonts w:ascii="Times New Roman" w:hAnsi="Times New Roman" w:cs="Times New Roman"/>
                <w:sz w:val="24"/>
              </w:rPr>
              <w:t>[25], [26]</w:t>
            </w:r>
            <w:r w:rsidR="00760C56" w:rsidRPr="008F7397">
              <w:rPr>
                <w:rFonts w:asciiTheme="majorBidi" w:hAnsiTheme="majorBidi" w:cstheme="majorBidi"/>
                <w:sz w:val="24"/>
                <w:szCs w:val="24"/>
                <w:lang w:val="en-US"/>
              </w:rPr>
              <w:fldChar w:fldCharType="end"/>
            </w:r>
            <w:r w:rsidRPr="008F7397">
              <w:rPr>
                <w:rFonts w:asciiTheme="majorBidi" w:hAnsiTheme="majorBidi" w:cstheme="majorBidi"/>
                <w:sz w:val="24"/>
                <w:szCs w:val="24"/>
                <w:lang w:val="en-US"/>
              </w:rPr>
              <w:t>, FLT-ITD, PDGFRA and FGFR1 fusion over activate PRAS40</w:t>
            </w:r>
            <w:r w:rsidRPr="008F7397">
              <w:rPr>
                <w:rFonts w:asciiTheme="majorBidi" w:hAnsiTheme="majorBidi" w:cstheme="majorBidi"/>
                <w:bCs/>
                <w:sz w:val="24"/>
                <w:szCs w:val="24"/>
                <w:lang w:val="en-US"/>
              </w:rPr>
              <w:t>, which reduces their sensitivity to PIM inhibition (Fig 1A).</w:t>
            </w:r>
          </w:p>
        </w:tc>
      </w:tr>
      <w:tr w:rsidR="00183843" w:rsidRPr="008F7397" w:rsidTr="00183843">
        <w:trPr>
          <w:cantSplit/>
        </w:trPr>
        <w:tc>
          <w:tcPr>
            <w:tcW w:w="1173" w:type="dxa"/>
          </w:tcPr>
          <w:p w:rsidR="00183843" w:rsidRPr="008F7397" w:rsidRDefault="00183843" w:rsidP="00183843">
            <w:pPr>
              <w:rPr>
                <w:rFonts w:asciiTheme="majorBidi" w:hAnsiTheme="majorBidi" w:cstheme="majorBidi"/>
                <w:bCs/>
                <w:sz w:val="24"/>
                <w:szCs w:val="24"/>
              </w:rPr>
            </w:pPr>
            <w:r w:rsidRPr="008F7397">
              <w:rPr>
                <w:rFonts w:asciiTheme="majorBidi" w:hAnsiTheme="majorBidi" w:cstheme="majorBidi"/>
                <w:bCs/>
                <w:sz w:val="24"/>
                <w:szCs w:val="24"/>
              </w:rPr>
              <w:t>CHK</w:t>
            </w:r>
          </w:p>
        </w:tc>
        <w:tc>
          <w:tcPr>
            <w:tcW w:w="1195" w:type="dxa"/>
          </w:tcPr>
          <w:p w:rsidR="00183843" w:rsidRPr="008F7397" w:rsidRDefault="00183843" w:rsidP="00183843">
            <w:pPr>
              <w:rPr>
                <w:rFonts w:asciiTheme="majorBidi" w:hAnsiTheme="majorBidi" w:cstheme="majorBidi"/>
                <w:bCs/>
                <w:sz w:val="24"/>
                <w:szCs w:val="24"/>
              </w:rPr>
            </w:pPr>
            <w:r w:rsidRPr="008F7397">
              <w:rPr>
                <w:rFonts w:asciiTheme="majorBidi" w:hAnsiTheme="majorBidi" w:cstheme="majorBidi"/>
                <w:bCs/>
                <w:sz w:val="24"/>
                <w:szCs w:val="24"/>
              </w:rPr>
              <w:t>AVG(PIM1, PIM2)</w:t>
            </w:r>
          </w:p>
        </w:tc>
        <w:tc>
          <w:tcPr>
            <w:tcW w:w="1709" w:type="dxa"/>
          </w:tcPr>
          <w:p w:rsidR="00183843" w:rsidRPr="008F7397" w:rsidRDefault="00183843" w:rsidP="00183843">
            <w:pPr>
              <w:rPr>
                <w:rFonts w:asciiTheme="majorBidi" w:hAnsiTheme="majorBidi" w:cstheme="majorBidi"/>
                <w:bCs/>
                <w:sz w:val="24"/>
                <w:szCs w:val="24"/>
              </w:rPr>
            </w:pPr>
            <w:r w:rsidRPr="008F7397">
              <w:rPr>
                <w:rFonts w:asciiTheme="majorBidi" w:hAnsiTheme="majorBidi" w:cstheme="majorBidi"/>
                <w:bCs/>
                <w:sz w:val="24"/>
                <w:szCs w:val="24"/>
              </w:rPr>
              <w:t>max(PIM1,PIM2)</w:t>
            </w:r>
          </w:p>
        </w:tc>
        <w:tc>
          <w:tcPr>
            <w:tcW w:w="4536" w:type="dxa"/>
          </w:tcPr>
          <w:p w:rsidR="00183843" w:rsidRPr="008F7397" w:rsidRDefault="00183843" w:rsidP="005D7A0D">
            <w:pPr>
              <w:rPr>
                <w:rFonts w:asciiTheme="majorBidi" w:hAnsiTheme="majorBidi" w:cstheme="majorBidi"/>
                <w:bCs/>
                <w:sz w:val="24"/>
                <w:szCs w:val="24"/>
              </w:rPr>
            </w:pPr>
            <w:r w:rsidRPr="008F7397">
              <w:rPr>
                <w:rFonts w:asciiTheme="majorBidi" w:hAnsiTheme="majorBidi" w:cstheme="majorBidi"/>
                <w:bCs/>
                <w:sz w:val="24"/>
                <w:szCs w:val="24"/>
              </w:rPr>
              <w:t xml:space="preserve">Yuan et al. Found that Pim kinases phosphorylate Chk1 and regulate its functions in acute myeloid leukemia </w:t>
            </w:r>
            <w:r w:rsidR="00760C56" w:rsidRPr="008F7397">
              <w:rPr>
                <w:rFonts w:asciiTheme="majorBidi" w:hAnsiTheme="majorBidi" w:cstheme="majorBidi"/>
                <w:bCs/>
                <w:sz w:val="24"/>
                <w:szCs w:val="24"/>
              </w:rPr>
              <w:fldChar w:fldCharType="begin"/>
            </w:r>
            <w:r w:rsidR="005D7A0D" w:rsidRPr="008F7397">
              <w:rPr>
                <w:rFonts w:asciiTheme="majorBidi" w:hAnsiTheme="majorBidi" w:cstheme="majorBidi"/>
                <w:bCs/>
                <w:sz w:val="24"/>
                <w:szCs w:val="24"/>
              </w:rPr>
              <w:instrText xml:space="preserve"> ADDIN ZOTERO_ITEM CSL_CITATION {"citationID":"NXNjHSwF","properties":{"formattedCitation":"[3]","plainCitation":"[3]"},"citationItems":[{"id":326,"uris":["http://zotero.org/users/2553926/items/6G59U3RR"],"uri":["http://zotero.org/users/2553926/items/6G59U3RR"],"itemData":{"id":326,"type":"article-journal","title":"Pim kinases phosphorylate Chk1 and regulate its functions in acute myeloid leukemia","container-title":"Leukemia","page":"293-301","volume":"28","issue":"2","source":"PubMed","abstract":"Phosphorylation by Akt on Ser 280 was reported to induce cytoplasmic retention and inactivation of CHK1 with consequent genetic instability in PTEN-/- cells. In acute myeloid leukemia cells carrying the FLT3-internal tandem duplication (ITD) mutation, we observed high rates of FLT3-ITD-dependent CHK1 Ser 280 phosphorylation. Pharmacological inhibition and RNA interference identified Pim1/2, not Akt, as effectors of this phosphorylation. Pim1 catalyzed Ser 280 phosphorylation in vitro and ectopic expression of Pim1/2-induced CHK1 phosphorylation. Ser 280 phosphorylation did not modify CHK1 localization, but facilitated its cell cycle and resistance functions in leukemic cells. FLT3, PIM or CHK1 inhibitors synergized with DNA-damaging agents to induce apoptosis, allowing cells to bypass the etoposide-induced G2/M arrest. Consistently, etoposide-induced CHK1-dependent phosphorylations of CDC25C on Ser 216 and histone H3 on Thr11 were decreased upon FLT3 inhibition. Accordingly, ectopic expression of CHK1 improved the resistance of FLT3-ITD cells and maintained histone H3 phosphorylation in response to DNA damage, whereas expression of unphosphorylated Ser 280Ala mutant did not. Finally, FLT3- and Pim-dependent phosphorylation of CHK1 on Ser 280 was confirmed in primary blasts from patients. These results identify a new pathway involved in the resistance of FLT3-ITD leukemic cells to genotoxic agents, and they constitute the first report of CHK1 Ser 280 regulation in myeloid malignancies.","DOI":"10.1038/leu.2013.168","ISSN":"1476-5551","note":"PMID: 23748345","journalAbbreviation":"Leukemia","language":"eng","author":[{"family":"Yuan","given":"L. L."},{"family":"Green","given":"A. S."},{"family":"Bertoli","given":"S."},{"family":"Grimal","given":"F."},{"family":"Mansat-De Mas","given":"V."},{"family":"Dozier","given":"C."},{"family":"Tamburini","given":"J."},{"family":"Récher","given":"C."},{"family":"Didier","given":"C."},{"family":"Manenti","given":"S."}],"issued":{"date-parts":[["2014",2]]}}}],"schema":"https://github.com/citation-style-language/schema/raw/master/csl-citation.json"} </w:instrText>
            </w:r>
            <w:r w:rsidR="00760C56" w:rsidRPr="008F7397">
              <w:rPr>
                <w:rFonts w:asciiTheme="majorBidi" w:hAnsiTheme="majorBidi" w:cstheme="majorBidi"/>
                <w:bCs/>
                <w:sz w:val="24"/>
                <w:szCs w:val="24"/>
              </w:rPr>
              <w:fldChar w:fldCharType="separate"/>
            </w:r>
            <w:r w:rsidR="005D7A0D" w:rsidRPr="008F7397">
              <w:rPr>
                <w:rFonts w:ascii="Times New Roman" w:hAnsi="Times New Roman" w:cs="Times New Roman"/>
                <w:sz w:val="24"/>
              </w:rPr>
              <w:t>[3]</w:t>
            </w:r>
            <w:r w:rsidR="00760C56" w:rsidRPr="008F7397">
              <w:rPr>
                <w:rFonts w:asciiTheme="majorBidi" w:hAnsiTheme="majorBidi" w:cstheme="majorBidi"/>
                <w:bCs/>
                <w:sz w:val="24"/>
                <w:szCs w:val="24"/>
              </w:rPr>
              <w:fldChar w:fldCharType="end"/>
            </w:r>
          </w:p>
        </w:tc>
      </w:tr>
      <w:tr w:rsidR="00183843" w:rsidRPr="008F7397" w:rsidTr="00133DC7">
        <w:trPr>
          <w:cantSplit/>
          <w:trHeight w:val="6643"/>
        </w:trPr>
        <w:tc>
          <w:tcPr>
            <w:tcW w:w="1173" w:type="dxa"/>
          </w:tcPr>
          <w:p w:rsidR="00183843" w:rsidRPr="008F7397" w:rsidRDefault="00183843" w:rsidP="00183843">
            <w:pPr>
              <w:rPr>
                <w:rFonts w:asciiTheme="majorBidi" w:hAnsiTheme="majorBidi" w:cstheme="majorBidi"/>
                <w:bCs/>
                <w:sz w:val="24"/>
                <w:szCs w:val="24"/>
              </w:rPr>
            </w:pPr>
            <w:r w:rsidRPr="008F7397">
              <w:rPr>
                <w:rFonts w:asciiTheme="majorBidi" w:hAnsiTheme="majorBidi" w:cstheme="majorBidi"/>
                <w:bCs/>
                <w:sz w:val="24"/>
                <w:szCs w:val="24"/>
              </w:rPr>
              <w:t>H3</w:t>
            </w:r>
          </w:p>
        </w:tc>
        <w:tc>
          <w:tcPr>
            <w:tcW w:w="1195" w:type="dxa"/>
          </w:tcPr>
          <w:p w:rsidR="00183843" w:rsidRPr="008F7397" w:rsidRDefault="00183843" w:rsidP="00183843">
            <w:pPr>
              <w:rPr>
                <w:rFonts w:asciiTheme="majorBidi" w:hAnsiTheme="majorBidi" w:cstheme="majorBidi"/>
                <w:bCs/>
                <w:sz w:val="24"/>
                <w:szCs w:val="24"/>
              </w:rPr>
            </w:pPr>
            <w:r w:rsidRPr="008F7397">
              <w:rPr>
                <w:rFonts w:asciiTheme="majorBidi" w:hAnsiTheme="majorBidi" w:cstheme="majorBidi"/>
                <w:bCs/>
                <w:sz w:val="24"/>
                <w:szCs w:val="24"/>
              </w:rPr>
              <w:t>AVG(CHK)</w:t>
            </w:r>
          </w:p>
        </w:tc>
        <w:tc>
          <w:tcPr>
            <w:tcW w:w="1709" w:type="dxa"/>
          </w:tcPr>
          <w:p w:rsidR="00183843" w:rsidRPr="008F7397" w:rsidRDefault="00183843" w:rsidP="00183843">
            <w:pPr>
              <w:rPr>
                <w:rFonts w:asciiTheme="majorBidi" w:hAnsiTheme="majorBidi" w:cstheme="majorBidi"/>
                <w:bCs/>
                <w:sz w:val="24"/>
                <w:szCs w:val="24"/>
              </w:rPr>
            </w:pPr>
            <w:r w:rsidRPr="008F7397">
              <w:rPr>
                <w:rFonts w:asciiTheme="majorBidi" w:hAnsiTheme="majorBidi" w:cstheme="majorBidi"/>
                <w:bCs/>
                <w:sz w:val="24"/>
                <w:szCs w:val="24"/>
              </w:rPr>
              <w:t>AVG(CHK)</w:t>
            </w:r>
          </w:p>
        </w:tc>
        <w:tc>
          <w:tcPr>
            <w:tcW w:w="4536" w:type="dxa"/>
          </w:tcPr>
          <w:p w:rsidR="00183843" w:rsidRPr="008F7397" w:rsidRDefault="00330657" w:rsidP="005D7A0D">
            <w:pPr>
              <w:rPr>
                <w:rFonts w:asciiTheme="majorBidi" w:hAnsiTheme="majorBidi" w:cstheme="majorBidi"/>
                <w:bCs/>
                <w:sz w:val="24"/>
                <w:szCs w:val="24"/>
              </w:rPr>
            </w:pPr>
            <w:r w:rsidRPr="008F7397">
              <w:rPr>
                <w:rFonts w:asciiTheme="majorBidi" w:hAnsiTheme="majorBidi" w:cstheme="majorBidi"/>
                <w:bCs/>
                <w:sz w:val="24"/>
                <w:szCs w:val="24"/>
              </w:rPr>
              <w:t xml:space="preserve">Chk phosphorylation on histone H3 derives cell survival </w:t>
            </w:r>
            <w:r w:rsidR="00760C56" w:rsidRPr="008F7397">
              <w:rPr>
                <w:rFonts w:asciiTheme="majorBidi" w:hAnsiTheme="majorBidi" w:cstheme="majorBidi"/>
                <w:bCs/>
                <w:sz w:val="24"/>
                <w:szCs w:val="24"/>
              </w:rPr>
              <w:fldChar w:fldCharType="begin"/>
            </w:r>
            <w:r w:rsidR="005D7A0D" w:rsidRPr="008F7397">
              <w:rPr>
                <w:rFonts w:asciiTheme="majorBidi" w:hAnsiTheme="majorBidi" w:cstheme="majorBidi"/>
                <w:bCs/>
                <w:sz w:val="24"/>
                <w:szCs w:val="24"/>
              </w:rPr>
              <w:instrText xml:space="preserve"> ADDIN ZOTERO_ITEM CSL_CITATION {"citationID":"2n0sca6np8","properties":{"formattedCitation":"[30]","plainCitation":"[30]"},"citationItems":[{"id":506,"uris":["http://zotero.org/users/2553926/items/CMM4Z32Q"],"uri":["http://zotero.org/users/2553926/items/CMM4Z32Q"],"itemData":{"id":506,"type":"article-journal","title":"CHK1-driven histone H3.3 serine 31 phosphorylation is important for chromatin maintenance and cell survival in human ALT cancer cells","container-title":"Nucleic Acids Research","page":"2603-2614","volume":"43","issue":"5","source":"PubMed","abstract":"Human ALT cancers show high mutation rates in ATRX and DAXX. Although it is well known that the absence of ATRX/DAXX disrupts H3.3 deposition at heterochromatin, its impact on H3.3 deposition and post-translational modification in the global genome remains unclear. Here, we explore the dynamics of phosphorylated H3.3 serine 31 (H3.3S31ph) in human ALT cancer cells. While H3.3S31ph is found only at pericentric satellite DNA repeats during mitosis in most somatic human cells, a high level of H3.3S31ph is detected on the entire chromosome in ALT cells, attributable to an elevated CHK1 activity in these cells. Drug inhibition of CHK1 activity during mitosis and expression of mutant H3.3S31A in these ALT cells result in a decrease in H3.3S31ph levels accompanied with increased levels of phosphorylated H2AX serine 139 on chromosome arms and at the telomeres. Furthermore, the inhibition of CHK1 activity in these cells also reduces cell viability. Our findings suggest a novel role of CHK1 as an H3.3S31 kinase, and that CHK1-mediated H3.3S31ph plays an important role in the maintenance of chromatin integrity and cell survival in ALT cancer cells.","DOI":"10.1093/nar/gkv104","ISSN":"1362-4962","note":"PMID: 25690891\nPMCID: PMC4357709","journalAbbreviation":"Nucleic Acids Res.","language":"eng","author":[{"family":"Chang","given":"Fiona T. M."},{"family":"Chan","given":"F. Lyn"},{"family":"R McGhie","given":"James D."},{"family":"Udugama","given":"Maheshi"},{"family":"Mayne","given":"Lynne"},{"family":"Collas","given":"Philippe"},{"family":"Mann","given":"Jeffrey R."},{"family":"Wong","given":"Lee H."}],"issued":{"date-parts":[["2015",3,11]]}}}],"schema":"https://github.com/citation-style-language/schema/raw/master/csl-citation.json"} </w:instrText>
            </w:r>
            <w:r w:rsidR="00760C56" w:rsidRPr="008F7397">
              <w:rPr>
                <w:rFonts w:asciiTheme="majorBidi" w:hAnsiTheme="majorBidi" w:cstheme="majorBidi"/>
                <w:bCs/>
                <w:sz w:val="24"/>
                <w:szCs w:val="24"/>
              </w:rPr>
              <w:fldChar w:fldCharType="separate"/>
            </w:r>
            <w:r w:rsidR="005D7A0D" w:rsidRPr="008F7397">
              <w:rPr>
                <w:rFonts w:ascii="Times New Roman" w:hAnsi="Times New Roman" w:cs="Times New Roman"/>
                <w:sz w:val="24"/>
              </w:rPr>
              <w:t>[30]</w:t>
            </w:r>
            <w:r w:rsidR="00760C56" w:rsidRPr="008F7397">
              <w:rPr>
                <w:rFonts w:asciiTheme="majorBidi" w:hAnsiTheme="majorBidi" w:cstheme="majorBidi"/>
                <w:bCs/>
                <w:sz w:val="24"/>
                <w:szCs w:val="24"/>
              </w:rPr>
              <w:fldChar w:fldCharType="end"/>
            </w:r>
          </w:p>
        </w:tc>
      </w:tr>
      <w:tr w:rsidR="00183843" w:rsidRPr="008F7397" w:rsidTr="00016195">
        <w:trPr>
          <w:cantSplit/>
          <w:trHeight w:val="162"/>
        </w:trPr>
        <w:tc>
          <w:tcPr>
            <w:tcW w:w="4077" w:type="dxa"/>
            <w:gridSpan w:val="3"/>
            <w:tcBorders>
              <w:left w:val="nil"/>
              <w:bottom w:val="nil"/>
              <w:right w:val="nil"/>
            </w:tcBorders>
          </w:tcPr>
          <w:p w:rsidR="00183843" w:rsidRPr="008F7397" w:rsidRDefault="00183843" w:rsidP="00017D03">
            <w:pPr>
              <w:rPr>
                <w:rFonts w:asciiTheme="majorBidi" w:hAnsiTheme="majorBidi" w:cstheme="majorBidi"/>
                <w:bCs/>
                <w:sz w:val="24"/>
                <w:szCs w:val="24"/>
              </w:rPr>
            </w:pPr>
          </w:p>
        </w:tc>
        <w:tc>
          <w:tcPr>
            <w:tcW w:w="4536" w:type="dxa"/>
            <w:tcBorders>
              <w:left w:val="nil"/>
              <w:bottom w:val="nil"/>
              <w:right w:val="nil"/>
            </w:tcBorders>
          </w:tcPr>
          <w:p w:rsidR="00183843" w:rsidRPr="008F7397" w:rsidRDefault="00183843" w:rsidP="00017D03">
            <w:pPr>
              <w:rPr>
                <w:rFonts w:asciiTheme="majorBidi" w:hAnsiTheme="majorBidi" w:cstheme="majorBidi"/>
                <w:bCs/>
                <w:sz w:val="24"/>
                <w:szCs w:val="24"/>
              </w:rPr>
            </w:pPr>
          </w:p>
        </w:tc>
      </w:tr>
      <w:tr w:rsidR="00183843" w:rsidRPr="008F7397" w:rsidTr="00016195">
        <w:trPr>
          <w:cantSplit/>
        </w:trPr>
        <w:tc>
          <w:tcPr>
            <w:tcW w:w="8613" w:type="dxa"/>
            <w:gridSpan w:val="4"/>
            <w:tcBorders>
              <w:top w:val="nil"/>
              <w:left w:val="nil"/>
              <w:right w:val="nil"/>
            </w:tcBorders>
          </w:tcPr>
          <w:p w:rsidR="00183843" w:rsidRPr="008F7397" w:rsidRDefault="00183843" w:rsidP="0004568F">
            <w:pPr>
              <w:rPr>
                <w:rFonts w:asciiTheme="majorBidi" w:hAnsiTheme="majorBidi" w:cstheme="majorBidi"/>
                <w:sz w:val="24"/>
                <w:szCs w:val="24"/>
                <w:lang w:val="en-US"/>
              </w:rPr>
            </w:pPr>
            <w:r w:rsidRPr="008F7397">
              <w:rPr>
                <w:rFonts w:asciiTheme="majorBidi" w:hAnsiTheme="majorBidi" w:cstheme="majorBidi"/>
                <w:b/>
                <w:sz w:val="24"/>
                <w:szCs w:val="24"/>
                <w:lang w:val="en-US"/>
              </w:rPr>
              <w:t>Table S</w:t>
            </w:r>
            <w:r w:rsidR="0004568F">
              <w:rPr>
                <w:rFonts w:asciiTheme="majorBidi" w:hAnsiTheme="majorBidi" w:cstheme="majorBidi"/>
                <w:b/>
                <w:sz w:val="24"/>
                <w:szCs w:val="24"/>
              </w:rPr>
              <w:t>8</w:t>
            </w:r>
            <w:r w:rsidRPr="008F7397">
              <w:rPr>
                <w:rFonts w:asciiTheme="majorBidi" w:hAnsiTheme="majorBidi" w:cstheme="majorBidi"/>
                <w:b/>
                <w:sz w:val="24"/>
                <w:szCs w:val="24"/>
              </w:rPr>
              <w:t xml:space="preserve"> Continue</w:t>
            </w:r>
            <w:r w:rsidRPr="008F7397">
              <w:rPr>
                <w:rFonts w:asciiTheme="majorBidi" w:hAnsiTheme="majorBidi" w:cstheme="majorBidi"/>
                <w:b/>
                <w:sz w:val="24"/>
                <w:szCs w:val="24"/>
                <w:lang w:val="en-US"/>
              </w:rPr>
              <w:t>. Target functions for AML general model and cell specific calibrated AML model</w:t>
            </w:r>
            <w:r w:rsidRPr="008F7397">
              <w:rPr>
                <w:rFonts w:asciiTheme="majorBidi" w:hAnsiTheme="majorBidi" w:cstheme="majorBidi"/>
                <w:sz w:val="24"/>
                <w:szCs w:val="24"/>
                <w:lang w:val="en-US"/>
              </w:rPr>
              <w:t>.</w:t>
            </w:r>
          </w:p>
        </w:tc>
      </w:tr>
      <w:tr w:rsidR="00183843" w:rsidRPr="008F7397" w:rsidTr="00183843">
        <w:trPr>
          <w:cantSplit/>
        </w:trPr>
        <w:tc>
          <w:tcPr>
            <w:tcW w:w="1173" w:type="dxa"/>
          </w:tcPr>
          <w:p w:rsidR="00183843" w:rsidRPr="008F7397" w:rsidRDefault="00183843" w:rsidP="00183843">
            <w:pPr>
              <w:rPr>
                <w:rFonts w:asciiTheme="majorBidi" w:hAnsiTheme="majorBidi" w:cstheme="majorBidi"/>
                <w:b/>
                <w:sz w:val="24"/>
                <w:szCs w:val="24"/>
              </w:rPr>
            </w:pPr>
            <w:r w:rsidRPr="008F7397">
              <w:rPr>
                <w:rFonts w:asciiTheme="majorBidi" w:hAnsiTheme="majorBidi" w:cstheme="majorBidi"/>
                <w:b/>
                <w:sz w:val="24"/>
                <w:szCs w:val="24"/>
              </w:rPr>
              <w:t>Protein/Node</w:t>
            </w:r>
          </w:p>
        </w:tc>
        <w:tc>
          <w:tcPr>
            <w:tcW w:w="1195" w:type="dxa"/>
          </w:tcPr>
          <w:p w:rsidR="00183843" w:rsidRPr="008F7397" w:rsidRDefault="00183843" w:rsidP="00183843">
            <w:pPr>
              <w:rPr>
                <w:rFonts w:asciiTheme="majorBidi" w:hAnsiTheme="majorBidi" w:cstheme="majorBidi"/>
                <w:b/>
                <w:sz w:val="24"/>
                <w:szCs w:val="24"/>
              </w:rPr>
            </w:pPr>
            <w:r w:rsidRPr="008F7397">
              <w:rPr>
                <w:rFonts w:asciiTheme="majorBidi" w:hAnsiTheme="majorBidi" w:cstheme="majorBidi"/>
                <w:b/>
                <w:sz w:val="24"/>
                <w:szCs w:val="24"/>
              </w:rPr>
              <w:t>GeneralModel</w:t>
            </w:r>
          </w:p>
        </w:tc>
        <w:tc>
          <w:tcPr>
            <w:tcW w:w="1709" w:type="dxa"/>
          </w:tcPr>
          <w:p w:rsidR="00183843" w:rsidRPr="008F7397" w:rsidRDefault="00183843" w:rsidP="00183843">
            <w:pPr>
              <w:rPr>
                <w:rFonts w:asciiTheme="majorBidi" w:hAnsiTheme="majorBidi" w:cstheme="majorBidi"/>
                <w:b/>
                <w:sz w:val="24"/>
                <w:szCs w:val="24"/>
              </w:rPr>
            </w:pPr>
            <w:r w:rsidRPr="008F7397">
              <w:rPr>
                <w:rFonts w:asciiTheme="majorBidi" w:hAnsiTheme="majorBidi" w:cstheme="majorBidi"/>
                <w:b/>
                <w:sz w:val="24"/>
                <w:szCs w:val="24"/>
              </w:rPr>
              <w:t>Cell Specific Model</w:t>
            </w:r>
          </w:p>
        </w:tc>
        <w:tc>
          <w:tcPr>
            <w:tcW w:w="4536" w:type="dxa"/>
          </w:tcPr>
          <w:p w:rsidR="00183843" w:rsidRPr="008F7397" w:rsidRDefault="00296C44" w:rsidP="000877AB">
            <w:pPr>
              <w:rPr>
                <w:rFonts w:asciiTheme="majorBidi" w:hAnsiTheme="majorBidi" w:cstheme="majorBidi"/>
                <w:sz w:val="24"/>
                <w:szCs w:val="24"/>
              </w:rPr>
            </w:pPr>
            <w:r w:rsidRPr="008F7397">
              <w:rPr>
                <w:rFonts w:asciiTheme="majorBidi" w:hAnsiTheme="majorBidi" w:cstheme="majorBidi"/>
                <w:b/>
                <w:sz w:val="24"/>
                <w:szCs w:val="24"/>
              </w:rPr>
              <w:t>Literature and Experimental Supporting Evidences</w:t>
            </w:r>
          </w:p>
        </w:tc>
      </w:tr>
      <w:tr w:rsidR="00183843" w:rsidRPr="008F7397" w:rsidTr="00016195">
        <w:trPr>
          <w:cantSplit/>
        </w:trPr>
        <w:tc>
          <w:tcPr>
            <w:tcW w:w="1173" w:type="dxa"/>
            <w:tcBorders>
              <w:bottom w:val="single" w:sz="4" w:space="0" w:color="auto"/>
            </w:tcBorders>
          </w:tcPr>
          <w:p w:rsidR="00183843" w:rsidRPr="008F7397" w:rsidRDefault="00183843" w:rsidP="00017D03">
            <w:pPr>
              <w:rPr>
                <w:rFonts w:asciiTheme="majorBidi" w:hAnsiTheme="majorBidi" w:cstheme="majorBidi"/>
                <w:bCs/>
                <w:sz w:val="24"/>
                <w:szCs w:val="24"/>
              </w:rPr>
            </w:pPr>
            <w:r w:rsidRPr="008F7397">
              <w:rPr>
                <w:rFonts w:asciiTheme="majorBidi" w:hAnsiTheme="majorBidi" w:cstheme="majorBidi"/>
                <w:bCs/>
                <w:sz w:val="24"/>
                <w:szCs w:val="24"/>
              </w:rPr>
              <w:lastRenderedPageBreak/>
              <w:t>cMyc</w:t>
            </w:r>
          </w:p>
        </w:tc>
        <w:tc>
          <w:tcPr>
            <w:tcW w:w="1195" w:type="dxa"/>
            <w:tcBorders>
              <w:bottom w:val="single" w:sz="4" w:space="0" w:color="auto"/>
            </w:tcBorders>
          </w:tcPr>
          <w:p w:rsidR="00183843" w:rsidRPr="008F7397" w:rsidRDefault="00183843" w:rsidP="00017D03">
            <w:pPr>
              <w:rPr>
                <w:rFonts w:asciiTheme="majorBidi" w:hAnsiTheme="majorBidi" w:cstheme="majorBidi"/>
                <w:bCs/>
                <w:sz w:val="24"/>
                <w:szCs w:val="24"/>
              </w:rPr>
            </w:pPr>
            <w:r w:rsidRPr="008F7397">
              <w:rPr>
                <w:rFonts w:asciiTheme="majorBidi" w:hAnsiTheme="majorBidi" w:cstheme="majorBidi"/>
                <w:bCs/>
                <w:sz w:val="24"/>
                <w:szCs w:val="24"/>
              </w:rPr>
              <w:t>AVG(FGFR1, PIM1, PIM2, H3)</w:t>
            </w:r>
          </w:p>
        </w:tc>
        <w:tc>
          <w:tcPr>
            <w:tcW w:w="1709" w:type="dxa"/>
            <w:tcBorders>
              <w:bottom w:val="single" w:sz="4" w:space="0" w:color="auto"/>
            </w:tcBorders>
          </w:tcPr>
          <w:p w:rsidR="00183843" w:rsidRPr="008F7397" w:rsidRDefault="00183843" w:rsidP="00017D03">
            <w:pPr>
              <w:rPr>
                <w:rFonts w:asciiTheme="majorBidi" w:hAnsiTheme="majorBidi" w:cstheme="majorBidi"/>
                <w:bCs/>
                <w:sz w:val="24"/>
                <w:szCs w:val="24"/>
              </w:rPr>
            </w:pPr>
            <w:r w:rsidRPr="008F7397">
              <w:rPr>
                <w:rFonts w:asciiTheme="majorBidi" w:hAnsiTheme="majorBidi" w:cstheme="majorBidi"/>
                <w:bCs/>
                <w:sz w:val="24"/>
                <w:szCs w:val="24"/>
              </w:rPr>
              <w:t>max(3/4*FGFR1,max(1,1/4*(max(PIM1,PIM2) + H3))</w:t>
            </w:r>
          </w:p>
        </w:tc>
        <w:tc>
          <w:tcPr>
            <w:tcW w:w="4536" w:type="dxa"/>
            <w:tcBorders>
              <w:bottom w:val="single" w:sz="4" w:space="0" w:color="auto"/>
            </w:tcBorders>
          </w:tcPr>
          <w:p w:rsidR="00183843" w:rsidRPr="008F7397" w:rsidRDefault="00183843" w:rsidP="005D7A0D">
            <w:pPr>
              <w:rPr>
                <w:rFonts w:asciiTheme="majorBidi" w:hAnsiTheme="majorBidi" w:cstheme="majorBidi"/>
                <w:sz w:val="24"/>
                <w:szCs w:val="24"/>
              </w:rPr>
            </w:pPr>
            <w:r w:rsidRPr="008F7397">
              <w:rPr>
                <w:rFonts w:asciiTheme="majorBidi" w:hAnsiTheme="majorBidi" w:cstheme="majorBidi"/>
                <w:sz w:val="24"/>
                <w:szCs w:val="24"/>
              </w:rPr>
              <w:t xml:space="preserve">cMyc is a traditional PIM kinase target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{"citationID":"QiUKPrTC","properties":{"formattedCitation":"[31], [32]","plainCitation":"[31], [32]"},"citationItems":[{"id":365,"uris":["http://zotero.org/users/2553926/items/BKPWTMJA"],"uri":["http://zotero.org/users/2553926/items/BKPWTMJA"],"itemData":{"id":365,"type":"article-journal","title":"Mechanisms of cytotoxicity to Pim kinase inhibitor, SGI-1776, in acute myeloid leukemia","container-title":"Blood","page":"693-702","volume":"118","issue":"3","source":"PubMed","abstract":"Pim kinases are Ser/Thr kinases with multiple substrates that affect survival pathways. These proteins are overexpressed in acute myeloid leukemia (AML) blasts and we hypothesized that Pim kinase inhibition would affect AML cell survival. Imidazo[1,2-b]pyridazine compound, SGI-1776 inhibits Pim-1, Pim-2 and Pim-3, and was evaluated in AML-cell line, -xenograft model, and -primary blasts. Treatment of AML cells with SGI-1776 results in a concentration-dependent induction of apoptosis and we investigated its effect on Pim kinase functions. Phosphorylation of traditional Pim kinase targets, c-Myc(Ser62) and 4E-BP1 (Thr36/Thr47), were both decreased in actively cycling AML cell lines MV-4-11, MOLM-13 and OCI-AML-3. Levels of antiapoptotic proteins Bcl-2, Bcl-x(L), XIAP, and proapoptotic Bak and Bax were unchanged; however, a significant reduction in Mcl-1 was observed. This was correlated with inhibition of global RNA and protein synthesis and MCL-1 transcript decline after SGI-1776 treatment. These data suggest that SGI-1776 mechanism in AML involves Mcl-1 protein reduction. Consistent with cell line data, xenograft model studies with mice bearing MV-4-11 tumors showed efficacy with SGI-1776. Importantly, SGI-1776 was also cytotoxic in AML primary cells, irrespective of FLT3 mutation status and resulted in Mcl-1 protein decline. Pim kinase inhibition may be a new strategy for AML treatment.","DOI":"10.1182/blood-2010-12-323022","ISSN":"1528-0020","note":"PMID: 21628411\nPMCID: PMC3142906","journalAbbreviation":"Blood","language":"eng","author":[{"family":"Chen","given":"Lisa S."},{"family":"Redkar","given":"Sanjeev"},{"family":"Taverna","given":"Pietro"},{"family":"Cortes","given":"Jorge E."},{"family":"Gandhi","given":"Varsha"}],"issued":{"date-parts":[["2011",7,21]]}},"label":"page"},{"id":367,"uris":["http://zotero.org/users/2553926/items/UXUHMVQK"],"uri":["http://zotero.org/users/2553926/items/UXUHMVQK"],"itemData":{"id":367,"type":"article-journal","title":"Transcription and translation are primary targets of Pim kinase inhibitor SGI-1776 in mantle cell lymphoma","container-title":"Blood","page":"3491-3500","volume":"120","issue":"17","source":"PubMed","abstract":"Proviral integration site for Moloney murine leukemia virus (Pim) kinases are serine/threonine/tyrosine kinases and oncoproteins that promote tumor progression. Three isoforms of Pim kinases have been identified and are known to phosphorylate numerous substrates, with regulatory functions in transcription, translation, cell cycle, and survival pathways. These kinases are involved in production, proliferation, and survival of normal B cells and are overexpressed in B-cell malignancies such as mantle cell lymphoma (MCL). SGI-1776 is a small molecule and Pim kinase inhibitor with selectivity for Pim-1. We hypothesize that Pim kinase function can be inhibited by SGI-1776 in MCL and that inhibition of phosphorylation of downstream substrates will disrupt transcriptional, translational, and cell cycle processes and promote cell death. SGI-1776 treatment in 4 MCL cell lines resulted in apoptosis induction. Phosphorylation of transcription (c-Myc) and translation targets (4E-BP1), tested in Jeko-1 and Mino, was declined. Consistent with these data, Mcl-1 and cyclin D1 protein levels were decreased. Importantly, similar to cell line data, MCL primary cells but not normal cells showed similar inhibition of substrate phosphorylation and cytotoxicity from SGI-1776 treatment. Genetic knockdown of Pim-1/Pim-2 affected similar proteins in MCL cell lines. Collectively these data demonstrate Pim kinases as therapeutic targets in MCL.","DOI":"10.1182/blood-2012-02-412643","ISSN":"1528-0020","note":"PMID: 22955922\nPMCID: PMC3482859","journalAbbreviation":"Blood","language":"eng","author":[{"family":"Yang","given":"Qingshan"},{"family":"Chen","given":"Lisa S."},{"family":"Neelapu","given":"Sattva S."},{"family":"Miranda","given":"Roberto N."},{"family":"Medeiros","given":"L. Jeffrey"},{"family":"Gandhi","given":"Varsha"}],"issued":{"date-parts":[["2012",10,25]]}},"label":"page"}],"schema":"https://github.com/citation-style-language/schema/raw/master/csl-citation.json"}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[31], [32]</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 xml:space="preserve">. It showed an expected consistent decrease in MOLM16, EOL1 and MV411 cell lines in response to PIM and FLT3 inhibiting treatments, as well as a synergic decrease for the combination of treatments (Fig 3B and 3D).  Chen et al.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eBUeyLBV","properties":{"formattedCitation":"[31]","plainCitation":"[31]"},"citationItems":[{"id":365,"uris":["http://zotero.org/users/2553926/items/BKPWTMJA"],"uri":["http://zotero.org/users/2553926/items/BKPWTMJA"],"itemData":{"id":365,"type":"article-journal","title":"Mechanisms of cytotoxicity to Pim kinase inhibitor, SGI-1776, in acute myeloid leukemia","container-title":"Blood","page":"693-702","volume":"118","issue":"3","source":"PubMed","abstract":"Pim kinases are Ser/Thr kinases with multiple substrates that affect survival pathways. These proteins are overexpressed in acute myeloid leukemia (AML) blasts and we hypothesized that Pim kinase inhibition would affect AML cell survival. Imidazo[1,2-b]pyridazine compound, SGI-1776 inhibits Pim-1, Pim-2 and Pim-3, and was evaluated in AML-cell line, -xenograft model, and -primary blasts. Treatment of AML cells with SGI-1776 results in a concentration-dependent induction of apoptosis and we investigated its effect on Pim kinase functions. Phosphorylation of traditional Pim kinase targets, c-Myc(Ser62) and 4E-BP1 (Thr36/Thr47), were both decreased in actively cycling AML cell lines MV-4-11, MOLM-13 and OCI-AML-3. Levels of antiapoptotic proteins Bcl-2, Bcl-x(L), XIAP, and proapoptotic Bak and Bax were unchanged; however, a significant reduction in Mcl-1 was observed. This was correlated with inhibition of global RNA and protein synthesis and MCL-1 transcript decline after SGI-1776 treatment. These data suggest that SGI-1776 mechanism in AML involves Mcl-1 protein reduction. Consistent with cell line data, xenograft model studies with mice bearing MV-4-11 tumors showed efficacy with SGI-1776. Importantly, SGI-1776 was also cytotoxic in AML primary cells, irrespective of FLT3 mutation status and resulted in Mcl-1 protein decline. Pim kinase inhibition may be a new strategy for AML treatment.","DOI":"10.1182/blood-2010-12-323022","ISSN":"1528-0020","note":"PMID: 21628411\nPMCID: PMC3142906","journalAbbreviation":"Blood","language":"eng","author":[{"family":"Chen","given":"Lisa S."},{"family":"Redkar","given":"Sanjeev"},{"family":"Taverna","given":"Pietro"},{"family":"Cortes","given":"Jorge E."},{"family":"Gandhi","given":"Varsha"}],"issued":{"date-parts":[["2011",7,21]]}}}],"schema":"https://github.com/citation-style-language/schema/raw/master/csl-citation.json"}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[31]</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 xml:space="preserve"> suggested that cMyc driven transcription is disrupted by PIMs inhibition, this may be because of decreased c-Myc phosphorylation and decreased histone H3 on Ser10 phosphorylation that is required for binding of Myc/Max dimers to the E-box31 and initiation of Myc-driven transcription. Yang et al. agree that PIM1 phosphorylation of Histone H3 at Ser10 is a necessary event for cMyc– driven transcription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6kpiqxO8","properties":{"formattedCitation":"[32]","plainCitation":"[32]"},"citationItems":[{"id":367,"uris":["http://zotero.org/users/2553926/items/UXUHMVQK"],"uri":["http://zotero.org/users/2553926/items/UXUHMVQK"],"itemData":{"id":367,"type":"article-journal","title":"Transcription and translation are primary targets of Pim kinase inhibitor SGI-1776 in mantle cell lymphoma","container-title":"Blood","page":"3491-3500","volume":"120","issue":"17","source":"PubMed","abstract":"Proviral integration site for Moloney murine leukemia virus (Pim) kinases are serine/threonine/tyrosine kinases and oncoproteins that promote tumor progression. Three isoforms of Pim kinases have been identified and are known to phosphorylate numerous substrates, with regulatory functions in transcription, translation, cell cycle, and survival pathways. These kinases are involved in production, proliferation, and survival of normal B cells and are overexpressed in B-cell malignancies such as mantle cell lymphoma (MCL). SGI-1776 is a small molecule and Pim kinase inhibitor with selectivity for Pim-1. We hypothesize that Pim kinase function can be inhibited by SGI-1776 in MCL and that inhibition of phosphorylation of downstream substrates will disrupt transcriptional, translational, and cell cycle processes and promote cell death. SGI-1776 treatment in 4 MCL cell lines resulted in apoptosis induction. Phosphorylation of transcription (c-Myc) and translation targets (4E-BP1), tested in Jeko-1 and Mino, was declined. Consistent with these data, Mcl-1 and cyclin D1 protein levels were decreased. Importantly, similar to cell line data, MCL primary cells but not normal cells showed similar inhibition of substrate phosphorylation and cytotoxicity from SGI-1776 treatment. Genetic knockdown of Pim-1/Pim-2 affected similar proteins in MCL cell lines. Collectively these data demonstrate Pim kinases as therapeutic targets in MCL.","DOI":"10.1182/blood-2012-02-412643","ISSN":"1528-0020","note":"PMID: 22955922\nPMCID: PMC3482859","journalAbbreviation":"Blood","language":"eng","author":[{"family":"Yang","given":"Qingshan"},{"family":"Chen","given":"Lisa S."},{"family":"Neelapu","given":"Sattva S."},{"family":"Miranda","given":"Roberto N."},{"family":"Medeiros","given":"L. Jeffrey"},{"family":"Gandhi","given":"Varsha"}],"issued":{"date-parts":[["2012",10,25]]}}}],"schema":"https://github.com/citation-style-language/schema/raw/master/csl-citation.json"}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[32]</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w:t>
            </w:r>
          </w:p>
          <w:p w:rsidR="00183843" w:rsidRPr="008F7397" w:rsidRDefault="00850C89" w:rsidP="005D7A0D">
            <w:pPr>
              <w:rPr>
                <w:rFonts w:asciiTheme="majorBidi" w:hAnsiTheme="majorBidi" w:cstheme="majorBidi"/>
                <w:sz w:val="24"/>
                <w:szCs w:val="24"/>
              </w:rPr>
            </w:pPr>
            <w:r w:rsidRPr="008F7397">
              <w:rPr>
                <w:rFonts w:asciiTheme="majorBidi" w:hAnsiTheme="majorBidi" w:cstheme="majorBidi"/>
                <w:sz w:val="24"/>
                <w:szCs w:val="24"/>
              </w:rPr>
              <w:t>For</w:t>
            </w:r>
            <w:r w:rsidR="00183843" w:rsidRPr="008F7397">
              <w:rPr>
                <w:rFonts w:asciiTheme="majorBidi" w:hAnsiTheme="majorBidi" w:cstheme="majorBidi"/>
                <w:sz w:val="24"/>
                <w:szCs w:val="24"/>
              </w:rPr>
              <w:t xml:space="preserve"> KG1a </w:t>
            </w:r>
            <w:r w:rsidRPr="008F7397">
              <w:rPr>
                <w:rFonts w:asciiTheme="majorBidi" w:hAnsiTheme="majorBidi" w:cstheme="majorBidi"/>
                <w:sz w:val="24"/>
                <w:szCs w:val="24"/>
              </w:rPr>
              <w:t>the abnoarmal high phophrylation level</w:t>
            </w:r>
            <w:r w:rsidR="00183843" w:rsidRPr="008F7397">
              <w:rPr>
                <w:rFonts w:asciiTheme="majorBidi" w:hAnsiTheme="majorBidi" w:cstheme="majorBidi"/>
                <w:sz w:val="24"/>
                <w:szCs w:val="24"/>
              </w:rPr>
              <w:t xml:space="preserve"> </w:t>
            </w:r>
            <w:r w:rsidRPr="008F7397">
              <w:rPr>
                <w:rFonts w:asciiTheme="majorBidi" w:hAnsiTheme="majorBidi" w:cstheme="majorBidi"/>
                <w:sz w:val="24"/>
                <w:szCs w:val="24"/>
              </w:rPr>
              <w:t xml:space="preserve">of cMyc remains so even in presence of </w:t>
            </w:r>
            <w:r w:rsidR="00183843" w:rsidRPr="008F7397">
              <w:rPr>
                <w:rFonts w:asciiTheme="majorBidi" w:hAnsiTheme="majorBidi" w:cstheme="majorBidi"/>
                <w:sz w:val="24"/>
                <w:szCs w:val="24"/>
              </w:rPr>
              <w:t>the various treatmnets (Fig 3D). We hypothesise that the high levels of cMyc derive the persistant insensitivity of KG1A</w:t>
            </w:r>
            <w:r w:rsidRPr="008F7397">
              <w:rPr>
                <w:rFonts w:asciiTheme="majorBidi" w:hAnsiTheme="majorBidi" w:cstheme="majorBidi"/>
                <w:sz w:val="24"/>
                <w:szCs w:val="24"/>
              </w:rPr>
              <w:t xml:space="preserve"> to the treatments</w:t>
            </w:r>
            <w:r w:rsidR="00183843" w:rsidRPr="008F7397">
              <w:rPr>
                <w:rFonts w:asciiTheme="majorBidi" w:hAnsiTheme="majorBidi" w:cstheme="majorBidi"/>
                <w:sz w:val="24"/>
                <w:szCs w:val="24"/>
              </w:rPr>
              <w:t xml:space="preserve">. The critical role  of cMyc in AML was charcterized alreqady in 2011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Uim1pc2R","properties":{"formattedCitation":"[33]","plainCitation":"[33]"},"citationItems":[{"id":372,"uris":["http://zotero.org/users/2553926/items/C5ECC5MR"],"uri":["http://zotero.org/users/2553926/items/C5ECC5MR"],"itemData":{"id":372,"type":"article-journal","title":"Critical Role of c-Myc in Acute Myeloid Leukemia Involving Direct Regulation of miR-26a and Histone Methyltransferase EZH2","container-title":"Genes &amp; Cancer","page":"585-592","volume":"2","issue":"5","source":"PubMed Central","abstract":"Increased expression or aberrant activation of c-Myc plays an important role in leukemogenesis. Here, we show that in acute myeloid leukemia (AML), c-Myc directly controls the expression of EZH2, a component of the Polycomb repressive complex 2, and miR-26a. miR-26a is downregulated in primary blasts from AML patients and, during myeloid differentiation of AML cells, is induced together with a decrease in c-Myc and Ezh2 levels. Previously, EZH2 was shown to be regulated by miR-26a at the translational levels in lymphomas. However, we demonstrate that in AML, the variation of EZH2 mainly depends on c-Myc transcriptional control. We also show that enforced expression of miR-26a in AML cells is able to inhibit cell cycle progression by downregulating cyclin E2 expression. In addition, increased levels of miR-26a potentiate the antiproliferative effects of 1,25-dihydroxyvitamin D3 (VitD) and stimulate myeloid differentiation. Our results identify new molecular targets of c-Myc in AML and highlight miR-26a attractiveness as a therapeutic target in leukemia.","DOI":"10.1177/1947601911416357","ISSN":"1947-6019","note":"PMID: 21901171\nPMCID: PMC3161419","journalAbbreviation":"Genes Cancer","author":[{"family":"Salvatori","given":"Beatrice"},{"family":"Iosue","given":"Ilaria"},{"family":"Djodji Damas","given":"Nkerorema"},{"family":"Mangiavacchi","given":"Arianna"},{"family":"Chiaretti","given":"Sabina"},{"family":"Messina","given":"Monica"},{"family":"Padula","given":"Fabrizio"},{"family":"Guarini","given":"Anna"},{"family":"Bozzoni","given":"Irene"},{"family":"Fazi","given":"Francesco"},{"family":"Fatica","given":"Alessandro"}],"issued":{"date-parts":[["2011",5]]}}}],"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[33]</w:t>
            </w:r>
            <w:r w:rsidR="00760C56" w:rsidRPr="008F7397">
              <w:rPr>
                <w:rFonts w:asciiTheme="majorBidi" w:hAnsiTheme="majorBidi" w:cstheme="majorBidi"/>
                <w:sz w:val="24"/>
                <w:szCs w:val="24"/>
              </w:rPr>
              <w:fldChar w:fldCharType="end"/>
            </w:r>
            <w:r w:rsidR="00183843" w:rsidRPr="008F7397">
              <w:rPr>
                <w:rFonts w:asciiTheme="majorBidi" w:hAnsiTheme="majorBidi" w:cstheme="majorBidi"/>
                <w:sz w:val="24"/>
                <w:szCs w:val="24"/>
              </w:rPr>
              <w:t>, yet not its connection to FGFR1</w:t>
            </w:r>
            <w:r w:rsidR="00C75DCF" w:rsidRPr="008F7397">
              <w:rPr>
                <w:rFonts w:asciiTheme="majorBidi" w:hAnsiTheme="majorBidi" w:cstheme="majorBidi"/>
                <w:sz w:val="24"/>
                <w:szCs w:val="24"/>
              </w:rPr>
              <w:t xml:space="preserve"> fusion, harboured in KG1A</w:t>
            </w:r>
            <w:r w:rsidR="00183843" w:rsidRPr="008F7397">
              <w:rPr>
                <w:rFonts w:asciiTheme="majorBidi" w:hAnsiTheme="majorBidi" w:cstheme="majorBidi"/>
                <w:sz w:val="24"/>
                <w:szCs w:val="24"/>
              </w:rPr>
              <w:t>. In a study done on stem cells it was found that</w:t>
            </w:r>
            <w:r w:rsidR="00C75DCF" w:rsidRPr="008F7397">
              <w:rPr>
                <w:rFonts w:asciiTheme="majorBidi" w:hAnsiTheme="majorBidi" w:cstheme="majorBidi"/>
                <w:sz w:val="24"/>
                <w:szCs w:val="24"/>
              </w:rPr>
              <w:t xml:space="preserve"> wild type</w:t>
            </w:r>
            <w:r w:rsidR="00183843" w:rsidRPr="008F7397">
              <w:rPr>
                <w:rFonts w:asciiTheme="majorBidi" w:hAnsiTheme="majorBidi" w:cstheme="majorBidi"/>
                <w:sz w:val="24"/>
                <w:szCs w:val="24"/>
              </w:rPr>
              <w:t xml:space="preserve"> FGFR1 stimulates cMyc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kiECkmsp","properties":{"formattedCitation":"[34]","plainCitation":"[34]"},"citationItems":[{"id":375,"uris":["http://zotero.org/users/2553926/items/VCB257D3"],"uri":["http://zotero.org/users/2553926/items/VCB257D3"],"itemData":{"id":375,"type":"article-journal","title":"FGFR1 Signaling Stimulates Proliferation of Human Mesenchymal Stem Cells by Inhibiting the Cyclin-Dependent Kinase Inhibitors p21Waf1 and p27Kip1","container-title":"STEM CELLS","page":"2724-2736","volume":"31","issue":"12","source":"Wiley Online Library","abstract":"Signaling through fibroblast growth factor receptor one (FGFR1) is a known inducer of proliferation in both embryonic and human adult mesenchymal stem cells (hMSCs) and positively regulates maintenance of stem cell viability. Leveraging the mitogenic potential of FGF2/FGFR1 signaling in stem cells for therapeutic applications necessitates a mechanistic understanding of how this receptor stimulates cell cycle progression. Using small interfering RNA (siRNA) depletion, antibody-inhibition, and small molecule inhibition, we establish that FGFR1 activity is rate limiting for self-renewal of hMSCs. We show that FGFR1 promotes stem cell proliferation through multiple mechanisms that unite to antagonize cyclin-dependent kinase (CDK) inhibitors. FGFR1 not only stimulates c-Myc to suppress transcription of the CDK inhibitors p21Waf1 and p27Kip1, thus promoting cell cycle progression but also increases the activity of protein kinase B (AKT) and the level of S-phase kinase-associated protein 2 (Skp2), resulting in the nuclear exclusion and reduction of p21Waf1. The in vivo importance of FGFR1 signaling for the control of proliferation in mesenchymal progenitor populations is underscored by defects in ventral mesoderm formation during development upon inhibition of its signaling. Collectively, these studies demonstrate that FGFR1 signaling mediates the continuation of MSC growth and establishes a receptor target for enhancing the expansion of mesenchymal progenitors while maintaining their multilineage potential. Stem Cells 2013;31:2724–2736","DOI":"10.1002/stem.1514","ISSN":"1549-4918","journalAbbreviation":"Stem Cells","language":"en","author":[{"family":"Dombrowski","given":"Christian"},{"family":"Helledie","given":"Torben"},{"family":"Ling","given":"Ling"},{"family":"Grünert","given":"Martin"},{"family":"Canning","given":"Claire A."},{"family":"Jones","given":"C. Michael"},{"family":"Hui","given":"James H."},{"family":"Nurcombe","given":"Victor"},{"family":"Wijnen","given":"Andre J.","non-dropping-particle":"van"},{"family":"Cool","given":"Simon M."}],"issued":{"date-parts":[["2013",12,1]]}}}],"schema":"https://github.com/citation-style-language/schema/raw/master/csl-citation.json"}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[34]</w:t>
            </w:r>
            <w:r w:rsidR="00760C56" w:rsidRPr="008F7397">
              <w:rPr>
                <w:rFonts w:asciiTheme="majorBidi" w:hAnsiTheme="majorBidi" w:cstheme="majorBidi"/>
                <w:sz w:val="24"/>
                <w:szCs w:val="24"/>
              </w:rPr>
              <w:fldChar w:fldCharType="end"/>
            </w:r>
            <w:r w:rsidR="00183843" w:rsidRPr="008F7397">
              <w:rPr>
                <w:rFonts w:asciiTheme="majorBidi" w:hAnsiTheme="majorBidi" w:cstheme="majorBidi"/>
                <w:sz w:val="24"/>
                <w:szCs w:val="24"/>
              </w:rPr>
              <w:t xml:space="preserve">. Very recently, subsequent of writing this paper, an independant study by Ozretic et al.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I6OV4lRf","properties":{"formattedCitation":"[35]","plainCitation":"[35]"},"citationItems":[{"id":369,"uris":["http://zotero.org/users/2553926/items/NPWGGM3M"],"uri":["http://zotero.org/users/2553926/items/NPWGGM3M"],"itemData":{"id":369,"type":"article-journal","title":"FGFR1 amplification and co-overexpression of c-MYC in oropharyngeal squamous cell carcinoma","container-title":"Oral Oncology","page":"e7-e9","volume":"54","source":"ScienceDirect","DOI":"10.1016/j.oraloncology.2015.12.006","ISSN":"1368-8375","journalAbbreviation":"Oral Oncology","author":[{"family":"Ozretić","given":"L."},{"family":"Wagner","given":"S."},{"family":"Huebbers","given":"C. U."},{"family":"Gattenlöhner","given":"S."},{"family":"Klussmann","given":"J. P."},{"family":"Beutner","given":"D."},{"family":"Zander","given":"T."},{"family":"Buettner","given":"R."},{"family":"Quaas","given":"A."}],"issued":{"date-parts":[["2016",3]]}}}],"schema":"https://github.com/citation-style-language/schema/raw/master/csl-citation.json"}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[35]</w:t>
            </w:r>
            <w:r w:rsidR="00760C56" w:rsidRPr="008F7397">
              <w:rPr>
                <w:rFonts w:asciiTheme="majorBidi" w:hAnsiTheme="majorBidi" w:cstheme="majorBidi"/>
                <w:sz w:val="24"/>
                <w:szCs w:val="24"/>
              </w:rPr>
              <w:fldChar w:fldCharType="end"/>
            </w:r>
            <w:r w:rsidR="00183843" w:rsidRPr="008F7397">
              <w:rPr>
                <w:rFonts w:asciiTheme="majorBidi" w:hAnsiTheme="majorBidi" w:cstheme="majorBidi"/>
                <w:sz w:val="24"/>
                <w:szCs w:val="24"/>
              </w:rPr>
              <w:t xml:space="preserve"> demonstrated the interplay of FGFR1 and cMyc overexpression in Head and neck squamous cell carcinoma. Recently, Malchers et al.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E45c0Xtd","properties":{"formattedCitation":"[36]","plainCitation":"[36]"},"citationItems":[{"id":378,"uris":["http://zotero.org/users/2553926/items/MH59ERKF"],"uri":["http://zotero.org/users/2553926/items/MH59ERKF"],"itemData":{"id":378,"type":"article-journal","title":"Cell-autonomous and non-cell-autonomous mechanisms of transformation by amplified FGFR1 in lung cancer","container-title":"Cancer Discovery","page":"246-257","volume":"4","issue":"2","source":"PubMed","abstract":"The 8p12 locus (containing the FGFR1 tyrosine kinase gene) is frequently amplified in squamous cell lung cancer. However, it is currently unknown which of the 8p12-amplified tumors are also sensitive to fibroblast growth factor receptor (FGFR) inhibition. We found that, in contrast with other recurrent amplifications, the 8p12 region included multiple centers of amplification, suggesting marked genomic heterogeneity. FGFR1-amplified tumor cells were dependent on FGFR ligands in vitro and in vivo. Furthermore, ectopic expression of FGFR1 was oncogenic, which was enhanced by expression of MYC. We found that MYC was coexpressed in 40% of FGFR1-amplified tumors. Tumor cells coexpressing MYC were more sensitive to FGFR inhibition, suggesting that patients with FGFR1-amplified and MYC-overexpressing tumors may benefit from FGFR inhibitor therapy. Thus, both cell-autonomous and non-cell-autonomous mechanisms of transformation modulate FGFR dependency in FGFR1-amplified lung cancer, which may have implications for patient selection for treatment with FGFR inhibitors.\nSIGNIFICANCE: Amplification of FGFR1 is one of the most frequent candidate targets in lung cancer. Here, we show that multiple factors affect the tumorigenic potential of FGFR1, thus providing clinical hypotheses for refinement of patient selection.","DOI":"10.1158/2159-8290.CD-13-0323","ISSN":"2159-8290","note":"PMID: 24302556","journalAbbreviation":"Cancer Discov","language":"eng","author":[{"family":"Malchers","given":"Florian"},{"family":"Dietlein","given":"Felix"},{"family":"Schöttle","given":"Jakob"},{"family":"Lu","given":"Xin"},{"family":"Nogova","given":"Lucia"},{"family":"Albus","given":"Kerstin"},{"family":"Fernandez-Cuesta","given":"Lynnette"},{"family":"Heuckmann","given":"Johannes M."},{"family":"Gautschi","given":"Oliver"},{"family":"Diebold","given":"Joachim"},{"family":"Plenker","given":"Dennis"},{"family":"Gardizi","given":"Masyar"},{"family":"Scheffler","given":"Matthias"},{"family":"Bos","given":"Marc"},{"family":"Seidel","given":"Danila"},{"family":"Leenders","given":"Frauke"},{"family":"Richters","given":"André"},{"family":"Peifer","given":"Martin"},{"family":"Florin","given":"Alexandra"},{"family":"Mainkar","given":"Prathama S."},{"family":"Karre","given":"Nagaraju"},{"family":"Chandrasekhar","given":"Srivari"},{"family":"George","given":"Julie"},{"family":"Silling","given":"Steffi"},{"family":"Rauh","given":"Daniel"},{"family":"Zander","given":"Thomas"},{"family":"Ullrich","given":"Roland T."},{"family":"Reinhardt","given":"H. Christian"},{"family":"Ringeisen","given":"Francois"},{"family":"Büttner","given":"Reinhard"},{"family":"Heukamp","given":"Lukas C."},{"family":"Wolf","given":"Jürgen"},{"family":"Thomas","given":"Roman K."}],"issued":{"date-parts":[["2014",2]]}}}],"schema":"https://github.com/citation-style-language/schema/raw/master/csl-citation.json"}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[36]</w:t>
            </w:r>
            <w:r w:rsidR="00760C56" w:rsidRPr="008F7397">
              <w:rPr>
                <w:rFonts w:asciiTheme="majorBidi" w:hAnsiTheme="majorBidi" w:cstheme="majorBidi"/>
                <w:sz w:val="24"/>
                <w:szCs w:val="24"/>
              </w:rPr>
              <w:fldChar w:fldCharType="end"/>
            </w:r>
            <w:r w:rsidR="00183843" w:rsidRPr="008F7397">
              <w:rPr>
                <w:rFonts w:asciiTheme="majorBidi" w:hAnsiTheme="majorBidi" w:cstheme="majorBidi"/>
                <w:sz w:val="24"/>
                <w:szCs w:val="24"/>
              </w:rPr>
              <w:t xml:space="preserve"> suggested the expres</w:t>
            </w:r>
            <w:r w:rsidR="00C75DCF" w:rsidRPr="008F7397">
              <w:rPr>
                <w:rFonts w:asciiTheme="majorBidi" w:hAnsiTheme="majorBidi" w:cstheme="majorBidi"/>
                <w:sz w:val="24"/>
                <w:szCs w:val="24"/>
              </w:rPr>
              <w:t>sion of cMyc in FGFR1 amplified</w:t>
            </w:r>
            <w:r w:rsidR="00183843" w:rsidRPr="008F7397">
              <w:rPr>
                <w:rFonts w:asciiTheme="majorBidi" w:hAnsiTheme="majorBidi" w:cstheme="majorBidi"/>
                <w:sz w:val="24"/>
                <w:szCs w:val="24"/>
              </w:rPr>
              <w:t xml:space="preserve"> squamo</w:t>
            </w:r>
            <w:r w:rsidR="00C75DCF" w:rsidRPr="008F7397">
              <w:rPr>
                <w:rFonts w:asciiTheme="majorBidi" w:hAnsiTheme="majorBidi" w:cstheme="majorBidi"/>
                <w:sz w:val="24"/>
                <w:szCs w:val="24"/>
              </w:rPr>
              <w:t>us cell lung cancer cell lines i</w:t>
            </w:r>
            <w:r w:rsidR="00183843" w:rsidRPr="008F7397">
              <w:rPr>
                <w:rFonts w:asciiTheme="majorBidi" w:hAnsiTheme="majorBidi" w:cstheme="majorBidi"/>
                <w:sz w:val="24"/>
                <w:szCs w:val="24"/>
              </w:rPr>
              <w:t xml:space="preserve">s a good predictor of therapy response to FGFR1 inhibitors, which could suggest </w:t>
            </w:r>
            <w:r w:rsidR="00C75DCF" w:rsidRPr="008F7397">
              <w:rPr>
                <w:rFonts w:asciiTheme="majorBidi" w:hAnsiTheme="majorBidi" w:cstheme="majorBidi"/>
                <w:sz w:val="24"/>
                <w:szCs w:val="24"/>
              </w:rPr>
              <w:t xml:space="preserve">that expression of cMyc in </w:t>
            </w:r>
            <w:r w:rsidR="00183843" w:rsidRPr="008F7397">
              <w:rPr>
                <w:rFonts w:asciiTheme="majorBidi" w:hAnsiTheme="majorBidi" w:cstheme="majorBidi"/>
                <w:sz w:val="24"/>
                <w:szCs w:val="24"/>
              </w:rPr>
              <w:t xml:space="preserve">AML patients harbouring  FGFR1 fusion may </w:t>
            </w:r>
            <w:r w:rsidR="00C75DCF" w:rsidRPr="008F7397">
              <w:rPr>
                <w:rFonts w:asciiTheme="majorBidi" w:hAnsiTheme="majorBidi" w:cstheme="majorBidi"/>
                <w:sz w:val="24"/>
                <w:szCs w:val="24"/>
              </w:rPr>
              <w:t>serve as a good indicator to response to FGFR1 inhibition</w:t>
            </w:r>
            <w:r w:rsidR="00183843" w:rsidRPr="008F7397">
              <w:rPr>
                <w:rFonts w:asciiTheme="majorBidi" w:hAnsiTheme="majorBidi" w:cstheme="majorBidi"/>
                <w:sz w:val="24"/>
                <w:szCs w:val="24"/>
              </w:rPr>
              <w:t xml:space="preserve">. </w:t>
            </w:r>
          </w:p>
        </w:tc>
      </w:tr>
      <w:tr w:rsidR="00016195" w:rsidRPr="008F7397" w:rsidTr="00016195">
        <w:trPr>
          <w:cantSplit/>
          <w:trHeight w:val="1149"/>
        </w:trPr>
        <w:tc>
          <w:tcPr>
            <w:tcW w:w="8613" w:type="dxa"/>
            <w:gridSpan w:val="4"/>
            <w:tcBorders>
              <w:left w:val="nil"/>
              <w:bottom w:val="nil"/>
              <w:right w:val="nil"/>
            </w:tcBorders>
          </w:tcPr>
          <w:p w:rsidR="00016195" w:rsidRPr="008F7397" w:rsidRDefault="00016195" w:rsidP="00E24644">
            <w:pPr>
              <w:rPr>
                <w:rFonts w:asciiTheme="majorBidi" w:hAnsiTheme="majorBidi" w:cstheme="majorBidi"/>
                <w:bCs/>
                <w:sz w:val="24"/>
                <w:szCs w:val="24"/>
              </w:rPr>
            </w:pPr>
          </w:p>
        </w:tc>
      </w:tr>
      <w:tr w:rsidR="00183843" w:rsidRPr="008F7397" w:rsidTr="00016195">
        <w:trPr>
          <w:cantSplit/>
          <w:trHeight w:val="293"/>
        </w:trPr>
        <w:tc>
          <w:tcPr>
            <w:tcW w:w="8613" w:type="dxa"/>
            <w:gridSpan w:val="4"/>
            <w:tcBorders>
              <w:top w:val="nil"/>
              <w:left w:val="nil"/>
              <w:bottom w:val="nil"/>
              <w:right w:val="nil"/>
            </w:tcBorders>
          </w:tcPr>
          <w:p w:rsidR="00183843" w:rsidRPr="008F7397" w:rsidRDefault="00183843" w:rsidP="0004568F">
            <w:pPr>
              <w:rPr>
                <w:rFonts w:asciiTheme="majorBidi" w:hAnsiTheme="majorBidi" w:cstheme="majorBidi"/>
                <w:bCs/>
                <w:sz w:val="24"/>
                <w:szCs w:val="24"/>
                <w:lang w:val="en-US"/>
              </w:rPr>
            </w:pPr>
            <w:r w:rsidRPr="008F7397">
              <w:rPr>
                <w:rFonts w:asciiTheme="majorBidi" w:hAnsiTheme="majorBidi" w:cstheme="majorBidi"/>
                <w:b/>
                <w:sz w:val="24"/>
                <w:szCs w:val="24"/>
                <w:lang w:val="en-US"/>
              </w:rPr>
              <w:t>Table S</w:t>
            </w:r>
            <w:r w:rsidR="0004568F">
              <w:rPr>
                <w:rFonts w:asciiTheme="majorBidi" w:hAnsiTheme="majorBidi" w:cstheme="majorBidi"/>
                <w:b/>
                <w:sz w:val="24"/>
                <w:szCs w:val="24"/>
              </w:rPr>
              <w:t>8</w:t>
            </w:r>
            <w:r w:rsidRPr="008F7397">
              <w:rPr>
                <w:rFonts w:asciiTheme="majorBidi" w:hAnsiTheme="majorBidi" w:cstheme="majorBidi"/>
                <w:b/>
                <w:sz w:val="24"/>
                <w:szCs w:val="24"/>
              </w:rPr>
              <w:t xml:space="preserve"> Continue</w:t>
            </w:r>
            <w:r w:rsidRPr="008F7397">
              <w:rPr>
                <w:rFonts w:asciiTheme="majorBidi" w:hAnsiTheme="majorBidi" w:cstheme="majorBidi"/>
                <w:b/>
                <w:sz w:val="24"/>
                <w:szCs w:val="24"/>
                <w:lang w:val="en-US"/>
              </w:rPr>
              <w:t>. Target functions for AML general model and cell specific calibrated AML model</w:t>
            </w:r>
            <w:r w:rsidRPr="008F7397">
              <w:rPr>
                <w:rFonts w:asciiTheme="majorBidi" w:hAnsiTheme="majorBidi" w:cstheme="majorBidi"/>
                <w:sz w:val="24"/>
                <w:szCs w:val="24"/>
                <w:lang w:val="en-US"/>
              </w:rPr>
              <w:t>.</w:t>
            </w:r>
          </w:p>
        </w:tc>
      </w:tr>
      <w:tr w:rsidR="00183843" w:rsidRPr="008F7397" w:rsidTr="00183843">
        <w:trPr>
          <w:cantSplit/>
        </w:trPr>
        <w:tc>
          <w:tcPr>
            <w:tcW w:w="1173" w:type="dxa"/>
          </w:tcPr>
          <w:p w:rsidR="00183843" w:rsidRPr="008F7397" w:rsidRDefault="00183843" w:rsidP="00183843">
            <w:pPr>
              <w:rPr>
                <w:rFonts w:asciiTheme="majorBidi" w:hAnsiTheme="majorBidi" w:cstheme="majorBidi"/>
                <w:b/>
                <w:sz w:val="24"/>
                <w:szCs w:val="24"/>
              </w:rPr>
            </w:pPr>
            <w:r w:rsidRPr="008F7397">
              <w:rPr>
                <w:rFonts w:asciiTheme="majorBidi" w:hAnsiTheme="majorBidi" w:cstheme="majorBidi"/>
                <w:b/>
                <w:sz w:val="24"/>
                <w:szCs w:val="24"/>
              </w:rPr>
              <w:t>Protein/Node</w:t>
            </w:r>
          </w:p>
        </w:tc>
        <w:tc>
          <w:tcPr>
            <w:tcW w:w="1195" w:type="dxa"/>
          </w:tcPr>
          <w:p w:rsidR="00183843" w:rsidRPr="008F7397" w:rsidRDefault="00183843" w:rsidP="00183843">
            <w:pPr>
              <w:rPr>
                <w:rFonts w:asciiTheme="majorBidi" w:hAnsiTheme="majorBidi" w:cstheme="majorBidi"/>
                <w:b/>
                <w:sz w:val="24"/>
                <w:szCs w:val="24"/>
              </w:rPr>
            </w:pPr>
            <w:r w:rsidRPr="008F7397">
              <w:rPr>
                <w:rFonts w:asciiTheme="majorBidi" w:hAnsiTheme="majorBidi" w:cstheme="majorBidi"/>
                <w:b/>
                <w:sz w:val="24"/>
                <w:szCs w:val="24"/>
              </w:rPr>
              <w:t>GeneralModel</w:t>
            </w:r>
          </w:p>
        </w:tc>
        <w:tc>
          <w:tcPr>
            <w:tcW w:w="1709" w:type="dxa"/>
          </w:tcPr>
          <w:p w:rsidR="00183843" w:rsidRPr="008F7397" w:rsidRDefault="00183843" w:rsidP="00183843">
            <w:pPr>
              <w:rPr>
                <w:rFonts w:asciiTheme="majorBidi" w:hAnsiTheme="majorBidi" w:cstheme="majorBidi"/>
                <w:b/>
                <w:sz w:val="24"/>
                <w:szCs w:val="24"/>
              </w:rPr>
            </w:pPr>
            <w:r w:rsidRPr="008F7397">
              <w:rPr>
                <w:rFonts w:asciiTheme="majorBidi" w:hAnsiTheme="majorBidi" w:cstheme="majorBidi"/>
                <w:b/>
                <w:sz w:val="24"/>
                <w:szCs w:val="24"/>
              </w:rPr>
              <w:t>Cell Specific Model</w:t>
            </w:r>
          </w:p>
        </w:tc>
        <w:tc>
          <w:tcPr>
            <w:tcW w:w="4536" w:type="dxa"/>
          </w:tcPr>
          <w:p w:rsidR="00183843" w:rsidRPr="008F7397" w:rsidRDefault="00296C44" w:rsidP="00183843">
            <w:pPr>
              <w:rPr>
                <w:rFonts w:asciiTheme="majorBidi" w:hAnsiTheme="majorBidi" w:cstheme="majorBidi"/>
                <w:sz w:val="24"/>
                <w:szCs w:val="24"/>
              </w:rPr>
            </w:pPr>
            <w:r w:rsidRPr="008F7397">
              <w:rPr>
                <w:rFonts w:asciiTheme="majorBidi" w:hAnsiTheme="majorBidi" w:cstheme="majorBidi"/>
                <w:b/>
                <w:sz w:val="24"/>
                <w:szCs w:val="24"/>
              </w:rPr>
              <w:t>Literature and Experimental Supporting Evidences</w:t>
            </w:r>
          </w:p>
        </w:tc>
      </w:tr>
      <w:tr w:rsidR="00133DC7" w:rsidRPr="008F7397" w:rsidTr="00183843">
        <w:trPr>
          <w:cantSplit/>
        </w:trPr>
        <w:tc>
          <w:tcPr>
            <w:tcW w:w="1173" w:type="dxa"/>
          </w:tcPr>
          <w:p w:rsidR="00133DC7" w:rsidRPr="008F7397" w:rsidRDefault="00133DC7" w:rsidP="00E24644">
            <w:pPr>
              <w:rPr>
                <w:rFonts w:asciiTheme="majorBidi" w:hAnsiTheme="majorBidi" w:cstheme="majorBidi"/>
                <w:bCs/>
                <w:sz w:val="24"/>
                <w:szCs w:val="24"/>
              </w:rPr>
            </w:pPr>
            <w:r w:rsidRPr="008F7397">
              <w:rPr>
                <w:rFonts w:asciiTheme="majorBidi" w:hAnsiTheme="majorBidi" w:cstheme="majorBidi"/>
                <w:bCs/>
                <w:sz w:val="24"/>
                <w:szCs w:val="24"/>
              </w:rPr>
              <w:lastRenderedPageBreak/>
              <w:t>P27</w:t>
            </w:r>
          </w:p>
        </w:tc>
        <w:tc>
          <w:tcPr>
            <w:tcW w:w="1195" w:type="dxa"/>
          </w:tcPr>
          <w:p w:rsidR="00133DC7" w:rsidRPr="008F7397" w:rsidRDefault="00133DC7" w:rsidP="00E24644">
            <w:pPr>
              <w:rPr>
                <w:rFonts w:asciiTheme="majorBidi" w:hAnsiTheme="majorBidi" w:cstheme="majorBidi"/>
                <w:bCs/>
                <w:sz w:val="24"/>
                <w:szCs w:val="24"/>
              </w:rPr>
            </w:pPr>
            <w:r w:rsidRPr="008F7397">
              <w:rPr>
                <w:rFonts w:asciiTheme="majorBidi" w:hAnsiTheme="majorBidi" w:cstheme="majorBidi"/>
                <w:bCs/>
                <w:sz w:val="24"/>
                <w:szCs w:val="24"/>
              </w:rPr>
              <w:t>AVG(PIM1, PIM2, FOXO3)</w:t>
            </w:r>
          </w:p>
        </w:tc>
        <w:tc>
          <w:tcPr>
            <w:tcW w:w="1709" w:type="dxa"/>
          </w:tcPr>
          <w:p w:rsidR="00133DC7" w:rsidRPr="008F7397" w:rsidRDefault="00133DC7" w:rsidP="00B1029D">
            <w:pPr>
              <w:rPr>
                <w:rFonts w:asciiTheme="majorBidi" w:hAnsiTheme="majorBidi" w:cstheme="majorBidi"/>
                <w:bCs/>
                <w:sz w:val="24"/>
                <w:szCs w:val="24"/>
              </w:rPr>
            </w:pPr>
            <w:r w:rsidRPr="008F7397">
              <w:rPr>
                <w:rFonts w:asciiTheme="majorBidi" w:hAnsiTheme="majorBidi" w:cstheme="majorBidi"/>
                <w:bCs/>
                <w:sz w:val="24"/>
                <w:szCs w:val="24"/>
              </w:rPr>
              <w:t>max(1,</w:t>
            </w:r>
            <w:r w:rsidR="00B1029D" w:rsidRPr="008F7397">
              <w:rPr>
                <w:rFonts w:asciiTheme="majorBidi" w:hAnsiTheme="majorBidi" w:cstheme="majorBidi"/>
                <w:bCs/>
                <w:sz w:val="24"/>
                <w:szCs w:val="24"/>
              </w:rPr>
              <w:t>cMyc*</w:t>
            </w:r>
            <w:r w:rsidRPr="008F7397">
              <w:rPr>
                <w:rFonts w:asciiTheme="majorBidi" w:hAnsiTheme="majorBidi" w:cstheme="majorBidi"/>
                <w:bCs/>
                <w:sz w:val="24"/>
                <w:szCs w:val="24"/>
              </w:rPr>
              <w:t>(cMyc-2)+1/2*max(PIM1,PIM2))</w:t>
            </w:r>
          </w:p>
        </w:tc>
        <w:tc>
          <w:tcPr>
            <w:tcW w:w="4536" w:type="dxa"/>
          </w:tcPr>
          <w:p w:rsidR="00133DC7" w:rsidRPr="008F7397" w:rsidRDefault="00133DC7" w:rsidP="005D7A0D">
            <w:pPr>
              <w:rPr>
                <w:rFonts w:asciiTheme="majorBidi" w:hAnsiTheme="majorBidi" w:cstheme="majorBidi"/>
                <w:bCs/>
                <w:sz w:val="24"/>
                <w:szCs w:val="24"/>
              </w:rPr>
            </w:pPr>
            <w:r w:rsidRPr="008F7397">
              <w:rPr>
                <w:rFonts w:asciiTheme="majorBidi" w:hAnsiTheme="majorBidi" w:cstheme="majorBidi"/>
                <w:bCs/>
                <w:sz w:val="24"/>
                <w:szCs w:val="24"/>
              </w:rPr>
              <w:t xml:space="preserve">Several evidnces suport the finding that p27 is phospohorylated by PIMs </w:t>
            </w:r>
            <w:r w:rsidR="00760C56" w:rsidRPr="008F7397">
              <w:rPr>
                <w:rFonts w:asciiTheme="majorBidi" w:hAnsiTheme="majorBidi" w:cstheme="majorBidi"/>
                <w:bCs/>
                <w:sz w:val="24"/>
                <w:szCs w:val="24"/>
              </w:rPr>
              <w:fldChar w:fldCharType="begin"/>
            </w:r>
            <w:r w:rsidR="005D7A0D" w:rsidRPr="008F7397">
              <w:rPr>
                <w:rFonts w:asciiTheme="majorBidi" w:hAnsiTheme="majorBidi" w:cstheme="majorBidi"/>
                <w:bCs/>
                <w:sz w:val="24"/>
                <w:szCs w:val="24"/>
              </w:rPr>
              <w:instrText xml:space="preserve"> ADDIN ZOTERO_ITEM CSL_CITATION {"citationID":"9s6Ip8kv","properties":{"formattedCitation":"[2], [7]","plainCitation":"[2], [7]"},"citationItems":[{"id":349,"uris":["http://zotero.org/users/2553926/items/3NCDH4Z5"],"uri":["http://zotero.org/users/2553926/items/3NCDH4Z5"],"itemData":{"id":349,"type":"article-journal","title":"The Pim-1 protein kinase is an important regulator of MET receptor tyrosine kinase levels and signaling","container-title":"Molecular and Cellular Biology","page":"2517-2532","volume":"34","issue":"13","source":"PubMed","abstract":"MET, the receptor for hepatocyte growth factor (HGF), plays an important role in signaling normal and tumor cell migration and invasion. Here, we describe a previously unrecognized mechanism that promotes MET expression in multiple tumor cell types. The levels of the Pim-1 protein kinase show a positive correlation with the levels of MET protein in human tumor cell lines and patient-derived tumor materials. Using small interfering RNA (siRNA), Pim knockout mice, small-molecule inhibitors, and overexpression of Pim-1, we confirmed this correlation and found that Pim-1 kinase activity regulates HGF-induced tumor cell migration, invasion, and cell scattering. The novel biochemical mechanism for these effects involves the ability of Pim-1 to control the translation of MET by regulating the phosphorylation of eukaryotic initiation factor 4B (eIF4B) on S406. This targeted phosphorylation is required for the binding of eIF4B to the eIF3 translation initiation complex. Importantly, Pim-1 action was validated by the evaluation of patient blood and bone marrow from a phase I clinical trial of a Pim kinase inhibitor, AZD1208. These results suggest that Pim inhibitors may have an important role in the treatment of patients where MET is driving tumor biology.","DOI":"10.1128/MCB.00147-14","ISSN":"1098-5549","note":"PMID: 24777602\nPMCID: PMC4054323","journalAbbreviation":"Mol. Cell. Biol.","language":"eng","author":[{"family":"Cen","given":"Bo"},{"family":"Xiong","given":"Ying"},{"family":"Song","given":"Jin H."},{"family":"Mahajan","given":"Sandeep"},{"family":"DuPont","given":"Rachel"},{"family":"McEachern","given":"Kristen"},{"family":"DeAngelo","given":"Daniel J."},{"family":"Cortes","given":"Jorge E."},{"family":"Minden","given":"Mark D."},{"family":"Ebens","given":"Allen"},{"family":"Mims","given":"Alice"},{"family":"LaRue","given":"Amanda C."},{"family":"Kraft","given":"Andrew S."}],"issued":{"date-parts":[["2014",7]]}},"label":"page"},{"id":320,"uris":["http://zotero.org/users/2553926/items/ABDQ97UH"],"uri":["http://zotero.org/users/2553926/items/ABDQ97UH"],"itemData":{"id":320,"type":"article-journal","title":"AZD1208, a potent and selective pan-Pim kinase inhibitor, demonstrates efficacy in preclinical models of acute myeloid leukemia","container-title":"Blood","page":"905-913","volume":"123","issue":"6","source":"PubMed","abstract":"Upregulation of Pim kinases is observed in several types of leukemias and lymphomas. Pim-1, -2, and -3 promote cell proliferation and survival downstream of cytokine and growth factor signaling pathways. AZD1208 is a potent, highly selective, and orally available Pim kinase inhibitor that effectively inhibits all three isoforms at &lt;5 nM or &lt;150 nM in enzyme and cell assays, respectively. AZD1208 inhibited the growth of 5 of 14 acute myeloid leukemia (AML) cell lines tested, and sensitivity correlates with Pim-1 expression and STAT5 activation. AZD1208 causes cell cycle arrest and apoptosis in MOLM-16 cells, accompanied by a dose-dependent reduction in phosphorylation of Bcl-2 antagonist of cell death, 4EBP1, p70S6K, and S6, as well as increases in cleaved caspase 3 and p27. Inhibition of p4EBP1 and p-p70S6K and suppression of translation are the most representative effects of Pim inhibition in sensitive AML cell lines. AZD1208 inhibits the growth of MOLM-16 and KG-1a xenograft tumors in vivo with a clear pharmacodynamic-pharmacokinetic relationship. AZD1208 also potently inhibits colony growth and Pim signaling substrates in primary AML cells from bone marrow that are Flt3 wild-type or Flt3 internal tandem duplication mutant. These results underscore the therapeutic potential of Pim kinase inhibition for the treatment of AML.","DOI":"10.1182/blood-2013-04-495366","ISSN":"1528-0020","note":"PMID: 24363397\nPMCID: PMC3916880","journalAbbreviation":"Blood","language":"eng","author":[{"family":"Keeton","given":"Erika K."},{"family":"McEachern","given":"Kristen"},{"family":"Dillman","given":"Keith S."},{"family":"Palakurthi","given":"Sangeetha"},{"family":"Cao","given":"Yichen"},{"family":"Grondine","given":"Michael R."},{"family":"Kaur","given":"Surinder"},{"family":"Wang","given":"Suping"},{"family":"Chen","given":"Yuching"},{"family":"Wu","given":"Allan"},{"family":"Shen","given":"Minhui"},{"family":"Gibbons","given":"Francis D."},{"family":"Lamb","given":"Michelle L."},{"family":"Zheng","given":"Xiaolan"},{"family":"Stone","given":"Richard M."},{"family":"Deangelo","given":"Daniel J."},{"family":"Platanias","given":"Leonidas C."},{"family":"Dakin","given":"Les A."},{"family":"Chen","given":"Huawei"},{"family":"Lyne","given":"Paul D."},{"family":"Huszar","given":"Dennis"}],"issued":{"date-parts":[["2014",2,6]]}},"label":"page"}],"schema":"https://github.com/citation-style-language/schema/raw/master/csl-citation.json"} </w:instrText>
            </w:r>
            <w:r w:rsidR="00760C56" w:rsidRPr="008F7397">
              <w:rPr>
                <w:rFonts w:asciiTheme="majorBidi" w:hAnsiTheme="majorBidi" w:cstheme="majorBidi"/>
                <w:bCs/>
                <w:sz w:val="24"/>
                <w:szCs w:val="24"/>
              </w:rPr>
              <w:fldChar w:fldCharType="separate"/>
            </w:r>
            <w:r w:rsidR="005D7A0D" w:rsidRPr="008F7397">
              <w:rPr>
                <w:rFonts w:ascii="Times New Roman" w:hAnsi="Times New Roman" w:cs="Times New Roman"/>
                <w:sz w:val="24"/>
              </w:rPr>
              <w:t>[2], [7]</w:t>
            </w:r>
            <w:r w:rsidR="00760C56" w:rsidRPr="008F7397">
              <w:rPr>
                <w:rFonts w:asciiTheme="majorBidi" w:hAnsiTheme="majorBidi" w:cstheme="majorBidi"/>
                <w:bCs/>
                <w:sz w:val="24"/>
                <w:szCs w:val="24"/>
              </w:rPr>
              <w:fldChar w:fldCharType="end"/>
            </w:r>
            <w:r w:rsidRPr="008F7397">
              <w:rPr>
                <w:rFonts w:asciiTheme="majorBidi" w:hAnsiTheme="majorBidi" w:cstheme="majorBidi"/>
                <w:bCs/>
                <w:sz w:val="24"/>
                <w:szCs w:val="24"/>
              </w:rPr>
              <w:t xml:space="preserve">. Independintly p27 was shown to be upregulated by cMyc </w:t>
            </w:r>
            <w:r w:rsidR="00760C56" w:rsidRPr="008F7397">
              <w:rPr>
                <w:rFonts w:asciiTheme="majorBidi" w:hAnsiTheme="majorBidi" w:cstheme="majorBidi"/>
                <w:bCs/>
                <w:sz w:val="24"/>
                <w:szCs w:val="24"/>
              </w:rPr>
              <w:fldChar w:fldCharType="begin"/>
            </w:r>
            <w:r w:rsidR="005D7A0D" w:rsidRPr="008F7397">
              <w:rPr>
                <w:rFonts w:asciiTheme="majorBidi" w:hAnsiTheme="majorBidi" w:cstheme="majorBidi"/>
                <w:bCs/>
                <w:sz w:val="24"/>
                <w:szCs w:val="24"/>
              </w:rPr>
              <w:instrText xml:space="preserve"> ADDIN ZOTERO_ITEM CSL_CITATION {"citationID":"bnpZTnMI","properties":{"formattedCitation":"[37]","plainCitation":"[37]"},"citationItems":[{"id":442,"uris":["http://zotero.org/users/2553926/items/FWN6PKAJ"],"uri":["http://zotero.org/users/2553926/items/FWN6PKAJ"],"itemData":{"id":442,"type":"article-journal","title":"c-Myc represses FOXO3a-mediated transcription of the gene encoding the p27(Kip1) cyclin dependent kinase inhibitor","container-title":"Journal of Cellular Biochemistry","page":"2091-2106","volume":"104","issue":"6","source":"PubMed","abstract":"The p27(Kip1) (p27) cyclin-dependent kinase inhibitor and c-Myc oncoprotein play essential roles in control of cell cycle progression and apoptosis. Induction of p27 (CDKN1B) gene transcription by Forkhead box O proteins such as FOXO3a leads to growth arrest and apoptosis. Previously, we observed that B cell receptor (surface IgM) engagement of WEHI 231 immature B lymphoma cells with an anti-IgM antibody results in activation of FOXO3a, growth arrest and apoptosis. As ectopic c-Myc expression in these cells prevented anti-IgM induction of p27 and cell death, we hypothesized that c-Myc represses FOXO3a-mediated transcription. Here we show that c-Myc inhibits FOXO3a-mediated activation of the p27 promoter in multiple cell lines. The mechanism of this repression was explored using a combination of co-immunoprecipitation, oligonucleotide precipitation, and chromatin immunoprecipitation experiments. The studies demonstrate a functional association of FOXO3a and c-Myc on a proximal Forkhead binding element in the p27 promoter. This association involves the Myc box II domain of c-Myc and the N-terminal DNA-binding portion of FOXO3a. Analysis of publicly available microarray datasets showed an inverse pattern of c-MYC and p27 RNA expression in primary acute myeloid leukemia, prostate cancer and tongue squamous cell carcinoma samples. The inhibition of FOXO3a-mediated activation of the p27 gene by the high aberrant expression of c-Myc in many tumor cells likely contributes to their uncontrolled proliferation and invasive phenotype.","DOI":"10.1002/jcb.21765","ISSN":"1097-4644","note":"PMID: 18393360","journalAbbreviation":"J. Cell. Biochem.","language":"eng","author":[{"family":"Chandramohan","given":"Vidyalakshmi"},{"family":"Mineva","given":"Nora D."},{"family":"Burke","given":"Brian"},{"family":"Jeay","given":"Sébastien"},{"family":"Wu","given":"Min"},{"family":"Shen","given":"Jian"},{"family":"Yang","given":"William"},{"family":"Hann","given":"Stephen R."},{"family":"Sonenshein","given":"Gail E."}],"issued":{"date-parts":[["2008",8,15]]}}}],"schema":"https://github.com/citation-style-language/schema/raw/master/csl-citation.json"} </w:instrText>
            </w:r>
            <w:r w:rsidR="00760C56" w:rsidRPr="008F7397">
              <w:rPr>
                <w:rFonts w:asciiTheme="majorBidi" w:hAnsiTheme="majorBidi" w:cstheme="majorBidi"/>
                <w:bCs/>
                <w:sz w:val="24"/>
                <w:szCs w:val="24"/>
              </w:rPr>
              <w:fldChar w:fldCharType="separate"/>
            </w:r>
            <w:r w:rsidR="005D7A0D" w:rsidRPr="008F7397">
              <w:rPr>
                <w:rFonts w:ascii="Times New Roman" w:hAnsi="Times New Roman" w:cs="Times New Roman"/>
                <w:sz w:val="24"/>
              </w:rPr>
              <w:t>[37]</w:t>
            </w:r>
            <w:r w:rsidR="00760C56" w:rsidRPr="008F7397">
              <w:rPr>
                <w:rFonts w:asciiTheme="majorBidi" w:hAnsiTheme="majorBidi" w:cstheme="majorBidi"/>
                <w:bCs/>
                <w:sz w:val="24"/>
                <w:szCs w:val="24"/>
              </w:rPr>
              <w:fldChar w:fldCharType="end"/>
            </w:r>
            <w:r w:rsidRPr="008F7397">
              <w:rPr>
                <w:rFonts w:asciiTheme="majorBidi" w:hAnsiTheme="majorBidi" w:cstheme="majorBidi"/>
                <w:bCs/>
                <w:sz w:val="24"/>
                <w:szCs w:val="24"/>
              </w:rPr>
              <w:t xml:space="preserve"> findings that were repeated specifically in AML </w:t>
            </w:r>
            <w:r w:rsidR="00760C56" w:rsidRPr="008F7397">
              <w:rPr>
                <w:rFonts w:asciiTheme="majorBidi" w:hAnsiTheme="majorBidi" w:cstheme="majorBidi"/>
                <w:bCs/>
                <w:sz w:val="24"/>
                <w:szCs w:val="24"/>
              </w:rPr>
              <w:fldChar w:fldCharType="begin"/>
            </w:r>
            <w:r w:rsidR="005D7A0D" w:rsidRPr="008F7397">
              <w:rPr>
                <w:rFonts w:asciiTheme="majorBidi" w:hAnsiTheme="majorBidi" w:cstheme="majorBidi"/>
                <w:bCs/>
                <w:sz w:val="24"/>
                <w:szCs w:val="24"/>
              </w:rPr>
              <w:instrText xml:space="preserve"> ADDIN ZOTERO_ITEM CSL_CITATION {"citationID":"N5F63Sgh","properties":{"formattedCitation":"[38]","plainCitation":"[38]"},"citationItems":[{"id":440,"uris":["http://zotero.org/users/2553926/items/6AGEFRAA"],"uri":["http://zotero.org/users/2553926/items/6AGEFRAA"],"itemData":{"id":440,"type":"article-journal","title":"A small-molecule c-Myc inhibitor, 10058-F4, induces cell-cycle arrest, apoptosis, and myeloid differentiation of human acute myeloid leukemia","container-title":"Experimental Hematology","page":"1480-1489","volume":"34","issue":"11","source":"PubMed","abstract":"OBJECTIVE: The protooncogene c-Myc plays an important role in the control of cell proliferation, apoptosis, and differentiation, and its aberrant expression is frequently seen in multiple human cancers, including acute myeloid leukemia (AML). As c-Myc heterodimerizes with Max to transactivate downstream target genes in leukemogenesis. Inhibition of the c-Myc/Max heterodimerization by the recently identified small-molecule compound, 10058-F4, might be a novel antileukemic strategy.\nMATERIALS AND METHODS: HL-60, U937, and NB4 cells and primary AML cells were used to examine the effects of 10058-F4 on apoptosis and myeloid differentiation.\nRESULTS: We showed that 10058-F4 arrested AML cells at G0/G1 phase, downregulated c-Myc expression and upregulated CDK inhibitors, p21 and p27. Meanwhile, 10058-F4 induced apoptosis through activation of mitochondrial pathway shown by downregulation of Bcl-2, upregulation of Bax, release of cytoplasmic cytochrome C, and cleavage of caspase 3, 7, and 9. Furthermore, 10058-F4 also induced myeloid differentiation, possibly through activation of multiple transcription factors. Similarly, 10058-F4-induced apoptosis and differentiation could also be observed in primary AML cells.\nCONCLUSION: Our study has shown that inhibition of c-Myc/Max dimerization with small-molecule inhibitors affects multiple cellular activities in AML cells and represents a potential antileukemic approach.","DOI":"10.1016/j.exphem.2006.06.019","ISSN":"0301-472X","note":"PMID: 17046567","journalAbbreviation":"Exp. Hematol.","language":"eng","author":[{"family":"Huang","given":"Ming-Jer"},{"family":"Cheng","given":"Yuan-chih"},{"family":"Liu","given":"Chien-Ru"},{"family":"Lin","given":"Shufan"},{"family":"Liu","given":"H. Eugene"}],"issued":{"date-parts":[["2006",11]]}}}],"schema":"https://github.com/citation-style-language/schema/raw/master/csl-citation.json"} </w:instrText>
            </w:r>
            <w:r w:rsidR="00760C56" w:rsidRPr="008F7397">
              <w:rPr>
                <w:rFonts w:asciiTheme="majorBidi" w:hAnsiTheme="majorBidi" w:cstheme="majorBidi"/>
                <w:bCs/>
                <w:sz w:val="24"/>
                <w:szCs w:val="24"/>
              </w:rPr>
              <w:fldChar w:fldCharType="separate"/>
            </w:r>
            <w:r w:rsidR="005D7A0D" w:rsidRPr="008F7397">
              <w:rPr>
                <w:rFonts w:ascii="Times New Roman" w:hAnsi="Times New Roman" w:cs="Times New Roman"/>
                <w:sz w:val="24"/>
              </w:rPr>
              <w:t>[38]</w:t>
            </w:r>
            <w:r w:rsidR="00760C56" w:rsidRPr="008F7397">
              <w:rPr>
                <w:rFonts w:asciiTheme="majorBidi" w:hAnsiTheme="majorBidi" w:cstheme="majorBidi"/>
                <w:bCs/>
                <w:sz w:val="24"/>
                <w:szCs w:val="24"/>
              </w:rPr>
              <w:fldChar w:fldCharType="end"/>
            </w:r>
            <w:r w:rsidRPr="008F7397">
              <w:rPr>
                <w:rFonts w:asciiTheme="majorBidi" w:hAnsiTheme="majorBidi" w:cstheme="majorBidi"/>
                <w:bCs/>
                <w:sz w:val="24"/>
                <w:szCs w:val="24"/>
              </w:rPr>
              <w:t>.</w:t>
            </w:r>
          </w:p>
        </w:tc>
      </w:tr>
      <w:tr w:rsidR="00850C89" w:rsidRPr="008F7397" w:rsidTr="00850C89">
        <w:trPr>
          <w:cantSplit/>
        </w:trPr>
        <w:tc>
          <w:tcPr>
            <w:tcW w:w="1173" w:type="dxa"/>
          </w:tcPr>
          <w:p w:rsidR="00850C89" w:rsidRPr="008F7397" w:rsidRDefault="00850C89" w:rsidP="00017D03">
            <w:pPr>
              <w:rPr>
                <w:rFonts w:asciiTheme="majorBidi" w:hAnsiTheme="majorBidi" w:cstheme="majorBidi"/>
                <w:bCs/>
                <w:sz w:val="24"/>
                <w:szCs w:val="24"/>
              </w:rPr>
            </w:pPr>
            <w:r w:rsidRPr="008F7397">
              <w:rPr>
                <w:rFonts w:asciiTheme="majorBidi" w:hAnsiTheme="majorBidi" w:cstheme="majorBidi"/>
                <w:bCs/>
                <w:sz w:val="24"/>
                <w:szCs w:val="24"/>
              </w:rPr>
              <w:t>FOXO3</w:t>
            </w:r>
          </w:p>
        </w:tc>
        <w:tc>
          <w:tcPr>
            <w:tcW w:w="1195" w:type="dxa"/>
          </w:tcPr>
          <w:p w:rsidR="00850C89" w:rsidRPr="008F7397" w:rsidRDefault="00850C89" w:rsidP="00017D03">
            <w:pPr>
              <w:rPr>
                <w:rFonts w:asciiTheme="majorBidi" w:hAnsiTheme="majorBidi" w:cstheme="majorBidi"/>
                <w:bCs/>
                <w:sz w:val="24"/>
                <w:szCs w:val="24"/>
              </w:rPr>
            </w:pPr>
            <w:r w:rsidRPr="008F7397">
              <w:rPr>
                <w:rFonts w:asciiTheme="majorBidi" w:hAnsiTheme="majorBidi" w:cstheme="majorBidi"/>
                <w:bCs/>
                <w:sz w:val="24"/>
                <w:szCs w:val="24"/>
              </w:rPr>
              <w:t>AVG(STAT3, FLT-ITD)</w:t>
            </w:r>
          </w:p>
        </w:tc>
        <w:tc>
          <w:tcPr>
            <w:tcW w:w="6245" w:type="dxa"/>
            <w:gridSpan w:val="2"/>
            <w:vMerge w:val="restart"/>
          </w:tcPr>
          <w:p w:rsidR="00850C89" w:rsidRPr="008F7397" w:rsidRDefault="00850C89" w:rsidP="00017D03">
            <w:pPr>
              <w:rPr>
                <w:rFonts w:asciiTheme="majorBidi" w:hAnsiTheme="majorBidi" w:cstheme="majorBidi"/>
                <w:bCs/>
                <w:sz w:val="24"/>
                <w:szCs w:val="24"/>
              </w:rPr>
            </w:pPr>
            <w:r w:rsidRPr="008F7397">
              <w:rPr>
                <w:rFonts w:asciiTheme="majorBidi" w:hAnsiTheme="majorBidi" w:cstheme="majorBidi"/>
                <w:bCs/>
                <w:sz w:val="24"/>
                <w:szCs w:val="24"/>
              </w:rPr>
              <w:t>Merged to other complexes</w:t>
            </w:r>
          </w:p>
        </w:tc>
      </w:tr>
      <w:tr w:rsidR="00850C89" w:rsidRPr="008F7397" w:rsidTr="00850C89">
        <w:trPr>
          <w:cantSplit/>
        </w:trPr>
        <w:tc>
          <w:tcPr>
            <w:tcW w:w="1173" w:type="dxa"/>
          </w:tcPr>
          <w:p w:rsidR="00850C89" w:rsidRPr="008F7397" w:rsidRDefault="00850C89" w:rsidP="00017D03">
            <w:pPr>
              <w:rPr>
                <w:rFonts w:asciiTheme="majorBidi" w:hAnsiTheme="majorBidi" w:cstheme="majorBidi"/>
                <w:bCs/>
                <w:sz w:val="24"/>
                <w:szCs w:val="24"/>
              </w:rPr>
            </w:pPr>
            <w:r w:rsidRPr="008F7397">
              <w:rPr>
                <w:rFonts w:asciiTheme="majorBidi" w:hAnsiTheme="majorBidi" w:cstheme="majorBidi"/>
                <w:bCs/>
                <w:sz w:val="24"/>
                <w:szCs w:val="24"/>
              </w:rPr>
              <w:t>STAT3</w:t>
            </w:r>
          </w:p>
        </w:tc>
        <w:tc>
          <w:tcPr>
            <w:tcW w:w="1195" w:type="dxa"/>
          </w:tcPr>
          <w:p w:rsidR="00850C89" w:rsidRPr="008F7397" w:rsidRDefault="00850C89" w:rsidP="00017D03">
            <w:pPr>
              <w:rPr>
                <w:rFonts w:asciiTheme="majorBidi" w:hAnsiTheme="majorBidi" w:cstheme="majorBidi"/>
                <w:bCs/>
                <w:sz w:val="24"/>
                <w:szCs w:val="24"/>
              </w:rPr>
            </w:pPr>
            <w:r w:rsidRPr="008F7397">
              <w:rPr>
                <w:rFonts w:asciiTheme="majorBidi" w:hAnsiTheme="majorBidi" w:cstheme="majorBidi"/>
                <w:bCs/>
                <w:sz w:val="24"/>
                <w:szCs w:val="24"/>
              </w:rPr>
              <w:t>AVG(TYK2)</w:t>
            </w:r>
          </w:p>
        </w:tc>
        <w:tc>
          <w:tcPr>
            <w:tcW w:w="6245" w:type="dxa"/>
            <w:gridSpan w:val="2"/>
            <w:vMerge/>
          </w:tcPr>
          <w:p w:rsidR="00850C89" w:rsidRPr="008F7397" w:rsidRDefault="00850C89" w:rsidP="00017D03">
            <w:pPr>
              <w:rPr>
                <w:rFonts w:asciiTheme="majorBidi" w:hAnsiTheme="majorBidi" w:cstheme="majorBidi"/>
                <w:bCs/>
                <w:sz w:val="24"/>
                <w:szCs w:val="24"/>
              </w:rPr>
            </w:pPr>
          </w:p>
        </w:tc>
      </w:tr>
      <w:tr w:rsidR="00850C89" w:rsidRPr="008F7397" w:rsidTr="00850C89">
        <w:trPr>
          <w:cantSplit/>
        </w:trPr>
        <w:tc>
          <w:tcPr>
            <w:tcW w:w="1173" w:type="dxa"/>
          </w:tcPr>
          <w:p w:rsidR="00850C89" w:rsidRPr="008F7397" w:rsidRDefault="00850C89" w:rsidP="00017D03">
            <w:pPr>
              <w:rPr>
                <w:rFonts w:asciiTheme="majorBidi" w:hAnsiTheme="majorBidi" w:cstheme="majorBidi"/>
                <w:bCs/>
                <w:sz w:val="24"/>
                <w:szCs w:val="24"/>
              </w:rPr>
            </w:pPr>
            <w:r w:rsidRPr="008F7397">
              <w:rPr>
                <w:rFonts w:asciiTheme="majorBidi" w:hAnsiTheme="majorBidi" w:cstheme="majorBidi"/>
                <w:bCs/>
                <w:sz w:val="24"/>
                <w:szCs w:val="24"/>
              </w:rPr>
              <w:t>STAT5</w:t>
            </w:r>
          </w:p>
        </w:tc>
        <w:tc>
          <w:tcPr>
            <w:tcW w:w="1195" w:type="dxa"/>
          </w:tcPr>
          <w:p w:rsidR="00850C89" w:rsidRPr="008F7397" w:rsidRDefault="00850C89" w:rsidP="00017D03">
            <w:pPr>
              <w:rPr>
                <w:rFonts w:asciiTheme="majorBidi" w:hAnsiTheme="majorBidi" w:cstheme="majorBidi"/>
                <w:bCs/>
                <w:sz w:val="24"/>
                <w:szCs w:val="24"/>
              </w:rPr>
            </w:pPr>
            <w:r w:rsidRPr="008F7397">
              <w:rPr>
                <w:rFonts w:asciiTheme="majorBidi" w:hAnsiTheme="majorBidi" w:cstheme="majorBidi"/>
                <w:bCs/>
                <w:sz w:val="24"/>
                <w:szCs w:val="24"/>
              </w:rPr>
              <w:t>AVG(FLT-ITD, PIM1)</w:t>
            </w:r>
          </w:p>
        </w:tc>
        <w:tc>
          <w:tcPr>
            <w:tcW w:w="6245" w:type="dxa"/>
            <w:gridSpan w:val="2"/>
            <w:vMerge/>
          </w:tcPr>
          <w:p w:rsidR="00850C89" w:rsidRPr="008F7397" w:rsidRDefault="00850C89" w:rsidP="00017D03">
            <w:pPr>
              <w:rPr>
                <w:rFonts w:asciiTheme="majorBidi" w:hAnsiTheme="majorBidi" w:cstheme="majorBidi"/>
                <w:bCs/>
                <w:sz w:val="24"/>
                <w:szCs w:val="24"/>
              </w:rPr>
            </w:pPr>
          </w:p>
        </w:tc>
      </w:tr>
      <w:tr w:rsidR="00850C89" w:rsidRPr="008F7397" w:rsidTr="00850C89">
        <w:trPr>
          <w:cantSplit/>
        </w:trPr>
        <w:tc>
          <w:tcPr>
            <w:tcW w:w="1173" w:type="dxa"/>
          </w:tcPr>
          <w:p w:rsidR="00850C89" w:rsidRPr="008F7397" w:rsidRDefault="00850C89" w:rsidP="00017D03">
            <w:pPr>
              <w:rPr>
                <w:rFonts w:asciiTheme="majorBidi" w:hAnsiTheme="majorBidi" w:cstheme="majorBidi"/>
                <w:bCs/>
                <w:sz w:val="24"/>
                <w:szCs w:val="24"/>
              </w:rPr>
            </w:pPr>
            <w:r w:rsidRPr="008F7397">
              <w:rPr>
                <w:rFonts w:asciiTheme="majorBidi" w:hAnsiTheme="majorBidi" w:cstheme="majorBidi"/>
                <w:bCs/>
                <w:sz w:val="24"/>
                <w:szCs w:val="24"/>
              </w:rPr>
              <w:t>cyclinD1</w:t>
            </w:r>
          </w:p>
        </w:tc>
        <w:tc>
          <w:tcPr>
            <w:tcW w:w="1195" w:type="dxa"/>
          </w:tcPr>
          <w:p w:rsidR="00850C89" w:rsidRPr="008F7397" w:rsidRDefault="00850C89" w:rsidP="00017D03">
            <w:pPr>
              <w:rPr>
                <w:rFonts w:asciiTheme="majorBidi" w:hAnsiTheme="majorBidi" w:cstheme="majorBidi"/>
                <w:bCs/>
                <w:sz w:val="24"/>
                <w:szCs w:val="24"/>
              </w:rPr>
            </w:pPr>
            <w:r w:rsidRPr="008F7397">
              <w:rPr>
                <w:rFonts w:asciiTheme="majorBidi" w:hAnsiTheme="majorBidi" w:cstheme="majorBidi"/>
                <w:bCs/>
                <w:sz w:val="24"/>
                <w:szCs w:val="24"/>
              </w:rPr>
              <w:t>AVG(AKT, STAT5)</w:t>
            </w:r>
          </w:p>
        </w:tc>
        <w:tc>
          <w:tcPr>
            <w:tcW w:w="6245" w:type="dxa"/>
            <w:gridSpan w:val="2"/>
            <w:vMerge/>
          </w:tcPr>
          <w:p w:rsidR="00850C89" w:rsidRPr="008F7397" w:rsidRDefault="00850C89" w:rsidP="00017D03">
            <w:pPr>
              <w:rPr>
                <w:rFonts w:asciiTheme="majorBidi" w:hAnsiTheme="majorBidi" w:cstheme="majorBidi"/>
                <w:bCs/>
                <w:sz w:val="24"/>
                <w:szCs w:val="24"/>
              </w:rPr>
            </w:pPr>
          </w:p>
        </w:tc>
      </w:tr>
      <w:tr w:rsidR="00850C89" w:rsidRPr="008F7397" w:rsidTr="00850C89">
        <w:trPr>
          <w:cantSplit/>
        </w:trPr>
        <w:tc>
          <w:tcPr>
            <w:tcW w:w="1173" w:type="dxa"/>
          </w:tcPr>
          <w:p w:rsidR="00850C89" w:rsidRPr="008F7397" w:rsidRDefault="00850C89" w:rsidP="00017D03">
            <w:pPr>
              <w:rPr>
                <w:rFonts w:asciiTheme="majorBidi" w:hAnsiTheme="majorBidi" w:cstheme="majorBidi"/>
                <w:bCs/>
                <w:sz w:val="24"/>
                <w:szCs w:val="24"/>
              </w:rPr>
            </w:pPr>
            <w:r w:rsidRPr="008F7397">
              <w:rPr>
                <w:rFonts w:asciiTheme="majorBidi" w:hAnsiTheme="majorBidi" w:cstheme="majorBidi"/>
                <w:bCs/>
                <w:sz w:val="24"/>
                <w:szCs w:val="24"/>
              </w:rPr>
              <w:t>mTORC1PRAS40complex</w:t>
            </w:r>
          </w:p>
        </w:tc>
        <w:tc>
          <w:tcPr>
            <w:tcW w:w="1195" w:type="dxa"/>
          </w:tcPr>
          <w:p w:rsidR="00850C89" w:rsidRPr="008F7397" w:rsidRDefault="00850C89" w:rsidP="00017D03">
            <w:pPr>
              <w:rPr>
                <w:rFonts w:asciiTheme="majorBidi" w:hAnsiTheme="majorBidi" w:cstheme="majorBidi"/>
                <w:bCs/>
                <w:sz w:val="24"/>
                <w:szCs w:val="24"/>
              </w:rPr>
            </w:pPr>
            <w:r w:rsidRPr="008F7397">
              <w:rPr>
                <w:rFonts w:asciiTheme="majorBidi" w:hAnsiTheme="majorBidi" w:cstheme="majorBidi"/>
                <w:bCs/>
                <w:sz w:val="24"/>
                <w:szCs w:val="24"/>
              </w:rPr>
              <w:t>AVG(PARS40, !AKT)</w:t>
            </w:r>
          </w:p>
        </w:tc>
        <w:tc>
          <w:tcPr>
            <w:tcW w:w="6245" w:type="dxa"/>
            <w:gridSpan w:val="2"/>
            <w:vMerge/>
          </w:tcPr>
          <w:p w:rsidR="00850C89" w:rsidRPr="008F7397" w:rsidRDefault="00850C89" w:rsidP="00017D03">
            <w:pPr>
              <w:rPr>
                <w:rFonts w:asciiTheme="majorBidi" w:hAnsiTheme="majorBidi" w:cstheme="majorBidi"/>
                <w:bCs/>
                <w:sz w:val="24"/>
                <w:szCs w:val="24"/>
              </w:rPr>
            </w:pPr>
          </w:p>
        </w:tc>
      </w:tr>
      <w:tr w:rsidR="00183843" w:rsidRPr="008F7397" w:rsidTr="00016195">
        <w:trPr>
          <w:cantSplit/>
          <w:trHeight w:val="6610"/>
        </w:trPr>
        <w:tc>
          <w:tcPr>
            <w:tcW w:w="1173" w:type="dxa"/>
            <w:tcBorders>
              <w:bottom w:val="single" w:sz="4" w:space="0" w:color="auto"/>
            </w:tcBorders>
          </w:tcPr>
          <w:p w:rsidR="00183843" w:rsidRPr="008F7397" w:rsidRDefault="00183843" w:rsidP="00DE5569">
            <w:pPr>
              <w:rPr>
                <w:rFonts w:asciiTheme="majorBidi" w:hAnsiTheme="majorBidi" w:cstheme="majorBidi"/>
                <w:bCs/>
                <w:sz w:val="24"/>
                <w:szCs w:val="24"/>
              </w:rPr>
            </w:pPr>
            <w:r w:rsidRPr="008F7397">
              <w:rPr>
                <w:rFonts w:asciiTheme="majorBidi" w:hAnsiTheme="majorBidi" w:cstheme="majorBidi"/>
                <w:bCs/>
                <w:sz w:val="24"/>
                <w:szCs w:val="24"/>
              </w:rPr>
              <w:t>Proliferation</w:t>
            </w:r>
          </w:p>
        </w:tc>
        <w:tc>
          <w:tcPr>
            <w:tcW w:w="1195" w:type="dxa"/>
            <w:tcBorders>
              <w:bottom w:val="single" w:sz="4" w:space="0" w:color="auto"/>
            </w:tcBorders>
          </w:tcPr>
          <w:p w:rsidR="00183843" w:rsidRPr="008F7397" w:rsidRDefault="00183843" w:rsidP="00DE5569">
            <w:pPr>
              <w:rPr>
                <w:rFonts w:asciiTheme="majorBidi" w:hAnsiTheme="majorBidi" w:cstheme="majorBidi"/>
                <w:bCs/>
                <w:sz w:val="24"/>
                <w:szCs w:val="24"/>
              </w:rPr>
            </w:pPr>
            <w:r w:rsidRPr="008F7397">
              <w:rPr>
                <w:rFonts w:asciiTheme="majorBidi" w:hAnsiTheme="majorBidi" w:cstheme="majorBidi"/>
                <w:bCs/>
                <w:sz w:val="24"/>
                <w:szCs w:val="24"/>
              </w:rPr>
              <w:t>AVG(ERK, RSK, cyclinD1, cMyc, p27, 4EBP1)</w:t>
            </w:r>
          </w:p>
        </w:tc>
        <w:tc>
          <w:tcPr>
            <w:tcW w:w="1709" w:type="dxa"/>
            <w:tcBorders>
              <w:bottom w:val="single" w:sz="4" w:space="0" w:color="auto"/>
            </w:tcBorders>
          </w:tcPr>
          <w:p w:rsidR="00183843" w:rsidRPr="008F7397" w:rsidRDefault="00183843" w:rsidP="00183843">
            <w:pPr>
              <w:rPr>
                <w:rFonts w:asciiTheme="majorBidi" w:hAnsiTheme="majorBidi" w:cstheme="majorBidi"/>
                <w:bCs/>
                <w:sz w:val="24"/>
                <w:szCs w:val="24"/>
              </w:rPr>
            </w:pPr>
            <w:r w:rsidRPr="008F7397">
              <w:rPr>
                <w:rFonts w:asciiTheme="majorBidi" w:hAnsiTheme="majorBidi" w:cstheme="majorBidi"/>
                <w:bCs/>
                <w:sz w:val="24"/>
                <w:szCs w:val="24"/>
              </w:rPr>
              <w:t>(EIF4B-2)+1/2*ERK+2/3*p27+2/3*cMyc</w:t>
            </w:r>
          </w:p>
        </w:tc>
        <w:tc>
          <w:tcPr>
            <w:tcW w:w="4536" w:type="dxa"/>
            <w:tcBorders>
              <w:bottom w:val="single" w:sz="4" w:space="0" w:color="auto"/>
            </w:tcBorders>
          </w:tcPr>
          <w:p w:rsidR="00183843" w:rsidRPr="008F7397" w:rsidRDefault="00183843" w:rsidP="00B1029D">
            <w:pPr>
              <w:rPr>
                <w:rFonts w:asciiTheme="majorBidi" w:hAnsiTheme="majorBidi" w:cstheme="majorBidi"/>
                <w:sz w:val="24"/>
                <w:szCs w:val="24"/>
              </w:rPr>
            </w:pPr>
            <w:r w:rsidRPr="008F7397">
              <w:rPr>
                <w:rFonts w:asciiTheme="majorBidi" w:hAnsiTheme="majorBidi" w:cstheme="majorBidi"/>
                <w:sz w:val="24"/>
                <w:szCs w:val="24"/>
              </w:rPr>
              <w:t>EIF4B regulates translation of proliferative mRNAs</w:t>
            </w:r>
            <w:r w:rsidR="00C839B0" w:rsidRPr="008F7397">
              <w:rPr>
                <w:rFonts w:asciiTheme="majorBidi" w:hAnsiTheme="majorBidi" w:cstheme="majorBidi"/>
                <w:sz w:val="24"/>
                <w:szCs w:val="24"/>
              </w:rPr>
              <w:t xml:space="preserve">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UTO9RX05","properties":{"formattedCitation":"[39]","plainCitation":"[39]"},"citationItems":[{"id":419,"uris":["http://zotero.org/users/2553926/items/AKQDAQD5"],"uri":["http://zotero.org/users/2553926/items/AKQDAQD5"],"itemData":{"id":419,"type":"article-journal","title":"eIF4B controls survival and proliferation and is regulated by proto-oncogenic signaling pathways","container-title":"Cell Cycle (Georgetown, Tex.)","page":"4106-4109","volume":"9","issue":"20","source":"PubMed","abstract":"Messenger RNA translation or protein synthesis, is a fundamental biological process affecting cell growth, survival and proliferation. Initiation is the rate limiting and hence the most regulated step of translation. In eukaryotes, translation initiation is facilitated by multiple protein factors collectively called eIFs (for eukaryotic translation initiation factors). The complex consisting of the eIF4 group factors including the mRNA cap-binding eIF4E protein, large scaffolding protein eIF4G and RNA helicase eIF4A is assisted by the eIF4B co-factor to unwind local secondary structures and create a ribosome landing pad on mRNA. Recruitment of the ribosome and augmentation in the mRNA scanning process culminates in the positioning of the ribosome over the start codon. Deregulated translational control is believed to play an important role in oncogenic transformation. Indeed, many eIFs are bona fide proto-oncogenes. In many types of human cancers, eIFs are either overexpressed or ectopically activated by Ras-MAPK and PI3K-mTOR signaling cascades, resulting in increased survival and accelerated proliferation. In this review we will analyze the bulk of data describing eIF4B and its role in cell survival and proliferation. Recent studies have shown that eIF4B is phosphorylated and activated by Ras-MAPK and PI3K-mTOR signaling cascades. In addition, eIF4B regulates translation of proliferative and pro-survival mRNAs. Moreover, eIF4B depletion in cancer cells attenuates proliferation, sensitizes them to genotoxic stress-driven apoptosis. Taken together, these findings identify eIF4B as a potential target for development of anti-cancer therapies.","DOI":"10.4161/cc.9.20.13630","ISSN":"1551-4005","note":"PMID: 20948310\nPMCID: PMC3055195","journalAbbreviation":"Cell Cycle","language":"eng","author":[{"family":"Shahbazian","given":"David"},{"family":"Parsyan","given":"Armen"},{"family":"Petroulakis","given":"Emmanuel"},{"family":"Hershey","given":"John"},{"family":"Sonenberg","given":"Nahum"}],"issued":{"date-parts":[["2010",10,15]]}}}],"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[39]</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 xml:space="preserve">, and </w:t>
            </w:r>
            <w:r w:rsidR="00B1029D" w:rsidRPr="008F7397">
              <w:rPr>
                <w:rFonts w:asciiTheme="majorBidi" w:hAnsiTheme="majorBidi" w:cstheme="majorBidi"/>
                <w:sz w:val="24"/>
                <w:szCs w:val="24"/>
              </w:rPr>
              <w:t xml:space="preserve">Shahbazian et al. show that </w:t>
            </w:r>
            <w:r w:rsidRPr="008F7397">
              <w:rPr>
                <w:rFonts w:asciiTheme="majorBidi" w:hAnsiTheme="majorBidi" w:cstheme="majorBidi"/>
                <w:sz w:val="24"/>
                <w:szCs w:val="24"/>
              </w:rPr>
              <w:t xml:space="preserve">its silencing led to decreased proliferation rates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aBJNAMnr","properties":{"formattedCitation":"[40]","plainCitation":"[40]"},"citationItems":[{"id":455,"uris":["http://zotero.org/users/2553926/items/VITPCI7K"],"uri":["http://zotero.org/users/2553926/items/VITPCI7K"],"itemData":{"id":455,"type":"article-journal","title":"Control of cell survival and proliferation by mammalian eukaryotic initiation factor 4B","container-title":"Molecular and Cellular Biology","page":"1478-1485","volume":"30","issue":"6","source":"PubMed","abstract":"Translation initiation plays an important role in cell growth, proliferation, and survival. The translation initiation factor eIF4B (eukaryotic initiation factor 4B) stimulates the RNA helicase activity of eIF4A in unwinding secondary structures in the 5' untranslated region (5'UTR) of the mRNA in vitro. Here, we studied the effects of eIF4B depletion in cells using RNA interference (RNAi). In agreement with the role of eIF4B in translation initiation, its depletion resulted in inhibition of this step. Selective reduction of translation was observed for mRNAs harboring strong to moderate secondary structures in their 5'UTRs. These mRNAs encode proteins, which function in cell proliferation (Cdc25C, c-myc, and ODC [ornithine decarboxylase]) and survival (Bcl-2 and XIAP [X-linked inhibitor of apoptosis]). Furthermore, eIF4B silencing led to decreased proliferation rates, promoted caspase-dependent apoptosis, and further sensitized cells to camptothecin-induced cell death. These results demonstrate that eIF4B is required for cell proliferation and survival by regulating the translation of proliferative and prosurvival mRNAs.","DOI":"10.1128/MCB.01218-09","ISSN":"1098-5549","note":"PMID: 20086100\nPMCID: PMC2832492","journalAbbreviation":"Mol. Cell. Biol.","language":"eng","author":[{"family":"Shahbazian","given":"David"},{"family":"Parsyan","given":"Armen"},{"family":"Petroulakis","given":"Emmanuel"},{"family":"Topisirovic","given":"Ivan"},{"family":"Martineau","given":"Yvan"},{"family":"Gibbs","given":"Bernard F."},{"family":"Svitkin","given":"Yuri"},{"family":"Sonenberg","given":"Nahum"}],"issued":{"date-parts":[["2010",3]]}}}],"schema":"https://github.com/citation-style-language/schema/raw/master/csl-citation.json"}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[40]</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 EIF4B is overexpressed in all four cell lines (Fig 3B and 3D) and responses to PIM inhibition</w:t>
            </w:r>
            <w:r w:rsidR="00B1029D" w:rsidRPr="008F7397">
              <w:rPr>
                <w:rFonts w:asciiTheme="majorBidi" w:hAnsiTheme="majorBidi" w:cstheme="majorBidi"/>
                <w:sz w:val="24"/>
                <w:szCs w:val="24"/>
              </w:rPr>
              <w:t xml:space="preserve"> with correlation to proliferation level</w:t>
            </w:r>
            <w:r w:rsidRPr="008F7397">
              <w:rPr>
                <w:rFonts w:asciiTheme="majorBidi" w:hAnsiTheme="majorBidi" w:cstheme="majorBidi"/>
                <w:sz w:val="24"/>
                <w:szCs w:val="24"/>
              </w:rPr>
              <w:t>. Interesting to note EIF4B resis</w:t>
            </w:r>
            <w:r w:rsidR="00B1029D" w:rsidRPr="008F7397">
              <w:rPr>
                <w:rFonts w:asciiTheme="majorBidi" w:hAnsiTheme="majorBidi" w:cstheme="majorBidi"/>
                <w:sz w:val="24"/>
                <w:szCs w:val="24"/>
              </w:rPr>
              <w:t>tance to FLT3 inhibition in KG1A</w:t>
            </w:r>
            <w:r w:rsidRPr="008F7397">
              <w:rPr>
                <w:rFonts w:asciiTheme="majorBidi" w:hAnsiTheme="majorBidi" w:cstheme="majorBidi"/>
                <w:sz w:val="24"/>
                <w:szCs w:val="24"/>
              </w:rPr>
              <w:t xml:space="preserve"> cell line, which could suggest a cause to the resistance </w:t>
            </w:r>
            <w:r w:rsidR="00B1029D" w:rsidRPr="008F7397">
              <w:rPr>
                <w:rFonts w:asciiTheme="majorBidi" w:hAnsiTheme="majorBidi" w:cstheme="majorBidi"/>
                <w:sz w:val="24"/>
                <w:szCs w:val="24"/>
              </w:rPr>
              <w:t>expressed in</w:t>
            </w:r>
            <w:r w:rsidRPr="008F7397">
              <w:rPr>
                <w:rFonts w:asciiTheme="majorBidi" w:hAnsiTheme="majorBidi" w:cstheme="majorBidi"/>
                <w:sz w:val="24"/>
                <w:szCs w:val="24"/>
              </w:rPr>
              <w:t xml:space="preserve"> proliferation. An addative effect </w:t>
            </w:r>
            <w:r w:rsidR="00B1029D" w:rsidRPr="008F7397">
              <w:rPr>
                <w:rFonts w:asciiTheme="majorBidi" w:hAnsiTheme="majorBidi" w:cstheme="majorBidi"/>
                <w:sz w:val="24"/>
                <w:szCs w:val="24"/>
              </w:rPr>
              <w:t xml:space="preserve">of proliferation </w:t>
            </w:r>
            <w:r w:rsidRPr="008F7397">
              <w:rPr>
                <w:rFonts w:asciiTheme="majorBidi" w:hAnsiTheme="majorBidi" w:cstheme="majorBidi"/>
                <w:sz w:val="24"/>
                <w:szCs w:val="24"/>
              </w:rPr>
              <w:t xml:space="preserve">may be due to </w:t>
            </w:r>
            <w:r w:rsidR="00B1029D" w:rsidRPr="008F7397">
              <w:rPr>
                <w:rFonts w:asciiTheme="majorBidi" w:hAnsiTheme="majorBidi" w:cstheme="majorBidi"/>
                <w:sz w:val="24"/>
                <w:szCs w:val="24"/>
              </w:rPr>
              <w:t>allevated levels of cMyc in KG1A</w:t>
            </w:r>
            <w:r w:rsidRPr="008F7397">
              <w:rPr>
                <w:rFonts w:asciiTheme="majorBidi" w:hAnsiTheme="majorBidi" w:cstheme="majorBidi"/>
                <w:sz w:val="24"/>
                <w:szCs w:val="24"/>
              </w:rPr>
              <w:t xml:space="preserve">, its deriving effect on proliferation was widely explored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4q8dytZC","properties":{"formattedCitation":"[41]","plainCitation":"[41]"},"citationItems":[{"id":416,"uris":["http://zotero.org/users/2553926/items/2JAX7HIZ"],"uri":["http://zotero.org/users/2553926/items/2JAX7HIZ"],"itemData":{"id":416,"type":"article-journal","title":"c-MYC: more than just a matter of life and death","container-title":"Nature Reviews Cancer","page":"764-776","volume":"2","issue":"10","source":"www.nature.com","abstract":"Deregulated expression of c-MYC occurs in a broad range of human cancers and is often associated with poor prognosis, indicating a key role for this oncogene in tumour progression. However, as established human tumours often bear multiple genetic lesions, it is difficult to determine whether c-MYC is instrumental in the initiation/progression of the tumour, or indeed whether inactivating c-MYC would lead to tumour regression. Regulatable transgenic mouse models of oncogenesis have shed light on these issues and provide hope for effective cancer therapies.","DOI":"10.1038/nrc904","ISSN":"1474-175X","shortTitle":"c-MYC","journalAbbreviation":"Nat Rev Cancer","language":"en","author":[{"family":"Pelengaris","given":"Stella"},{"family":"Khan","given":"Mike"},{"family":"Evan","given":"Gerard"}],"issued":{"date-parts":[["2002",10]]}}}],"schema":"https://github.com/citation-style-language/schema/raw/master/csl-citation.json"}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[41]</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w:t>
            </w:r>
          </w:p>
          <w:p w:rsidR="00183843" w:rsidRPr="008F7397" w:rsidRDefault="00183843" w:rsidP="005D7A0D">
            <w:pPr>
              <w:rPr>
                <w:rFonts w:asciiTheme="majorBidi" w:hAnsiTheme="majorBidi" w:cstheme="majorBidi"/>
                <w:sz w:val="24"/>
                <w:szCs w:val="24"/>
              </w:rPr>
            </w:pPr>
            <w:r w:rsidRPr="008F7397">
              <w:rPr>
                <w:rFonts w:asciiTheme="majorBidi" w:hAnsiTheme="majorBidi" w:cstheme="majorBidi"/>
                <w:sz w:val="24"/>
                <w:szCs w:val="24"/>
              </w:rPr>
              <w:t>MV411 cell line shows decreased response in proliferation in response to PIM inhibition compared to FLT3 inhibiton, which we attribute to addative ERK pho</w:t>
            </w:r>
            <w:r w:rsidR="00B1029D" w:rsidRPr="008F7397">
              <w:rPr>
                <w:rFonts w:asciiTheme="majorBidi" w:hAnsiTheme="majorBidi" w:cstheme="majorBidi"/>
                <w:sz w:val="24"/>
                <w:szCs w:val="24"/>
              </w:rPr>
              <w:t>s</w:t>
            </w:r>
            <w:r w:rsidRPr="008F7397">
              <w:rPr>
                <w:rFonts w:asciiTheme="majorBidi" w:hAnsiTheme="majorBidi" w:cstheme="majorBidi"/>
                <w:sz w:val="24"/>
                <w:szCs w:val="24"/>
              </w:rPr>
              <w:t xml:space="preserve">phorylaion (Fig 3B), its role in cell proliferation was validated in primary cell cultures and various mouse models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dM98dLhW","properties":{"formattedCitation":"[42]","plainCitation":"[42]"},"citationItems":[{"id":421,"uris":["http://zotero.org/users/2553926/items/46V9BDTK"],"uri":["http://zotero.org/users/2553926/items/46V9BDTK"],"itemData":{"id":421,"type":"article-journal","title":"How ERK1/2 Activation Controls Cell Proliferation and Cell Death Is Subcellular Localization the Answer?","container-title":"Cell cycle (Georgetown, Tex.)","page":"1168-1175","volume":"8","issue":"8","source":"PubMed Central","abstract":"Extracellular signal-regulated protein kinases 1 and 2 (ERK1/2) are members of the mitogen-activated protein kinase super family that can mediate cell proliferation and apoptosis. The Ras–Raf–MEK–ERK signaling cascade controlling cell proliferation has been well studied but the mechanisms involved in ERK1/2-mediated cell death are largely unknown. This review focuses on recent papers that define ERK1/2 translocation to the nucleus and the proteins involved in the cytosolic retention of activated ERK1/2. Cytosolic retention of ERK1/2 denies access to the transcription factor substrates that are responsible for the mitogenic response. In addition, cytosolic ERK1/2, besides inhibiting survival and proliferative signals in the nucleus, potentiates the catalytic activity of some proapoptotic proteins such as DAP kinase in the cytoplasm. Studies that further define the function of cytosolic ERK1/2 and its cytosolic substrates that enhance cell death will be essential to harness this pathway for developing effective treatments for cancer and chronic inflammatory diseases.","ISSN":"1538-4101","note":"PMID: 19282669\nPMCID: PMC2728430","journalAbbreviation":"Cell Cycle","author":[{"family":"Mebratu","given":"Yohannes"},{"family":"Tesfaigzi","given":"Yohannes"}],"issued":{"date-parts":[["2009",4,15]]}}}],"schema":"https://github.com/citation-style-language/schema/raw/master/csl-citation.json"}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[42]</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 xml:space="preserve">. </w:t>
            </w:r>
          </w:p>
          <w:p w:rsidR="00183843" w:rsidRPr="008F7397" w:rsidRDefault="00183843" w:rsidP="005D7A0D">
            <w:pPr>
              <w:rPr>
                <w:rFonts w:asciiTheme="majorBidi" w:hAnsiTheme="majorBidi" w:cstheme="majorBidi"/>
                <w:bCs/>
                <w:sz w:val="24"/>
                <w:szCs w:val="24"/>
              </w:rPr>
            </w:pPr>
            <w:r w:rsidRPr="008F7397">
              <w:rPr>
                <w:rFonts w:asciiTheme="majorBidi" w:hAnsiTheme="majorBidi" w:cstheme="majorBidi"/>
                <w:sz w:val="24"/>
                <w:szCs w:val="24"/>
              </w:rPr>
              <w:t xml:space="preserve">Finally, the phosphorylation of p27 was shown to lead to </w:t>
            </w:r>
            <w:r w:rsidRPr="008F7397">
              <w:rPr>
                <w:rFonts w:asciiTheme="majorBidi" w:hAnsiTheme="majorBidi" w:cstheme="majorBidi"/>
                <w:bCs/>
                <w:sz w:val="24"/>
                <w:szCs w:val="24"/>
              </w:rPr>
              <w:t xml:space="preserve">cell proliferation </w:t>
            </w:r>
            <w:r w:rsidR="00760C56" w:rsidRPr="008F7397">
              <w:rPr>
                <w:rFonts w:asciiTheme="majorBidi" w:hAnsiTheme="majorBidi" w:cstheme="majorBidi"/>
                <w:bCs/>
                <w:sz w:val="24"/>
                <w:szCs w:val="24"/>
              </w:rPr>
              <w:fldChar w:fldCharType="begin"/>
            </w:r>
            <w:r w:rsidR="005D7A0D" w:rsidRPr="008F7397">
              <w:rPr>
                <w:rFonts w:asciiTheme="majorBidi" w:hAnsiTheme="majorBidi" w:cstheme="majorBidi"/>
                <w:bCs/>
                <w:sz w:val="24"/>
                <w:szCs w:val="24"/>
              </w:rPr>
              <w:instrText xml:space="preserve"> ADDIN ZOTERO_ITEM CSL_CITATION {"citationID":"CVXESu73","properties":{"formattedCitation":"[31]","plainCitation":"[31]"},"citationItems":[{"id":365,"uris":["http://zotero.org/users/2553926/items/BKPWTMJA"],"uri":["http://zotero.org/users/2553926/items/BKPWTMJA"],"itemData":{"id":365,"type":"article-journal","title":"Mechanisms of cytotoxicity to Pim kinase inhibitor, SGI-1776, in acute myeloid leukemia","container-title":"Blood","page":"693-702","volume":"118","issue":"3","source":"PubMed","abstract":"Pim kinases are Ser/Thr kinases with multiple substrates that affect survival pathways. These proteins are overexpressed in acute myeloid leukemia (AML) blasts and we hypothesized that Pim kinase inhibition would affect AML cell survival. Imidazo[1,2-b]pyridazine compound, SGI-1776 inhibits Pim-1, Pim-2 and Pim-3, and was evaluated in AML-cell line, -xenograft model, and -primary blasts. Treatment of AML cells with SGI-1776 results in a concentration-dependent induction of apoptosis and we investigated its effect on Pim kinase functions. Phosphorylation of traditional Pim kinase targets, c-Myc(Ser62) and 4E-BP1 (Thr36/Thr47), were both decreased in actively cycling AML cell lines MV-4-11, MOLM-13 and OCI-AML-3. Levels of antiapoptotic proteins Bcl-2, Bcl-x(L), XIAP, and proapoptotic Bak and Bax were unchanged; however, a significant reduction in Mcl-1 was observed. This was correlated with inhibition of global RNA and protein synthesis and MCL-1 transcript decline after SGI-1776 treatment. These data suggest that SGI-1776 mechanism in AML involves Mcl-1 protein reduction. Consistent with cell line data, xenograft model studies with mice bearing MV-4-11 tumors showed efficacy with SGI-1776. Importantly, SGI-1776 was also cytotoxic in AML primary cells, irrespective of FLT3 mutation status and resulted in Mcl-1 protein decline. Pim kinase inhibition may be a new strategy for AML treatment.","DOI":"10.1182/blood-2010-12-323022","ISSN":"1528-0020","note":"PMID: 21628411\nPMCID: PMC3142906","journalAbbreviation":"Blood","language":"eng","author":[{"family":"Chen","given":"Lisa S."},{"family":"Redkar","given":"Sanjeev"},{"family":"Taverna","given":"Pietro"},{"family":"Cortes","given":"Jorge E."},{"family":"Gandhi","given":"Varsha"}],"issued":{"date-parts":[["2011",7,21]]}}}],"schema":"https://github.com/citation-style-language/schema/raw/master/csl-citation.json"} </w:instrText>
            </w:r>
            <w:r w:rsidR="00760C56" w:rsidRPr="008F7397">
              <w:rPr>
                <w:rFonts w:asciiTheme="majorBidi" w:hAnsiTheme="majorBidi" w:cstheme="majorBidi"/>
                <w:bCs/>
                <w:sz w:val="24"/>
                <w:szCs w:val="24"/>
              </w:rPr>
              <w:fldChar w:fldCharType="separate"/>
            </w:r>
            <w:r w:rsidR="005D7A0D" w:rsidRPr="008F7397">
              <w:rPr>
                <w:rFonts w:ascii="Times New Roman" w:hAnsi="Times New Roman" w:cs="Times New Roman"/>
                <w:sz w:val="24"/>
              </w:rPr>
              <w:t>[31]</w:t>
            </w:r>
            <w:r w:rsidR="00760C56" w:rsidRPr="008F7397">
              <w:rPr>
                <w:rFonts w:asciiTheme="majorBidi" w:hAnsiTheme="majorBidi" w:cstheme="majorBidi"/>
                <w:bCs/>
                <w:sz w:val="24"/>
                <w:szCs w:val="24"/>
              </w:rPr>
              <w:fldChar w:fldCharType="end"/>
            </w:r>
            <w:r w:rsidRPr="008F7397">
              <w:rPr>
                <w:rFonts w:asciiTheme="majorBidi" w:hAnsiTheme="majorBidi" w:cstheme="majorBidi"/>
                <w:bCs/>
                <w:sz w:val="24"/>
                <w:szCs w:val="24"/>
              </w:rPr>
              <w:t xml:space="preserve"> and</w:t>
            </w:r>
            <w:r w:rsidRPr="008F7397">
              <w:rPr>
                <w:rFonts w:asciiTheme="majorBidi" w:hAnsiTheme="majorBidi" w:cstheme="majorBidi"/>
                <w:sz w:val="24"/>
                <w:szCs w:val="24"/>
              </w:rPr>
              <w:t xml:space="preserve"> may be deriving prol</w:t>
            </w:r>
            <w:r w:rsidR="00B1029D" w:rsidRPr="008F7397">
              <w:rPr>
                <w:rFonts w:asciiTheme="majorBidi" w:hAnsiTheme="majorBidi" w:cstheme="majorBidi"/>
                <w:sz w:val="24"/>
                <w:szCs w:val="24"/>
              </w:rPr>
              <w:t>iferaion in both MOLM16 and KG1A</w:t>
            </w:r>
            <w:r w:rsidRPr="008F7397">
              <w:rPr>
                <w:rFonts w:asciiTheme="majorBidi" w:hAnsiTheme="majorBidi" w:cstheme="majorBidi"/>
                <w:sz w:val="24"/>
                <w:szCs w:val="24"/>
              </w:rPr>
              <w:t>.</w:t>
            </w:r>
          </w:p>
        </w:tc>
      </w:tr>
      <w:tr w:rsidR="00016195" w:rsidRPr="008F7397" w:rsidTr="00B1029D">
        <w:trPr>
          <w:cantSplit/>
          <w:trHeight w:val="132"/>
        </w:trPr>
        <w:tc>
          <w:tcPr>
            <w:tcW w:w="8613" w:type="dxa"/>
            <w:gridSpan w:val="4"/>
            <w:tcBorders>
              <w:left w:val="nil"/>
              <w:bottom w:val="nil"/>
              <w:right w:val="nil"/>
            </w:tcBorders>
          </w:tcPr>
          <w:p w:rsidR="00016195" w:rsidRPr="008F7397" w:rsidRDefault="00016195" w:rsidP="0000483B">
            <w:pPr>
              <w:rPr>
                <w:rFonts w:asciiTheme="majorBidi" w:hAnsiTheme="majorBidi" w:cstheme="majorBidi"/>
                <w:sz w:val="24"/>
                <w:szCs w:val="24"/>
              </w:rPr>
            </w:pPr>
          </w:p>
        </w:tc>
      </w:tr>
      <w:tr w:rsidR="00133DC7" w:rsidRPr="008F7397" w:rsidTr="00016195">
        <w:trPr>
          <w:cantSplit/>
          <w:trHeight w:val="557"/>
        </w:trPr>
        <w:tc>
          <w:tcPr>
            <w:tcW w:w="8613" w:type="dxa"/>
            <w:gridSpan w:val="4"/>
            <w:tcBorders>
              <w:top w:val="nil"/>
              <w:left w:val="nil"/>
              <w:right w:val="nil"/>
            </w:tcBorders>
          </w:tcPr>
          <w:p w:rsidR="00133DC7" w:rsidRPr="008F7397" w:rsidRDefault="00133DC7" w:rsidP="0004568F">
            <w:pPr>
              <w:rPr>
                <w:rFonts w:asciiTheme="majorBidi" w:hAnsiTheme="majorBidi" w:cstheme="majorBidi"/>
                <w:sz w:val="24"/>
                <w:szCs w:val="24"/>
                <w:lang w:val="en-US"/>
              </w:rPr>
            </w:pPr>
            <w:r w:rsidRPr="008F7397">
              <w:rPr>
                <w:rFonts w:asciiTheme="majorBidi" w:hAnsiTheme="majorBidi" w:cstheme="majorBidi"/>
                <w:b/>
                <w:sz w:val="24"/>
                <w:szCs w:val="24"/>
                <w:lang w:val="en-US"/>
              </w:rPr>
              <w:t>Table S</w:t>
            </w:r>
            <w:r w:rsidR="0004568F">
              <w:rPr>
                <w:rFonts w:asciiTheme="majorBidi" w:hAnsiTheme="majorBidi" w:cstheme="majorBidi"/>
                <w:b/>
                <w:sz w:val="24"/>
                <w:szCs w:val="24"/>
              </w:rPr>
              <w:t>8</w:t>
            </w:r>
            <w:r w:rsidRPr="008F7397">
              <w:rPr>
                <w:rFonts w:asciiTheme="majorBidi" w:hAnsiTheme="majorBidi" w:cstheme="majorBidi"/>
                <w:b/>
                <w:sz w:val="24"/>
                <w:szCs w:val="24"/>
              </w:rPr>
              <w:t xml:space="preserve"> Continue</w:t>
            </w:r>
            <w:r w:rsidRPr="008F7397">
              <w:rPr>
                <w:rFonts w:asciiTheme="majorBidi" w:hAnsiTheme="majorBidi" w:cstheme="majorBidi"/>
                <w:b/>
                <w:sz w:val="24"/>
                <w:szCs w:val="24"/>
                <w:lang w:val="en-US"/>
              </w:rPr>
              <w:t>. Target functions for AML general model and cell specific calibrated AML model</w:t>
            </w:r>
            <w:r w:rsidRPr="008F7397">
              <w:rPr>
                <w:rFonts w:asciiTheme="majorBidi" w:hAnsiTheme="majorBidi" w:cstheme="majorBidi"/>
                <w:sz w:val="24"/>
                <w:szCs w:val="24"/>
                <w:lang w:val="en-US"/>
              </w:rPr>
              <w:t>.</w:t>
            </w:r>
          </w:p>
        </w:tc>
      </w:tr>
      <w:tr w:rsidR="00133DC7" w:rsidRPr="008F7397" w:rsidTr="00016195">
        <w:trPr>
          <w:cantSplit/>
          <w:trHeight w:val="557"/>
        </w:trPr>
        <w:tc>
          <w:tcPr>
            <w:tcW w:w="1173" w:type="dxa"/>
            <w:tcBorders>
              <w:bottom w:val="single" w:sz="4" w:space="0" w:color="auto"/>
            </w:tcBorders>
          </w:tcPr>
          <w:p w:rsidR="00133DC7" w:rsidRPr="008F7397" w:rsidRDefault="00133DC7" w:rsidP="00E24644">
            <w:pPr>
              <w:rPr>
                <w:rFonts w:asciiTheme="majorBidi" w:hAnsiTheme="majorBidi" w:cstheme="majorBidi"/>
                <w:b/>
                <w:sz w:val="24"/>
                <w:szCs w:val="24"/>
              </w:rPr>
            </w:pPr>
            <w:r w:rsidRPr="008F7397">
              <w:rPr>
                <w:rFonts w:asciiTheme="majorBidi" w:hAnsiTheme="majorBidi" w:cstheme="majorBidi"/>
                <w:b/>
                <w:sz w:val="24"/>
                <w:szCs w:val="24"/>
              </w:rPr>
              <w:t>Protein/Node</w:t>
            </w:r>
          </w:p>
        </w:tc>
        <w:tc>
          <w:tcPr>
            <w:tcW w:w="1195" w:type="dxa"/>
            <w:tcBorders>
              <w:bottom w:val="single" w:sz="4" w:space="0" w:color="auto"/>
            </w:tcBorders>
          </w:tcPr>
          <w:p w:rsidR="00133DC7" w:rsidRPr="008F7397" w:rsidRDefault="00133DC7" w:rsidP="00E24644">
            <w:pPr>
              <w:rPr>
                <w:rFonts w:asciiTheme="majorBidi" w:hAnsiTheme="majorBidi" w:cstheme="majorBidi"/>
                <w:b/>
                <w:sz w:val="24"/>
                <w:szCs w:val="24"/>
              </w:rPr>
            </w:pPr>
            <w:r w:rsidRPr="008F7397">
              <w:rPr>
                <w:rFonts w:asciiTheme="majorBidi" w:hAnsiTheme="majorBidi" w:cstheme="majorBidi"/>
                <w:b/>
                <w:sz w:val="24"/>
                <w:szCs w:val="24"/>
              </w:rPr>
              <w:t>GeneralModel</w:t>
            </w:r>
          </w:p>
        </w:tc>
        <w:tc>
          <w:tcPr>
            <w:tcW w:w="1709" w:type="dxa"/>
            <w:tcBorders>
              <w:bottom w:val="single" w:sz="4" w:space="0" w:color="auto"/>
            </w:tcBorders>
          </w:tcPr>
          <w:p w:rsidR="00133DC7" w:rsidRPr="008F7397" w:rsidRDefault="00133DC7" w:rsidP="00E24644">
            <w:pPr>
              <w:rPr>
                <w:rFonts w:asciiTheme="majorBidi" w:hAnsiTheme="majorBidi" w:cstheme="majorBidi"/>
                <w:b/>
                <w:sz w:val="24"/>
                <w:szCs w:val="24"/>
              </w:rPr>
            </w:pPr>
            <w:r w:rsidRPr="008F7397">
              <w:rPr>
                <w:rFonts w:asciiTheme="majorBidi" w:hAnsiTheme="majorBidi" w:cstheme="majorBidi"/>
                <w:b/>
                <w:sz w:val="24"/>
                <w:szCs w:val="24"/>
              </w:rPr>
              <w:t>Cell Specific Model</w:t>
            </w:r>
          </w:p>
        </w:tc>
        <w:tc>
          <w:tcPr>
            <w:tcW w:w="4536" w:type="dxa"/>
            <w:tcBorders>
              <w:bottom w:val="single" w:sz="4" w:space="0" w:color="auto"/>
            </w:tcBorders>
          </w:tcPr>
          <w:p w:rsidR="00133DC7" w:rsidRPr="008F7397" w:rsidRDefault="00296C44" w:rsidP="0000483B">
            <w:pPr>
              <w:rPr>
                <w:rFonts w:asciiTheme="majorBidi" w:hAnsiTheme="majorBidi" w:cstheme="majorBidi"/>
                <w:sz w:val="24"/>
                <w:szCs w:val="24"/>
              </w:rPr>
            </w:pPr>
            <w:r w:rsidRPr="008F7397">
              <w:rPr>
                <w:rFonts w:asciiTheme="majorBidi" w:hAnsiTheme="majorBidi" w:cstheme="majorBidi"/>
                <w:b/>
                <w:sz w:val="24"/>
                <w:szCs w:val="24"/>
              </w:rPr>
              <w:t>Literature and Experimental Supporting Evidences</w:t>
            </w:r>
          </w:p>
        </w:tc>
      </w:tr>
      <w:tr w:rsidR="00183843" w:rsidRPr="008F7397" w:rsidTr="00016195">
        <w:trPr>
          <w:cantSplit/>
          <w:trHeight w:val="8637"/>
        </w:trPr>
        <w:tc>
          <w:tcPr>
            <w:tcW w:w="1173" w:type="dxa"/>
            <w:tcBorders>
              <w:bottom w:val="single" w:sz="4" w:space="0" w:color="auto"/>
            </w:tcBorders>
          </w:tcPr>
          <w:p w:rsidR="00183843" w:rsidRPr="008F7397" w:rsidRDefault="00183843" w:rsidP="00DE5569">
            <w:pPr>
              <w:rPr>
                <w:rFonts w:asciiTheme="majorBidi" w:hAnsiTheme="majorBidi" w:cstheme="majorBidi"/>
                <w:bCs/>
                <w:sz w:val="24"/>
                <w:szCs w:val="24"/>
              </w:rPr>
            </w:pPr>
            <w:r w:rsidRPr="008F7397">
              <w:rPr>
                <w:rFonts w:asciiTheme="majorBidi" w:hAnsiTheme="majorBidi" w:cstheme="majorBidi"/>
                <w:bCs/>
                <w:sz w:val="24"/>
                <w:szCs w:val="24"/>
              </w:rPr>
              <w:lastRenderedPageBreak/>
              <w:t>Apoptosis</w:t>
            </w:r>
          </w:p>
        </w:tc>
        <w:tc>
          <w:tcPr>
            <w:tcW w:w="1195" w:type="dxa"/>
            <w:tcBorders>
              <w:bottom w:val="single" w:sz="4" w:space="0" w:color="auto"/>
            </w:tcBorders>
          </w:tcPr>
          <w:p w:rsidR="00183843" w:rsidRPr="008F7397" w:rsidRDefault="00183843" w:rsidP="00DE5569">
            <w:pPr>
              <w:rPr>
                <w:rFonts w:asciiTheme="majorBidi" w:hAnsiTheme="majorBidi" w:cstheme="majorBidi"/>
                <w:bCs/>
                <w:sz w:val="24"/>
                <w:szCs w:val="24"/>
              </w:rPr>
            </w:pPr>
            <w:r w:rsidRPr="008F7397">
              <w:rPr>
                <w:rFonts w:asciiTheme="majorBidi" w:hAnsiTheme="majorBidi" w:cstheme="majorBidi"/>
                <w:bCs/>
                <w:sz w:val="24"/>
                <w:szCs w:val="24"/>
              </w:rPr>
              <w:t>AVG(!BAD, !S6, !cMyc, !EIF4)</w:t>
            </w:r>
          </w:p>
        </w:tc>
        <w:tc>
          <w:tcPr>
            <w:tcW w:w="1709" w:type="dxa"/>
            <w:tcBorders>
              <w:bottom w:val="single" w:sz="4" w:space="0" w:color="auto"/>
            </w:tcBorders>
          </w:tcPr>
          <w:p w:rsidR="00183843" w:rsidRPr="008F7397" w:rsidRDefault="00183843" w:rsidP="00DE5569">
            <w:pPr>
              <w:rPr>
                <w:rFonts w:asciiTheme="majorBidi" w:hAnsiTheme="majorBidi" w:cstheme="majorBidi"/>
                <w:sz w:val="24"/>
                <w:szCs w:val="24"/>
              </w:rPr>
            </w:pPr>
            <w:r w:rsidRPr="008F7397">
              <w:rPr>
                <w:rFonts w:asciiTheme="majorBidi" w:hAnsiTheme="majorBidi" w:cstheme="majorBidi"/>
                <w:sz w:val="24"/>
                <w:szCs w:val="24"/>
              </w:rPr>
              <w:t xml:space="preserve">!MAX(BAD, S6, 1/2*BAD + cMyc + S6 + 2*EIF4E)) </w:t>
            </w:r>
          </w:p>
          <w:p w:rsidR="00183843" w:rsidRPr="008F7397" w:rsidRDefault="00183843" w:rsidP="00DE5569">
            <w:pPr>
              <w:rPr>
                <w:rFonts w:asciiTheme="majorBidi" w:hAnsiTheme="majorBidi" w:cstheme="majorBidi"/>
                <w:sz w:val="24"/>
                <w:szCs w:val="24"/>
              </w:rPr>
            </w:pPr>
            <w:r w:rsidRPr="008F7397">
              <w:rPr>
                <w:rFonts w:asciiTheme="majorBidi" w:hAnsiTheme="majorBidi" w:cstheme="majorBidi"/>
                <w:sz w:val="24"/>
                <w:szCs w:val="24"/>
              </w:rPr>
              <w:t>*range expnanded by 2 for FGFR1</w:t>
            </w:r>
          </w:p>
        </w:tc>
        <w:tc>
          <w:tcPr>
            <w:tcW w:w="4536" w:type="dxa"/>
            <w:tcBorders>
              <w:bottom w:val="single" w:sz="4" w:space="0" w:color="auto"/>
            </w:tcBorders>
          </w:tcPr>
          <w:p w:rsidR="00183843" w:rsidRPr="008F7397" w:rsidRDefault="00183843" w:rsidP="005D7A0D">
            <w:pPr>
              <w:rPr>
                <w:rFonts w:asciiTheme="majorBidi" w:hAnsiTheme="majorBidi" w:cstheme="majorBidi"/>
                <w:sz w:val="24"/>
                <w:szCs w:val="24"/>
              </w:rPr>
            </w:pPr>
            <w:r w:rsidRPr="008F7397">
              <w:rPr>
                <w:rFonts w:asciiTheme="majorBidi" w:hAnsiTheme="majorBidi" w:cstheme="majorBidi"/>
                <w:sz w:val="24"/>
                <w:szCs w:val="24"/>
              </w:rPr>
              <w:t>MV411 exhibits high levels of S6 phosphorylation, S6 levels predict</w:t>
            </w:r>
            <w:r w:rsidR="00B1029D" w:rsidRPr="008F7397">
              <w:rPr>
                <w:rFonts w:asciiTheme="majorBidi" w:hAnsiTheme="majorBidi" w:cstheme="majorBidi"/>
                <w:sz w:val="24"/>
                <w:szCs w:val="24"/>
              </w:rPr>
              <w:t>ed</w:t>
            </w:r>
            <w:r w:rsidRPr="008F7397">
              <w:rPr>
                <w:rFonts w:asciiTheme="majorBidi" w:hAnsiTheme="majorBidi" w:cstheme="majorBidi"/>
                <w:sz w:val="24"/>
                <w:szCs w:val="24"/>
              </w:rPr>
              <w:t xml:space="preserve"> by reverse correlation level of apoptosis in response to FLT3 inhibition, PIM inhibition and the combination. These results are in concurance with Recher et al.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isaD5pKg","properties":{"formattedCitation":"[43]","plainCitation":"[43]"},"citationItems":[{"id":425,"uris":["http://zotero.org/users/2553926/items/M5DXAJ66"],"uri":["http://zotero.org/users/2553926/items/M5DXAJ66"],"itemData":{"id":425,"type":"article-journal","title":"Antileukemic activity of rapamycin in acute myeloid leukemia","container-title":"Blood","page":"2527-2534","volume":"105","issue":"6","source":"www.bloodjournal.org","abstract":"The mammalian target of rapamycin (mTOR) is a key regulator of growth and survival in many cell types. Its constitutive activation has been involved in the pathogenesis of various cancers. In this study, we show that mTOR inhibition by rapamycin strongly inhibits the growth of the most immature acute myeloid leukemia (AML) cell lines through blockade in G0/G1 phase of the cell cycle. Accordingly, 2 downstream effectors of mTOR, 4E-BP1 and p70S6K, are phosphorylated in a rapamycin-sensitive manner in a series of 23 AML cases. Interestingly, the mTOR inhibitor markedly impairs the clonogenic properties of fresh AML cells while sparing normal hematopoietic progenitors. Moreover, rapamycin induces significant clinical responses in 4 of 9 patients with either refractory/relapsed de novo AML or secondary AML. Overall, our data strongly suggest that mTOR is aberrantly regulated in most AML cells and that rapamycin and analogs, by targeting the clonogenic compartment of the leukemic clone, may be used as new compounds in AML therapy.","DOI":"10.1182/blood-2004-06-2494","ISSN":"0006-4971, 1528-0020","note":"PMID: 15550488","language":"en","author":[{"family":"Récher","given":"Christian"},{"family":"Beyne-Rauzy","given":"Odile"},{"family":"Demur","given":"Cécile"},{"family":"Chicanne","given":"Gaëtan"},{"family":"Santos","given":"Cédric Dos"},{"family":"Mas","given":"Véronique Mansat-De"},{"family":"Benzaquen","given":"David"},{"family":"Laurent","given":"Guy"},{"family":"Huguet","given":"Françoise"},{"family":"Payrastre","given":"Bernard"}],"issued":{"date-parts":[["2005",3,15]]}}}],"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[43]</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 xml:space="preserve"> research exploring the use of rapamycin in AML to find that inhibiting</w:t>
            </w:r>
            <w:r w:rsidRPr="008F7397">
              <w:rPr>
                <w:rFonts w:asciiTheme="majorBidi" w:hAnsiTheme="majorBidi" w:cstheme="majorBidi"/>
                <w:sz w:val="24"/>
                <w:szCs w:val="24"/>
                <w:lang w:val="en-US"/>
              </w:rPr>
              <w:t xml:space="preserve"> the phosphorylation of p70S6K led to cell cycle arrest or apoptosis.</w:t>
            </w:r>
          </w:p>
          <w:p w:rsidR="00183843" w:rsidRPr="008F7397" w:rsidRDefault="00183843" w:rsidP="005D7A0D">
            <w:pPr>
              <w:rPr>
                <w:rFonts w:asciiTheme="majorBidi" w:hAnsiTheme="majorBidi" w:cstheme="majorBidi"/>
                <w:sz w:val="24"/>
                <w:szCs w:val="24"/>
              </w:rPr>
            </w:pPr>
            <w:r w:rsidRPr="008F7397">
              <w:rPr>
                <w:rFonts w:asciiTheme="majorBidi" w:hAnsiTheme="majorBidi" w:cstheme="majorBidi"/>
                <w:sz w:val="24"/>
                <w:szCs w:val="24"/>
              </w:rPr>
              <w:t xml:space="preserve">MOLM16 exhibits extremly high levels of BAD phosphorylation, predicting in reverse correlation level of apoptosis in response to PIM inhibition. Phosphorylation of BAD leads to apoptosis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3skfGR5n","properties":{"formattedCitation":"[31]","plainCitation":"[31]"},"citationItems":[{"id":365,"uris":["http://zotero.org/users/2553926/items/BKPWTMJA"],"uri":["http://zotero.org/users/2553926/items/BKPWTMJA"],"itemData":{"id":365,"type":"article-journal","title":"Mechanisms of cytotoxicity to Pim kinase inhibitor, SGI-1776, in acute myeloid leukemia","container-title":"Blood","page":"693-702","volume":"118","issue":"3","source":"PubMed","abstract":"Pim kinases are Ser/Thr kinases with multiple substrates that affect survival pathways. These proteins are overexpressed in acute myeloid leukemia (AML) blasts and we hypothesized that Pim kinase inhibition would affect AML cell survival. Imidazo[1,2-b]pyridazine compound, SGI-1776 inhibits Pim-1, Pim-2 and Pim-3, and was evaluated in AML-cell line, -xenograft model, and -primary blasts. Treatment of AML cells with SGI-1776 results in a concentration-dependent induction of apoptosis and we investigated its effect on Pim kinase functions. Phosphorylation of traditional Pim kinase targets, c-Myc(Ser62) and 4E-BP1 (Thr36/Thr47), were both decreased in actively cycling AML cell lines MV-4-11, MOLM-13 and OCI-AML-3. Levels of antiapoptotic proteins Bcl-2, Bcl-x(L), XIAP, and proapoptotic Bak and Bax were unchanged; however, a significant reduction in Mcl-1 was observed. This was correlated with inhibition of global RNA and protein synthesis and MCL-1 transcript decline after SGI-1776 treatment. These data suggest that SGI-1776 mechanism in AML involves Mcl-1 protein reduction. Consistent with cell line data, xenograft model studies with mice bearing MV-4-11 tumors showed efficacy with SGI-1776. Importantly, SGI-1776 was also cytotoxic in AML primary cells, irrespective of FLT3 mutation status and resulted in Mcl-1 protein decline. Pim kinase inhibition may be a new strategy for AML treatment.","DOI":"10.1182/blood-2010-12-323022","ISSN":"1528-0020","note":"PMID: 21628411\nPMCID: PMC3142906","journalAbbreviation":"Blood","language":"eng","author":[{"family":"Chen","given":"Lisa S."},{"family":"Redkar","given":"Sanjeev"},{"family":"Taverna","given":"Pietro"},{"family":"Cortes","given":"Jorge E."},{"family":"Gandhi","given":"Varsha"}],"issued":{"date-parts":[["2011",7,21]]}}}],"schema":"https://github.com/citation-style-language/schema/raw/master/csl-citation.json"}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[31]</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 xml:space="preserve"> by disrupting its binding to the Bcl-XL, allowing BAD to bind scaffold protein 14-3-3 to sequester its proapoptotic function, thereby activating a cell survival pathway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zrurgDvE","properties":{"formattedCitation":"[32]","plainCitation":"[32]"},"citationItems":[{"id":367,"uris":["http://zotero.org/users/2553926/items/UXUHMVQK"],"uri":["http://zotero.org/users/2553926/items/UXUHMVQK"],"itemData":{"id":367,"type":"article-journal","title":"Transcription and translation are primary targets of Pim kinase inhibitor SGI-1776 in mantle cell lymphoma","container-title":"Blood","page":"3491-3500","volume":"120","issue":"17","source":"PubMed","abstract":"Proviral integration site for Moloney murine leukemia virus (Pim) kinases are serine/threonine/tyrosine kinases and oncoproteins that promote tumor progression. Three isoforms of Pim kinases have been identified and are known to phosphorylate numerous substrates, with regulatory functions in transcription, translation, cell cycle, and survival pathways. These kinases are involved in production, proliferation, and survival of normal B cells and are overexpressed in B-cell malignancies such as mantle cell lymphoma (MCL). SGI-1776 is a small molecule and Pim kinase inhibitor with selectivity for Pim-1. We hypothesize that Pim kinase function can be inhibited by SGI-1776 in MCL and that inhibition of phosphorylation of downstream substrates will disrupt transcriptional, translational, and cell cycle processes and promote cell death. SGI-1776 treatment in 4 MCL cell lines resulted in apoptosis induction. Phosphorylation of transcription (c-Myc) and translation targets (4E-BP1), tested in Jeko-1 and Mino, was declined. Consistent with these data, Mcl-1 and cyclin D1 protein levels were decreased. Importantly, similar to cell line data, MCL primary cells but not normal cells showed similar inhibition of substrate phosphorylation and cytotoxicity from SGI-1776 treatment. Genetic knockdown of Pim-1/Pim-2 affected similar proteins in MCL cell lines. Collectively these data demonstrate Pim kinases as therapeutic targets in MCL.","DOI":"10.1182/blood-2012-02-412643","ISSN":"1528-0020","note":"PMID: 22955922\nPMCID: PMC3482859","journalAbbreviation":"Blood","language":"eng","author":[{"family":"Yang","given":"Qingshan"},{"family":"Chen","given":"Lisa S."},{"family":"Neelapu","given":"Sattva S."},{"family":"Miranda","given":"Roberto N."},{"family":"Medeiros","given":"L. Jeffrey"},{"family":"Gandhi","given":"Varsha"}],"issued":{"date-parts":[["2012",10,25]]}}}],"schema":"https://github.com/citation-style-language/schema/raw/master/csl-citation.json"}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[32]</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 xml:space="preserve">. </w:t>
            </w:r>
          </w:p>
          <w:p w:rsidR="00183843" w:rsidRPr="008F7397" w:rsidRDefault="00183843" w:rsidP="00B35C27">
            <w:pPr>
              <w:rPr>
                <w:rFonts w:asciiTheme="majorBidi" w:hAnsiTheme="majorBidi" w:cstheme="majorBidi"/>
                <w:sz w:val="24"/>
                <w:szCs w:val="24"/>
              </w:rPr>
            </w:pPr>
          </w:p>
          <w:p w:rsidR="00183843" w:rsidRPr="008F7397" w:rsidRDefault="00183843" w:rsidP="00B1029D">
            <w:pPr>
              <w:rPr>
                <w:rFonts w:asciiTheme="majorBidi" w:hAnsiTheme="majorBidi" w:cstheme="majorBidi"/>
                <w:sz w:val="24"/>
                <w:szCs w:val="24"/>
              </w:rPr>
            </w:pPr>
            <w:r w:rsidRPr="008F7397">
              <w:rPr>
                <w:rFonts w:asciiTheme="majorBidi" w:hAnsiTheme="majorBidi" w:cstheme="majorBidi"/>
                <w:sz w:val="24"/>
                <w:szCs w:val="24"/>
              </w:rPr>
              <w:t xml:space="preserve">While high levels </w:t>
            </w:r>
            <w:r w:rsidR="00B1029D" w:rsidRPr="008F7397">
              <w:rPr>
                <w:rFonts w:asciiTheme="majorBidi" w:hAnsiTheme="majorBidi" w:cstheme="majorBidi"/>
                <w:sz w:val="24"/>
                <w:szCs w:val="24"/>
              </w:rPr>
              <w:t xml:space="preserve">of either S6 or BAD </w:t>
            </w:r>
            <w:r w:rsidRPr="008F7397">
              <w:rPr>
                <w:rFonts w:asciiTheme="majorBidi" w:hAnsiTheme="majorBidi" w:cstheme="majorBidi"/>
                <w:sz w:val="24"/>
                <w:szCs w:val="24"/>
              </w:rPr>
              <w:t xml:space="preserve">dominantly protect the cell from apoptosis, even lower levels may synergically effect cell survival. eIF4E also mediates cell survival and apoptosis (reviewed in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{"citationID":"1k0o5if62n","properties":{"formattedCitation":"[44], [45]","plainCitation":"[44], [45]"},"citationItems":[{"id":432,"uris":["http://zotero.org/users/2553926/items/8CW2G6AJ"],"uri":["http://zotero.org/users/2553926/items/8CW2G6AJ"],"itemData":{"id":432,"type":"article-journal","title":"Translational regulation in cell stress and apoptosis. Roles of the eIF4E binding proteins","container-title":"Journal of Cellular and Molecular Medicine","page":"221-239","volume":"5","issue":"3","source":"Wiley Online Library","abstract":"Several mechanisms have been identified by which protein synthesis may be regulated during the response of mammalian cells to physiological stresses and conditions that induce apoptotic cell death (reviewed in Clemens et al., Cell Death and Differentiation 7, 603–615, 2000). Recent developments allow us to up-date this analysis and in this article I concentrate on one particular aspect of this regulation that has not previously been reviewed in depth in relation to apoptosis, viz. the control of the initiation of protein synthesis by eukaryotic initiation factor eIF4E and the eIF4E binding proteins (4E-BPs). Changes in the state of phosphorylation of the 4E-BPs and in the extent of their association with eIF4E occur at an early stage in the response of cells to apoptotic inducers. The review discusses the mechanisms by which these events are regulated and the significance of the changes for the control of protein synthesis, cell proliferation and cell survival.","DOI":"10.1111/j.1582-4934.2001.tb00157.x","ISSN":"1582-4934","language":"en","author":[{"family":"Clemens","given":"M.j."}],"issued":{"date-parts":[["2001",7,1]]}},"label":"page"},{"id":429,"uris":["http://zotero.org/users/2553926/items/W5KUR8KX"],"uri":["http://zotero.org/users/2553926/items/W5KUR8KX"],"itemData":{"id":429,"type":"article-journal","title":"Translational control of the proteome: Relevance to cancer","container-title":"PROTEOMICS","page":"1191-1199","volume":"1","issue":"10","source":"Wiley Online Library","abstract":"Translational control is an important but relatively unappreciated mechanism that regulates levels of protein products. In addition to a global translational control that regulates the cell’s response to external stimuli such as growth factors, cytokines, stress and viral infections, selective translational control has recently been demonstrated to affect many genes related to growth and apoptotic processes. Modifications in the 5’untranslated region of these specific mRNAs may lead to an up-regulation of the protein product by as much as 100-fold. Translational infidelity has been reported in some human cancers for oncogenes such as c-myc and mdm2. Furthermore, modulation of selective translational control has also been demonstrated in cells overexpressing the translation initiation factor eIF4E. Elevated levels of eIF4E were found in a broad spectrum of solid tumors (breast, head and neck, colon and bladder carcinomas as well as in non-Hodgkin’s lymphomas). Other translation initiation factors and translation components such as elongation factors and ribosomal proteins have also been reported to be overexpressed in some human tumors. This review discusses the relevance of these observations to a cell’s proteome and for tumorigenesis and how the genomics and proteomics can be used to advance our understanding of the role of translational control in cancer.","DOI":"10.1002/1615-9861(200110)1:10&lt;1191::AID-PROT1191&gt;3.0.CO;2-8","ISSN":"1615-9861","shortTitle":"Translational control of the proteome","journalAbbreviation":"Proteomics","language":"en","author":[{"family":"Dua","given":"Kapil"},{"family":"Williams","given":"Thomas M."},{"family":"Beretta","given":"Laura"}],"issued":{"date-parts":[["2001",10,1]]}},"label":"page"}],"schema":"https://github.com/citation-style-language/schema/raw/master/csl-citation.json"}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[44], [45]</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w:t>
            </w:r>
          </w:p>
          <w:p w:rsidR="00183843" w:rsidRPr="008F7397" w:rsidRDefault="00183843" w:rsidP="00E469E1">
            <w:pPr>
              <w:rPr>
                <w:rFonts w:asciiTheme="majorBidi" w:hAnsiTheme="majorBidi" w:cstheme="majorBidi"/>
                <w:sz w:val="24"/>
                <w:szCs w:val="24"/>
              </w:rPr>
            </w:pPr>
            <w:r w:rsidRPr="008F7397">
              <w:rPr>
                <w:rFonts w:asciiTheme="majorBidi" w:hAnsiTheme="majorBidi" w:cstheme="majorBidi"/>
                <w:sz w:val="24"/>
                <w:szCs w:val="24"/>
              </w:rPr>
              <w:t xml:space="preserve">EIF4E levels suggest an addative effect with S6 in EOL1 to prevent cell apoptosis. </w:t>
            </w:r>
          </w:p>
          <w:p w:rsidR="00183843" w:rsidRPr="008F7397" w:rsidRDefault="00183843" w:rsidP="00B1029D">
            <w:pPr>
              <w:rPr>
                <w:rFonts w:asciiTheme="majorBidi" w:hAnsiTheme="majorBidi" w:cstheme="majorBidi"/>
                <w:sz w:val="24"/>
                <w:szCs w:val="24"/>
                <w:lang w:val="en-US"/>
              </w:rPr>
            </w:pPr>
            <w:r w:rsidRPr="008F7397">
              <w:rPr>
                <w:rFonts w:asciiTheme="majorBidi" w:hAnsiTheme="majorBidi" w:cstheme="majorBidi"/>
                <w:sz w:val="24"/>
                <w:szCs w:val="24"/>
              </w:rPr>
              <w:t>In KG1</w:t>
            </w:r>
            <w:r w:rsidR="00B1029D" w:rsidRPr="008F7397">
              <w:rPr>
                <w:rFonts w:asciiTheme="majorBidi" w:hAnsiTheme="majorBidi" w:cstheme="majorBidi"/>
                <w:sz w:val="24"/>
                <w:szCs w:val="24"/>
              </w:rPr>
              <w:t>A</w:t>
            </w:r>
            <w:r w:rsidRPr="008F7397">
              <w:rPr>
                <w:rFonts w:asciiTheme="majorBidi" w:hAnsiTheme="majorBidi" w:cstheme="majorBidi"/>
                <w:sz w:val="24"/>
                <w:szCs w:val="24"/>
              </w:rPr>
              <w:t xml:space="preserve"> cMyc persistant high levels may derive the cell suravial, adding to the effect of S6, and perhaps also EIF4E. </w:t>
            </w:r>
            <w:r w:rsidRPr="008F7397">
              <w:rPr>
                <w:rFonts w:asciiTheme="majorBidi" w:hAnsiTheme="majorBidi" w:cstheme="majorBidi"/>
                <w:sz w:val="24"/>
                <w:szCs w:val="24"/>
                <w:lang w:val="en-US"/>
              </w:rPr>
              <w:t>Concomitant with promoting</w:t>
            </w:r>
          </w:p>
          <w:p w:rsidR="00183843" w:rsidRPr="008F7397" w:rsidRDefault="00183843" w:rsidP="00B1029D">
            <w:pPr>
              <w:rPr>
                <w:rFonts w:asciiTheme="majorBidi" w:hAnsiTheme="majorBidi" w:cstheme="majorBidi"/>
                <w:sz w:val="24"/>
                <w:szCs w:val="24"/>
                <w:lang w:val="en-US"/>
              </w:rPr>
            </w:pPr>
            <w:r w:rsidRPr="008F7397">
              <w:rPr>
                <w:rFonts w:asciiTheme="majorBidi" w:hAnsiTheme="majorBidi" w:cstheme="majorBidi"/>
                <w:sz w:val="24"/>
                <w:szCs w:val="24"/>
                <w:lang w:val="en-US"/>
              </w:rPr>
              <w:t xml:space="preserve">cell growth and proliferation, </w:t>
            </w:r>
            <w:proofErr w:type="spellStart"/>
            <w:r w:rsidRPr="008F7397">
              <w:rPr>
                <w:rFonts w:asciiTheme="majorBidi" w:hAnsiTheme="majorBidi" w:cstheme="majorBidi"/>
                <w:sz w:val="24"/>
                <w:szCs w:val="24"/>
                <w:lang w:val="en-US"/>
              </w:rPr>
              <w:t>cM</w:t>
            </w:r>
            <w:r w:rsidR="00B1029D" w:rsidRPr="008F7397">
              <w:rPr>
                <w:rFonts w:asciiTheme="majorBidi" w:hAnsiTheme="majorBidi" w:cstheme="majorBidi"/>
                <w:sz w:val="24"/>
                <w:szCs w:val="24"/>
                <w:lang w:val="en-US"/>
              </w:rPr>
              <w:t>yc</w:t>
            </w:r>
            <w:proofErr w:type="spellEnd"/>
            <w:r w:rsidRPr="008F7397">
              <w:rPr>
                <w:rFonts w:asciiTheme="majorBidi" w:hAnsiTheme="majorBidi" w:cstheme="majorBidi"/>
                <w:sz w:val="24"/>
                <w:szCs w:val="24"/>
                <w:lang w:val="en-US"/>
              </w:rPr>
              <w:t xml:space="preserve"> </w:t>
            </w:r>
          </w:p>
          <w:p w:rsidR="00183843" w:rsidRPr="008F7397" w:rsidRDefault="00183843" w:rsidP="005D7A0D">
            <w:pPr>
              <w:rPr>
                <w:rFonts w:asciiTheme="majorBidi" w:hAnsiTheme="majorBidi" w:cstheme="majorBidi"/>
                <w:sz w:val="24"/>
                <w:szCs w:val="24"/>
              </w:rPr>
            </w:pPr>
            <w:r w:rsidRPr="008F7397">
              <w:rPr>
                <w:rFonts w:asciiTheme="majorBidi" w:hAnsiTheme="majorBidi" w:cstheme="majorBidi"/>
                <w:sz w:val="24"/>
                <w:szCs w:val="24"/>
                <w:lang w:val="en-US"/>
              </w:rPr>
              <w:t xml:space="preserve">sensitizes cells to apoptosis </w:t>
            </w:r>
            <w:r w:rsidR="00760C56" w:rsidRPr="008F7397">
              <w:rPr>
                <w:rFonts w:asciiTheme="majorBidi" w:hAnsiTheme="majorBidi" w:cstheme="majorBidi"/>
                <w:sz w:val="24"/>
                <w:szCs w:val="24"/>
                <w:lang w:val="en-US"/>
              </w:rPr>
              <w:fldChar w:fldCharType="begin"/>
            </w:r>
            <w:r w:rsidR="005D7A0D" w:rsidRPr="008F7397">
              <w:rPr>
                <w:rFonts w:asciiTheme="majorBidi" w:hAnsiTheme="majorBidi" w:cstheme="majorBidi"/>
                <w:sz w:val="24"/>
                <w:szCs w:val="24"/>
                <w:lang w:val="en-US"/>
              </w:rPr>
              <w:instrText xml:space="preserve"> ADDIN ZOTERO_ITEM CSL_CITATION {"citationID":"yYqVrTLR","properties":{"formattedCitation":"[41]","plainCitation":"[41]"},"citationItems":[{"id":416,"uris":["http://zotero.org/users/2553926/items/2JAX7HIZ"],"uri":["http://zotero.org/users/2553926/items/2JAX7HIZ"],"itemData":{"id":416,"type":"article-journal","title":"c-MYC: more than just a matter of life and death","container-title":"Nature Reviews Cancer","page":"764-776","volume":"2","issue":"10","source":"www.nature.com","abstract":"Deregulated expression of c-MYC occurs in a broad range of human cancers and is often associated with poor prognosis, indicating a key role for this oncogene in tumour progression. However, as established human tumours often bear multiple genetic lesions, it is difficult to determine whether c-MYC is instrumental in the initiation/progression of the tumour, or indeed whether inactivating c-MYC would lead to tumour regression. Regulatable transgenic mouse models of oncogenesis have shed light on these issues and provide hope for effective cancer therapies.","DOI":"10.1038/nrc904","ISSN":"1474-175X","shortTitle":"c-MYC","journalAbbreviation":"Nat Rev Cancer","language":"en","author":[{"family":"Pelengaris","given":"Stella"},{"family":"Khan","given":"Mike"},{"family":"Evan","given":"Gerard"}],"issued":{"date-parts":[["2002",10]]}}}],"schema":"https://github.com/citation-style-language/schema/raw/master/csl-citation.json"} </w:instrText>
            </w:r>
            <w:r w:rsidR="00760C56" w:rsidRPr="008F7397">
              <w:rPr>
                <w:rFonts w:asciiTheme="majorBidi" w:hAnsiTheme="majorBidi" w:cstheme="majorBidi"/>
                <w:sz w:val="24"/>
                <w:szCs w:val="24"/>
                <w:lang w:val="en-US"/>
              </w:rPr>
              <w:fldChar w:fldCharType="separate"/>
            </w:r>
            <w:r w:rsidR="005D7A0D" w:rsidRPr="008F7397">
              <w:rPr>
                <w:rFonts w:ascii="Times New Roman" w:hAnsi="Times New Roman" w:cs="Times New Roman"/>
                <w:sz w:val="24"/>
              </w:rPr>
              <w:t>[41]</w:t>
            </w:r>
            <w:r w:rsidR="00760C56" w:rsidRPr="008F7397">
              <w:rPr>
                <w:rFonts w:asciiTheme="majorBidi" w:hAnsiTheme="majorBidi" w:cstheme="majorBidi"/>
                <w:sz w:val="24"/>
                <w:szCs w:val="24"/>
                <w:lang w:val="en-US"/>
              </w:rPr>
              <w:fldChar w:fldCharType="end"/>
            </w:r>
            <w:r w:rsidRPr="008F7397">
              <w:rPr>
                <w:rFonts w:asciiTheme="majorBidi" w:hAnsiTheme="majorBidi" w:cstheme="majorBidi"/>
                <w:sz w:val="24"/>
                <w:szCs w:val="24"/>
                <w:lang w:val="en-US"/>
              </w:rPr>
              <w:t>.</w:t>
            </w:r>
          </w:p>
          <w:p w:rsidR="00183843" w:rsidRPr="008F7397" w:rsidRDefault="00183843" w:rsidP="005344BA">
            <w:pPr>
              <w:rPr>
                <w:rFonts w:asciiTheme="majorBidi" w:hAnsiTheme="majorBidi" w:cstheme="majorBidi"/>
                <w:bCs/>
                <w:sz w:val="24"/>
                <w:szCs w:val="24"/>
              </w:rPr>
            </w:pPr>
          </w:p>
        </w:tc>
      </w:tr>
    </w:tbl>
    <w:p w:rsidR="00F84FED" w:rsidRPr="008F7397" w:rsidRDefault="00F84FED" w:rsidP="00F84FED">
      <w:pPr>
        <w:jc w:val="both"/>
        <w:rPr>
          <w:rFonts w:asciiTheme="majorBidi" w:hAnsiTheme="majorBidi" w:cstheme="majorBidi"/>
          <w:b/>
          <w:sz w:val="24"/>
          <w:szCs w:val="24"/>
          <w:lang w:val="en-US"/>
        </w:rPr>
      </w:pPr>
    </w:p>
    <w:p w:rsidR="00F84FED" w:rsidRPr="008F7397" w:rsidRDefault="00F84FED" w:rsidP="00F84FED">
      <w:pPr>
        <w:jc w:val="both"/>
        <w:rPr>
          <w:rFonts w:asciiTheme="majorBidi" w:hAnsiTheme="majorBidi" w:cstheme="majorBidi"/>
          <w:b/>
          <w:sz w:val="24"/>
          <w:szCs w:val="24"/>
          <w:lang w:val="en-US"/>
        </w:rPr>
      </w:pPr>
    </w:p>
    <w:p w:rsidR="00F84FED" w:rsidRPr="008F7397" w:rsidRDefault="00F84FED" w:rsidP="0004568F">
      <w:pPr>
        <w:pageBreakBefore/>
        <w:spacing w:line="480" w:lineRule="auto"/>
        <w:jc w:val="both"/>
        <w:rPr>
          <w:rFonts w:asciiTheme="majorBidi" w:hAnsiTheme="majorBidi" w:cstheme="majorBidi"/>
          <w:bCs/>
          <w:sz w:val="24"/>
          <w:szCs w:val="24"/>
          <w:lang w:val="en-US"/>
        </w:rPr>
      </w:pPr>
      <w:r w:rsidRPr="008F7397">
        <w:rPr>
          <w:rFonts w:asciiTheme="majorBidi" w:hAnsiTheme="majorBidi" w:cstheme="majorBidi"/>
          <w:b/>
          <w:sz w:val="24"/>
          <w:szCs w:val="24"/>
          <w:lang w:val="en-US"/>
        </w:rPr>
        <w:lastRenderedPageBreak/>
        <w:t>Table S</w:t>
      </w:r>
      <w:r w:rsidR="0004568F">
        <w:rPr>
          <w:rFonts w:asciiTheme="majorBidi" w:hAnsiTheme="majorBidi" w:cstheme="majorBidi"/>
          <w:b/>
          <w:sz w:val="24"/>
          <w:szCs w:val="24"/>
          <w:lang w:val="en-US"/>
        </w:rPr>
        <w:t>9</w:t>
      </w:r>
      <w:r w:rsidRPr="008F7397">
        <w:rPr>
          <w:rFonts w:asciiTheme="majorBidi" w:hAnsiTheme="majorBidi" w:cstheme="majorBidi"/>
          <w:b/>
          <w:sz w:val="24"/>
          <w:szCs w:val="24"/>
          <w:lang w:val="en-US"/>
        </w:rPr>
        <w:t>. AML genotype state</w:t>
      </w:r>
      <w:r w:rsidR="00A67B31" w:rsidRPr="008F7397">
        <w:rPr>
          <w:rFonts w:asciiTheme="majorBidi" w:hAnsiTheme="majorBidi" w:cstheme="majorBidi"/>
          <w:b/>
          <w:sz w:val="24"/>
          <w:szCs w:val="24"/>
          <w:lang w:val="en-US"/>
        </w:rPr>
        <w:t>.</w:t>
      </w:r>
      <w:r w:rsidRPr="008F7397">
        <w:rPr>
          <w:rFonts w:asciiTheme="majorBidi" w:hAnsiTheme="majorBidi" w:cstheme="majorBidi"/>
          <w:b/>
          <w:sz w:val="24"/>
          <w:szCs w:val="24"/>
          <w:lang w:val="en-US"/>
        </w:rPr>
        <w:t xml:space="preserve"> </w:t>
      </w:r>
      <w:r w:rsidR="00A67B31" w:rsidRPr="008F7397">
        <w:rPr>
          <w:rFonts w:asciiTheme="majorBidi" w:hAnsiTheme="majorBidi" w:cstheme="majorBidi"/>
          <w:bCs/>
          <w:sz w:val="24"/>
          <w:szCs w:val="24"/>
          <w:lang w:val="en-US"/>
        </w:rPr>
        <w:t>M</w:t>
      </w:r>
      <w:r w:rsidRPr="008F7397">
        <w:rPr>
          <w:rFonts w:asciiTheme="majorBidi" w:hAnsiTheme="majorBidi" w:cstheme="majorBidi"/>
          <w:bCs/>
          <w:sz w:val="24"/>
          <w:szCs w:val="24"/>
          <w:lang w:val="en-US"/>
        </w:rPr>
        <w:t>odeled by setting the nodes for the driver mutations found in that cell to 1, while all other proteins with mutations that were assessed as non-driver are set to 0. The model was calibrated using MOLM16 and MV411 ce</w:t>
      </w:r>
      <w:r w:rsidR="00C15897" w:rsidRPr="008F7397">
        <w:rPr>
          <w:rFonts w:asciiTheme="majorBidi" w:hAnsiTheme="majorBidi" w:cstheme="majorBidi"/>
          <w:bCs/>
          <w:sz w:val="24"/>
          <w:szCs w:val="24"/>
          <w:lang w:val="en-US"/>
        </w:rPr>
        <w:t xml:space="preserve">ll-lines and validated to EOL1 </w:t>
      </w:r>
      <w:r w:rsidRPr="008F7397">
        <w:rPr>
          <w:rFonts w:asciiTheme="majorBidi" w:hAnsiTheme="majorBidi" w:cstheme="majorBidi"/>
          <w:bCs/>
          <w:sz w:val="24"/>
          <w:szCs w:val="24"/>
          <w:lang w:val="en-US"/>
        </w:rPr>
        <w:t>and KG1A cell-lines. To incorporate an unseen cell-line, its respected mutation is added to the model (if it does not exist) and connected to its downstream proteins.</w:t>
      </w:r>
    </w:p>
    <w:tbl>
      <w:tblPr>
        <w:tblStyle w:val="TableGrid"/>
        <w:tblW w:w="0" w:type="auto"/>
        <w:tblLook w:val="04A0" w:firstRow="1" w:lastRow="0" w:firstColumn="1" w:lastColumn="0" w:noHBand="0" w:noVBand="1"/>
      </w:tblPr>
      <w:tblGrid>
        <w:gridCol w:w="1691"/>
        <w:gridCol w:w="1712"/>
        <w:gridCol w:w="1648"/>
        <w:gridCol w:w="1618"/>
        <w:gridCol w:w="1627"/>
      </w:tblGrid>
      <w:tr w:rsidR="00F84FED" w:rsidRPr="008F7397" w:rsidTr="00017D03">
        <w:tc>
          <w:tcPr>
            <w:tcW w:w="1848" w:type="dxa"/>
            <w:vMerge w:val="restart"/>
          </w:tcPr>
          <w:p w:rsidR="00F84FED" w:rsidRPr="008F7397" w:rsidRDefault="00F84FED" w:rsidP="00017D03">
            <w:pPr>
              <w:jc w:val="both"/>
              <w:rPr>
                <w:rFonts w:asciiTheme="majorBidi" w:hAnsiTheme="majorBidi" w:cstheme="majorBidi"/>
                <w:b/>
                <w:sz w:val="24"/>
                <w:szCs w:val="24"/>
              </w:rPr>
            </w:pPr>
          </w:p>
        </w:tc>
        <w:tc>
          <w:tcPr>
            <w:tcW w:w="3696" w:type="dxa"/>
            <w:gridSpan w:val="2"/>
          </w:tcPr>
          <w:p w:rsidR="00F84FED" w:rsidRPr="008F7397" w:rsidRDefault="00F84FED" w:rsidP="00017D03">
            <w:pPr>
              <w:jc w:val="both"/>
              <w:rPr>
                <w:rFonts w:asciiTheme="majorBidi" w:hAnsiTheme="majorBidi" w:cstheme="majorBidi"/>
                <w:b/>
                <w:sz w:val="24"/>
                <w:szCs w:val="24"/>
              </w:rPr>
            </w:pPr>
            <w:r w:rsidRPr="008F7397">
              <w:rPr>
                <w:rFonts w:asciiTheme="majorBidi" w:hAnsiTheme="majorBidi" w:cstheme="majorBidi"/>
                <w:b/>
                <w:sz w:val="24"/>
                <w:szCs w:val="24"/>
              </w:rPr>
              <w:t>Training cell-lines</w:t>
            </w:r>
          </w:p>
        </w:tc>
        <w:tc>
          <w:tcPr>
            <w:tcW w:w="3698" w:type="dxa"/>
            <w:gridSpan w:val="2"/>
          </w:tcPr>
          <w:p w:rsidR="00F84FED" w:rsidRPr="008F7397" w:rsidRDefault="00F84FED" w:rsidP="00017D03">
            <w:pPr>
              <w:jc w:val="both"/>
              <w:rPr>
                <w:rFonts w:asciiTheme="majorBidi" w:hAnsiTheme="majorBidi" w:cstheme="majorBidi"/>
                <w:b/>
                <w:sz w:val="24"/>
                <w:szCs w:val="24"/>
              </w:rPr>
            </w:pPr>
            <w:r w:rsidRPr="008F7397">
              <w:rPr>
                <w:rFonts w:asciiTheme="majorBidi" w:hAnsiTheme="majorBidi" w:cstheme="majorBidi"/>
                <w:b/>
                <w:sz w:val="24"/>
                <w:szCs w:val="24"/>
              </w:rPr>
              <w:t>Validation cell-lines</w:t>
            </w:r>
          </w:p>
        </w:tc>
      </w:tr>
      <w:tr w:rsidR="00F84FED" w:rsidRPr="008F7397" w:rsidTr="00017D03">
        <w:tc>
          <w:tcPr>
            <w:tcW w:w="1848" w:type="dxa"/>
            <w:vMerge/>
          </w:tcPr>
          <w:p w:rsidR="00F84FED" w:rsidRPr="008F7397" w:rsidRDefault="00F84FED" w:rsidP="00017D03">
            <w:pPr>
              <w:jc w:val="both"/>
              <w:rPr>
                <w:rFonts w:asciiTheme="majorBidi" w:hAnsiTheme="majorBidi" w:cstheme="majorBidi"/>
                <w:b/>
                <w:sz w:val="24"/>
                <w:szCs w:val="24"/>
              </w:rPr>
            </w:pPr>
          </w:p>
        </w:tc>
        <w:tc>
          <w:tcPr>
            <w:tcW w:w="1848" w:type="dxa"/>
          </w:tcPr>
          <w:p w:rsidR="00F84FED" w:rsidRPr="008F7397" w:rsidRDefault="00F84FED" w:rsidP="00017D03">
            <w:pPr>
              <w:jc w:val="both"/>
              <w:rPr>
                <w:rFonts w:asciiTheme="majorBidi" w:hAnsiTheme="majorBidi" w:cstheme="majorBidi"/>
                <w:b/>
                <w:sz w:val="24"/>
                <w:szCs w:val="24"/>
              </w:rPr>
            </w:pPr>
            <w:r w:rsidRPr="008F7397">
              <w:rPr>
                <w:rFonts w:asciiTheme="majorBidi" w:hAnsiTheme="majorBidi" w:cstheme="majorBidi"/>
                <w:b/>
                <w:sz w:val="24"/>
                <w:szCs w:val="24"/>
              </w:rPr>
              <w:t>MOLM16</w:t>
            </w:r>
          </w:p>
        </w:tc>
        <w:tc>
          <w:tcPr>
            <w:tcW w:w="1848" w:type="dxa"/>
          </w:tcPr>
          <w:p w:rsidR="00F84FED" w:rsidRPr="008F7397" w:rsidRDefault="00F84FED" w:rsidP="00017D03">
            <w:pPr>
              <w:jc w:val="both"/>
              <w:rPr>
                <w:rFonts w:asciiTheme="majorBidi" w:hAnsiTheme="majorBidi" w:cstheme="majorBidi"/>
                <w:b/>
                <w:sz w:val="24"/>
                <w:szCs w:val="24"/>
              </w:rPr>
            </w:pPr>
            <w:r w:rsidRPr="008F7397">
              <w:rPr>
                <w:rFonts w:asciiTheme="majorBidi" w:hAnsiTheme="majorBidi" w:cstheme="majorBidi"/>
                <w:b/>
                <w:sz w:val="24"/>
                <w:szCs w:val="24"/>
              </w:rPr>
              <w:t>MV411</w:t>
            </w:r>
          </w:p>
        </w:tc>
        <w:tc>
          <w:tcPr>
            <w:tcW w:w="1849" w:type="dxa"/>
          </w:tcPr>
          <w:p w:rsidR="00F84FED" w:rsidRPr="008F7397" w:rsidRDefault="00F84FED" w:rsidP="00017D03">
            <w:pPr>
              <w:jc w:val="both"/>
              <w:rPr>
                <w:rFonts w:asciiTheme="majorBidi" w:hAnsiTheme="majorBidi" w:cstheme="majorBidi"/>
                <w:b/>
                <w:sz w:val="24"/>
                <w:szCs w:val="24"/>
              </w:rPr>
            </w:pPr>
            <w:r w:rsidRPr="008F7397">
              <w:rPr>
                <w:rFonts w:asciiTheme="majorBidi" w:hAnsiTheme="majorBidi" w:cstheme="majorBidi"/>
                <w:b/>
                <w:sz w:val="24"/>
                <w:szCs w:val="24"/>
              </w:rPr>
              <w:t>EOL1</w:t>
            </w:r>
          </w:p>
        </w:tc>
        <w:tc>
          <w:tcPr>
            <w:tcW w:w="1849" w:type="dxa"/>
          </w:tcPr>
          <w:p w:rsidR="00F84FED" w:rsidRPr="008F7397" w:rsidRDefault="00F84FED" w:rsidP="00017D03">
            <w:pPr>
              <w:jc w:val="both"/>
              <w:rPr>
                <w:rFonts w:asciiTheme="majorBidi" w:hAnsiTheme="majorBidi" w:cstheme="majorBidi"/>
                <w:b/>
                <w:sz w:val="24"/>
                <w:szCs w:val="24"/>
              </w:rPr>
            </w:pPr>
            <w:r w:rsidRPr="008F7397">
              <w:rPr>
                <w:rFonts w:asciiTheme="majorBidi" w:hAnsiTheme="majorBidi" w:cstheme="majorBidi"/>
                <w:b/>
                <w:sz w:val="24"/>
                <w:szCs w:val="24"/>
              </w:rPr>
              <w:t>KG1A</w:t>
            </w:r>
          </w:p>
        </w:tc>
      </w:tr>
      <w:tr w:rsidR="00F84FED" w:rsidRPr="008F7397" w:rsidTr="00017D03">
        <w:tc>
          <w:tcPr>
            <w:tcW w:w="1848" w:type="dxa"/>
          </w:tcPr>
          <w:p w:rsidR="00F84FED" w:rsidRPr="008F7397" w:rsidRDefault="00F84FED" w:rsidP="00017D03">
            <w:pPr>
              <w:jc w:val="both"/>
              <w:rPr>
                <w:rFonts w:asciiTheme="majorBidi" w:hAnsiTheme="majorBidi" w:cstheme="majorBidi"/>
                <w:bCs/>
                <w:sz w:val="24"/>
                <w:szCs w:val="24"/>
              </w:rPr>
            </w:pPr>
            <w:r w:rsidRPr="008F7397">
              <w:rPr>
                <w:rFonts w:asciiTheme="majorBidi" w:hAnsiTheme="majorBidi" w:cstheme="majorBidi"/>
                <w:bCs/>
                <w:sz w:val="24"/>
                <w:szCs w:val="24"/>
              </w:rPr>
              <w:t>TYK2</w:t>
            </w:r>
          </w:p>
        </w:tc>
        <w:tc>
          <w:tcPr>
            <w:tcW w:w="1848" w:type="dxa"/>
          </w:tcPr>
          <w:p w:rsidR="00F84FED" w:rsidRPr="008F7397" w:rsidRDefault="00F84FED" w:rsidP="00017D03">
            <w:pPr>
              <w:jc w:val="center"/>
              <w:rPr>
                <w:rFonts w:asciiTheme="majorBidi" w:hAnsiTheme="majorBidi" w:cstheme="majorBidi"/>
                <w:bCs/>
                <w:sz w:val="24"/>
                <w:szCs w:val="24"/>
              </w:rPr>
            </w:pPr>
            <w:r w:rsidRPr="008F7397">
              <w:rPr>
                <w:rFonts w:asciiTheme="majorBidi" w:hAnsiTheme="majorBidi" w:cstheme="majorBidi"/>
                <w:bCs/>
                <w:sz w:val="24"/>
                <w:szCs w:val="24"/>
              </w:rPr>
              <w:t>1</w:t>
            </w:r>
          </w:p>
        </w:tc>
        <w:tc>
          <w:tcPr>
            <w:tcW w:w="1848" w:type="dxa"/>
          </w:tcPr>
          <w:p w:rsidR="00F84FED" w:rsidRPr="008F7397" w:rsidRDefault="00F84FED" w:rsidP="00017D03">
            <w:pPr>
              <w:jc w:val="center"/>
              <w:rPr>
                <w:rFonts w:asciiTheme="majorBidi" w:hAnsiTheme="majorBidi" w:cstheme="majorBidi"/>
                <w:bCs/>
                <w:sz w:val="24"/>
                <w:szCs w:val="24"/>
              </w:rPr>
            </w:pPr>
            <w:r w:rsidRPr="008F7397">
              <w:rPr>
                <w:rFonts w:asciiTheme="majorBidi" w:hAnsiTheme="majorBidi" w:cstheme="majorBidi"/>
                <w:bCs/>
                <w:sz w:val="24"/>
                <w:szCs w:val="24"/>
              </w:rPr>
              <w:t>0</w:t>
            </w:r>
          </w:p>
        </w:tc>
        <w:tc>
          <w:tcPr>
            <w:tcW w:w="1849" w:type="dxa"/>
          </w:tcPr>
          <w:p w:rsidR="00F84FED" w:rsidRPr="008F7397" w:rsidRDefault="00F84FED" w:rsidP="00017D03">
            <w:pPr>
              <w:jc w:val="center"/>
              <w:rPr>
                <w:rFonts w:asciiTheme="majorBidi" w:hAnsiTheme="majorBidi" w:cstheme="majorBidi"/>
                <w:bCs/>
                <w:sz w:val="24"/>
                <w:szCs w:val="24"/>
              </w:rPr>
            </w:pPr>
            <w:r w:rsidRPr="008F7397">
              <w:rPr>
                <w:rFonts w:asciiTheme="majorBidi" w:hAnsiTheme="majorBidi" w:cstheme="majorBidi"/>
                <w:bCs/>
                <w:sz w:val="24"/>
                <w:szCs w:val="24"/>
              </w:rPr>
              <w:t>0</w:t>
            </w:r>
          </w:p>
        </w:tc>
        <w:tc>
          <w:tcPr>
            <w:tcW w:w="1849" w:type="dxa"/>
          </w:tcPr>
          <w:p w:rsidR="00F84FED" w:rsidRPr="008F7397" w:rsidRDefault="00F84FED" w:rsidP="00017D03">
            <w:pPr>
              <w:jc w:val="center"/>
              <w:rPr>
                <w:rFonts w:asciiTheme="majorBidi" w:hAnsiTheme="majorBidi" w:cstheme="majorBidi"/>
                <w:bCs/>
                <w:sz w:val="24"/>
                <w:szCs w:val="24"/>
              </w:rPr>
            </w:pPr>
            <w:r w:rsidRPr="008F7397">
              <w:rPr>
                <w:rFonts w:asciiTheme="majorBidi" w:hAnsiTheme="majorBidi" w:cstheme="majorBidi"/>
                <w:bCs/>
                <w:sz w:val="24"/>
                <w:szCs w:val="24"/>
              </w:rPr>
              <w:t>0</w:t>
            </w:r>
          </w:p>
        </w:tc>
      </w:tr>
      <w:tr w:rsidR="00F84FED" w:rsidRPr="008F7397" w:rsidTr="00017D03">
        <w:tc>
          <w:tcPr>
            <w:tcW w:w="1848" w:type="dxa"/>
          </w:tcPr>
          <w:p w:rsidR="00F84FED" w:rsidRPr="008F7397" w:rsidRDefault="00F84FED" w:rsidP="00017D03">
            <w:pPr>
              <w:jc w:val="both"/>
              <w:rPr>
                <w:rFonts w:asciiTheme="majorBidi" w:hAnsiTheme="majorBidi" w:cstheme="majorBidi"/>
                <w:bCs/>
                <w:sz w:val="24"/>
                <w:szCs w:val="24"/>
              </w:rPr>
            </w:pPr>
            <w:r w:rsidRPr="008F7397">
              <w:rPr>
                <w:rFonts w:asciiTheme="majorBidi" w:hAnsiTheme="majorBidi" w:cstheme="majorBidi"/>
                <w:bCs/>
                <w:sz w:val="24"/>
                <w:szCs w:val="24"/>
              </w:rPr>
              <w:t>FLT-ITD</w:t>
            </w:r>
          </w:p>
        </w:tc>
        <w:tc>
          <w:tcPr>
            <w:tcW w:w="1848" w:type="dxa"/>
          </w:tcPr>
          <w:p w:rsidR="00F84FED" w:rsidRPr="008F7397" w:rsidRDefault="00F84FED" w:rsidP="00017D03">
            <w:pPr>
              <w:jc w:val="center"/>
              <w:rPr>
                <w:rFonts w:asciiTheme="majorBidi" w:hAnsiTheme="majorBidi" w:cstheme="majorBidi"/>
                <w:bCs/>
                <w:sz w:val="24"/>
                <w:szCs w:val="24"/>
              </w:rPr>
            </w:pPr>
            <w:r w:rsidRPr="008F7397">
              <w:rPr>
                <w:rFonts w:asciiTheme="majorBidi" w:hAnsiTheme="majorBidi" w:cstheme="majorBidi"/>
                <w:bCs/>
                <w:sz w:val="24"/>
                <w:szCs w:val="24"/>
              </w:rPr>
              <w:t>0</w:t>
            </w:r>
          </w:p>
        </w:tc>
        <w:tc>
          <w:tcPr>
            <w:tcW w:w="1848" w:type="dxa"/>
          </w:tcPr>
          <w:p w:rsidR="00F84FED" w:rsidRPr="008F7397" w:rsidRDefault="00F84FED" w:rsidP="00017D03">
            <w:pPr>
              <w:jc w:val="center"/>
              <w:rPr>
                <w:rFonts w:asciiTheme="majorBidi" w:hAnsiTheme="majorBidi" w:cstheme="majorBidi"/>
                <w:bCs/>
                <w:sz w:val="24"/>
                <w:szCs w:val="24"/>
              </w:rPr>
            </w:pPr>
            <w:r w:rsidRPr="008F7397">
              <w:rPr>
                <w:rFonts w:asciiTheme="majorBidi" w:hAnsiTheme="majorBidi" w:cstheme="majorBidi"/>
                <w:bCs/>
                <w:sz w:val="24"/>
                <w:szCs w:val="24"/>
              </w:rPr>
              <w:t>1</w:t>
            </w:r>
          </w:p>
        </w:tc>
        <w:tc>
          <w:tcPr>
            <w:tcW w:w="1849" w:type="dxa"/>
          </w:tcPr>
          <w:p w:rsidR="00F84FED" w:rsidRPr="008F7397" w:rsidRDefault="00F84FED" w:rsidP="00017D03">
            <w:pPr>
              <w:jc w:val="center"/>
              <w:rPr>
                <w:rFonts w:asciiTheme="majorBidi" w:hAnsiTheme="majorBidi" w:cstheme="majorBidi"/>
                <w:bCs/>
                <w:sz w:val="24"/>
                <w:szCs w:val="24"/>
              </w:rPr>
            </w:pPr>
            <w:r w:rsidRPr="008F7397">
              <w:rPr>
                <w:rFonts w:asciiTheme="majorBidi" w:hAnsiTheme="majorBidi" w:cstheme="majorBidi"/>
                <w:bCs/>
                <w:sz w:val="24"/>
                <w:szCs w:val="24"/>
              </w:rPr>
              <w:t>0</w:t>
            </w:r>
          </w:p>
        </w:tc>
        <w:tc>
          <w:tcPr>
            <w:tcW w:w="1849" w:type="dxa"/>
          </w:tcPr>
          <w:p w:rsidR="00F84FED" w:rsidRPr="008F7397" w:rsidRDefault="00F84FED" w:rsidP="00017D03">
            <w:pPr>
              <w:jc w:val="center"/>
              <w:rPr>
                <w:rFonts w:asciiTheme="majorBidi" w:hAnsiTheme="majorBidi" w:cstheme="majorBidi"/>
                <w:bCs/>
                <w:sz w:val="24"/>
                <w:szCs w:val="24"/>
              </w:rPr>
            </w:pPr>
            <w:r w:rsidRPr="008F7397">
              <w:rPr>
                <w:rFonts w:asciiTheme="majorBidi" w:hAnsiTheme="majorBidi" w:cstheme="majorBidi"/>
                <w:bCs/>
                <w:sz w:val="24"/>
                <w:szCs w:val="24"/>
              </w:rPr>
              <w:t>0</w:t>
            </w:r>
          </w:p>
        </w:tc>
      </w:tr>
      <w:tr w:rsidR="00F84FED" w:rsidRPr="008F7397" w:rsidTr="00017D03">
        <w:tc>
          <w:tcPr>
            <w:tcW w:w="1848" w:type="dxa"/>
          </w:tcPr>
          <w:p w:rsidR="00F84FED" w:rsidRPr="008F7397" w:rsidRDefault="00F84FED" w:rsidP="00017D03">
            <w:pPr>
              <w:jc w:val="both"/>
              <w:rPr>
                <w:rFonts w:asciiTheme="majorBidi" w:hAnsiTheme="majorBidi" w:cstheme="majorBidi"/>
                <w:b/>
                <w:sz w:val="24"/>
                <w:szCs w:val="24"/>
              </w:rPr>
            </w:pPr>
            <w:r w:rsidRPr="008F7397">
              <w:rPr>
                <w:rFonts w:asciiTheme="majorBidi" w:hAnsiTheme="majorBidi" w:cstheme="majorBidi"/>
                <w:sz w:val="24"/>
                <w:szCs w:val="24"/>
              </w:rPr>
              <w:t>FIP1L1-PDGFRA</w:t>
            </w:r>
          </w:p>
        </w:tc>
        <w:tc>
          <w:tcPr>
            <w:tcW w:w="1848" w:type="dxa"/>
          </w:tcPr>
          <w:p w:rsidR="00F84FED" w:rsidRPr="008F7397" w:rsidRDefault="00F84FED" w:rsidP="00017D03">
            <w:pPr>
              <w:jc w:val="center"/>
              <w:rPr>
                <w:rFonts w:asciiTheme="majorBidi" w:hAnsiTheme="majorBidi" w:cstheme="majorBidi"/>
                <w:bCs/>
                <w:sz w:val="24"/>
                <w:szCs w:val="24"/>
              </w:rPr>
            </w:pPr>
            <w:r w:rsidRPr="008F7397">
              <w:rPr>
                <w:rFonts w:asciiTheme="majorBidi" w:hAnsiTheme="majorBidi" w:cstheme="majorBidi"/>
                <w:bCs/>
                <w:sz w:val="24"/>
                <w:szCs w:val="24"/>
              </w:rPr>
              <w:t>0</w:t>
            </w:r>
          </w:p>
        </w:tc>
        <w:tc>
          <w:tcPr>
            <w:tcW w:w="1848" w:type="dxa"/>
          </w:tcPr>
          <w:p w:rsidR="00F84FED" w:rsidRPr="008F7397" w:rsidRDefault="00F84FED" w:rsidP="00017D03">
            <w:pPr>
              <w:jc w:val="center"/>
              <w:rPr>
                <w:rFonts w:asciiTheme="majorBidi" w:hAnsiTheme="majorBidi" w:cstheme="majorBidi"/>
                <w:bCs/>
                <w:sz w:val="24"/>
                <w:szCs w:val="24"/>
              </w:rPr>
            </w:pPr>
            <w:r w:rsidRPr="008F7397">
              <w:rPr>
                <w:rFonts w:asciiTheme="majorBidi" w:hAnsiTheme="majorBidi" w:cstheme="majorBidi"/>
                <w:bCs/>
                <w:sz w:val="24"/>
                <w:szCs w:val="24"/>
              </w:rPr>
              <w:t>0</w:t>
            </w:r>
          </w:p>
        </w:tc>
        <w:tc>
          <w:tcPr>
            <w:tcW w:w="1849" w:type="dxa"/>
          </w:tcPr>
          <w:p w:rsidR="00F84FED" w:rsidRPr="008F7397" w:rsidRDefault="00F84FED" w:rsidP="00017D03">
            <w:pPr>
              <w:jc w:val="center"/>
              <w:rPr>
                <w:rFonts w:asciiTheme="majorBidi" w:hAnsiTheme="majorBidi" w:cstheme="majorBidi"/>
                <w:bCs/>
                <w:sz w:val="24"/>
                <w:szCs w:val="24"/>
              </w:rPr>
            </w:pPr>
            <w:r w:rsidRPr="008F7397">
              <w:rPr>
                <w:rFonts w:asciiTheme="majorBidi" w:hAnsiTheme="majorBidi" w:cstheme="majorBidi"/>
                <w:bCs/>
                <w:sz w:val="24"/>
                <w:szCs w:val="24"/>
              </w:rPr>
              <w:t>1</w:t>
            </w:r>
          </w:p>
        </w:tc>
        <w:tc>
          <w:tcPr>
            <w:tcW w:w="1849" w:type="dxa"/>
          </w:tcPr>
          <w:p w:rsidR="00F84FED" w:rsidRPr="008F7397" w:rsidRDefault="00F84FED" w:rsidP="00017D03">
            <w:pPr>
              <w:jc w:val="center"/>
              <w:rPr>
                <w:rFonts w:asciiTheme="majorBidi" w:hAnsiTheme="majorBidi" w:cstheme="majorBidi"/>
                <w:bCs/>
                <w:sz w:val="24"/>
                <w:szCs w:val="24"/>
              </w:rPr>
            </w:pPr>
          </w:p>
        </w:tc>
      </w:tr>
      <w:tr w:rsidR="00F84FED" w:rsidRPr="008F7397" w:rsidTr="00017D03">
        <w:tc>
          <w:tcPr>
            <w:tcW w:w="1848" w:type="dxa"/>
          </w:tcPr>
          <w:p w:rsidR="00F84FED" w:rsidRPr="008F7397" w:rsidRDefault="00F84FED" w:rsidP="00017D03">
            <w:pPr>
              <w:jc w:val="both"/>
              <w:rPr>
                <w:rFonts w:asciiTheme="majorBidi" w:hAnsiTheme="majorBidi" w:cstheme="majorBidi"/>
                <w:b/>
                <w:sz w:val="24"/>
                <w:szCs w:val="24"/>
              </w:rPr>
            </w:pPr>
            <w:r w:rsidRPr="008F7397">
              <w:rPr>
                <w:rFonts w:asciiTheme="majorBidi" w:hAnsiTheme="majorBidi" w:cstheme="majorBidi"/>
                <w:sz w:val="24"/>
                <w:szCs w:val="24"/>
              </w:rPr>
              <w:t>FGFR1</w:t>
            </w:r>
          </w:p>
        </w:tc>
        <w:tc>
          <w:tcPr>
            <w:tcW w:w="1848" w:type="dxa"/>
          </w:tcPr>
          <w:p w:rsidR="00F84FED" w:rsidRPr="008F7397" w:rsidRDefault="00F84FED" w:rsidP="00017D03">
            <w:pPr>
              <w:jc w:val="center"/>
              <w:rPr>
                <w:rFonts w:asciiTheme="majorBidi" w:hAnsiTheme="majorBidi" w:cstheme="majorBidi"/>
                <w:bCs/>
                <w:sz w:val="24"/>
                <w:szCs w:val="24"/>
              </w:rPr>
            </w:pPr>
            <w:r w:rsidRPr="008F7397">
              <w:rPr>
                <w:rFonts w:asciiTheme="majorBidi" w:hAnsiTheme="majorBidi" w:cstheme="majorBidi"/>
                <w:bCs/>
                <w:sz w:val="24"/>
                <w:szCs w:val="24"/>
              </w:rPr>
              <w:t>0</w:t>
            </w:r>
          </w:p>
        </w:tc>
        <w:tc>
          <w:tcPr>
            <w:tcW w:w="1848" w:type="dxa"/>
          </w:tcPr>
          <w:p w:rsidR="00F84FED" w:rsidRPr="008F7397" w:rsidRDefault="00F84FED" w:rsidP="00017D03">
            <w:pPr>
              <w:jc w:val="center"/>
              <w:rPr>
                <w:rFonts w:asciiTheme="majorBidi" w:hAnsiTheme="majorBidi" w:cstheme="majorBidi"/>
                <w:bCs/>
                <w:sz w:val="24"/>
                <w:szCs w:val="24"/>
              </w:rPr>
            </w:pPr>
            <w:r w:rsidRPr="008F7397">
              <w:rPr>
                <w:rFonts w:asciiTheme="majorBidi" w:hAnsiTheme="majorBidi" w:cstheme="majorBidi"/>
                <w:bCs/>
                <w:sz w:val="24"/>
                <w:szCs w:val="24"/>
              </w:rPr>
              <w:t>0</w:t>
            </w:r>
          </w:p>
        </w:tc>
        <w:tc>
          <w:tcPr>
            <w:tcW w:w="1849" w:type="dxa"/>
          </w:tcPr>
          <w:p w:rsidR="00F84FED" w:rsidRPr="008F7397" w:rsidRDefault="00F84FED" w:rsidP="00017D03">
            <w:pPr>
              <w:jc w:val="center"/>
              <w:rPr>
                <w:rFonts w:asciiTheme="majorBidi" w:hAnsiTheme="majorBidi" w:cstheme="majorBidi"/>
                <w:bCs/>
                <w:sz w:val="24"/>
                <w:szCs w:val="24"/>
              </w:rPr>
            </w:pPr>
            <w:r w:rsidRPr="008F7397">
              <w:rPr>
                <w:rFonts w:asciiTheme="majorBidi" w:hAnsiTheme="majorBidi" w:cstheme="majorBidi"/>
                <w:bCs/>
                <w:sz w:val="24"/>
                <w:szCs w:val="24"/>
              </w:rPr>
              <w:t>0</w:t>
            </w:r>
          </w:p>
        </w:tc>
        <w:tc>
          <w:tcPr>
            <w:tcW w:w="1849" w:type="dxa"/>
          </w:tcPr>
          <w:p w:rsidR="00F84FED" w:rsidRPr="008F7397" w:rsidRDefault="00F84FED" w:rsidP="00017D03">
            <w:pPr>
              <w:jc w:val="center"/>
              <w:rPr>
                <w:rFonts w:asciiTheme="majorBidi" w:hAnsiTheme="majorBidi" w:cstheme="majorBidi"/>
                <w:bCs/>
                <w:sz w:val="24"/>
                <w:szCs w:val="24"/>
              </w:rPr>
            </w:pPr>
            <w:r w:rsidRPr="008F7397">
              <w:rPr>
                <w:rFonts w:asciiTheme="majorBidi" w:hAnsiTheme="majorBidi" w:cstheme="majorBidi"/>
                <w:bCs/>
                <w:sz w:val="24"/>
                <w:szCs w:val="24"/>
              </w:rPr>
              <w:t>1</w:t>
            </w:r>
          </w:p>
        </w:tc>
      </w:tr>
    </w:tbl>
    <w:p w:rsidR="00F84FED" w:rsidRPr="008F7397" w:rsidRDefault="00F84FED" w:rsidP="00F84FED">
      <w:pPr>
        <w:jc w:val="both"/>
        <w:rPr>
          <w:rFonts w:asciiTheme="majorBidi" w:hAnsiTheme="majorBidi" w:cstheme="majorBidi"/>
          <w:b/>
          <w:sz w:val="24"/>
          <w:szCs w:val="24"/>
          <w:lang w:val="en-US"/>
        </w:rPr>
      </w:pPr>
    </w:p>
    <w:p w:rsidR="00F84FED" w:rsidRPr="008F7397" w:rsidRDefault="00F84FED" w:rsidP="00F84FED">
      <w:pPr>
        <w:jc w:val="both"/>
        <w:rPr>
          <w:rFonts w:asciiTheme="majorBidi" w:hAnsiTheme="majorBidi" w:cstheme="majorBidi"/>
          <w:b/>
          <w:sz w:val="24"/>
          <w:szCs w:val="24"/>
          <w:lang w:val="en-US"/>
        </w:rPr>
      </w:pPr>
    </w:p>
    <w:p w:rsidR="00F84FED" w:rsidRPr="008F7397" w:rsidRDefault="00F84FED" w:rsidP="0004568F">
      <w:pPr>
        <w:pageBreakBefore/>
        <w:spacing w:line="480" w:lineRule="auto"/>
        <w:jc w:val="both"/>
        <w:rPr>
          <w:rFonts w:asciiTheme="majorBidi" w:hAnsiTheme="majorBidi" w:cstheme="majorBidi"/>
          <w:bCs/>
          <w:sz w:val="24"/>
          <w:szCs w:val="24"/>
          <w:lang w:val="en-US"/>
        </w:rPr>
      </w:pPr>
      <w:r w:rsidRPr="008F7397">
        <w:rPr>
          <w:rFonts w:asciiTheme="majorBidi" w:hAnsiTheme="majorBidi" w:cstheme="majorBidi"/>
          <w:b/>
          <w:sz w:val="24"/>
          <w:szCs w:val="24"/>
          <w:lang w:val="en-US"/>
        </w:rPr>
        <w:lastRenderedPageBreak/>
        <w:t>Table S</w:t>
      </w:r>
      <w:r w:rsidR="0004568F">
        <w:rPr>
          <w:rFonts w:asciiTheme="majorBidi" w:hAnsiTheme="majorBidi" w:cstheme="majorBidi"/>
          <w:b/>
          <w:sz w:val="24"/>
          <w:szCs w:val="24"/>
          <w:lang w:val="en-US"/>
        </w:rPr>
        <w:t>10</w:t>
      </w:r>
      <w:r w:rsidRPr="008F7397">
        <w:rPr>
          <w:rFonts w:asciiTheme="majorBidi" w:hAnsiTheme="majorBidi" w:cstheme="majorBidi"/>
          <w:b/>
          <w:sz w:val="24"/>
          <w:szCs w:val="24"/>
          <w:lang w:val="en-US"/>
        </w:rPr>
        <w:t xml:space="preserve">. </w:t>
      </w:r>
      <w:r w:rsidR="00A67B31" w:rsidRPr="008F7397">
        <w:rPr>
          <w:rFonts w:asciiTheme="majorBidi" w:hAnsiTheme="majorBidi" w:cstheme="majorBidi"/>
          <w:b/>
          <w:sz w:val="24"/>
          <w:szCs w:val="24"/>
          <w:lang w:val="en-US"/>
        </w:rPr>
        <w:t xml:space="preserve">Immediate downstream effect of modelled AML genotypes. </w:t>
      </w:r>
      <w:r w:rsidR="00A67B31" w:rsidRPr="008F7397">
        <w:rPr>
          <w:rFonts w:asciiTheme="majorBidi" w:hAnsiTheme="majorBidi" w:cstheme="majorBidi"/>
          <w:bCs/>
          <w:sz w:val="24"/>
          <w:szCs w:val="24"/>
          <w:lang w:val="en-US"/>
        </w:rPr>
        <w:t xml:space="preserve">A cell </w:t>
      </w:r>
      <w:r w:rsidRPr="008F7397">
        <w:rPr>
          <w:rFonts w:asciiTheme="majorBidi" w:hAnsiTheme="majorBidi" w:cstheme="majorBidi"/>
          <w:bCs/>
          <w:sz w:val="24"/>
          <w:szCs w:val="24"/>
          <w:lang w:val="en-US"/>
        </w:rPr>
        <w:t xml:space="preserve">line is </w:t>
      </w:r>
      <w:r w:rsidR="00A67B31" w:rsidRPr="008F7397">
        <w:rPr>
          <w:rFonts w:asciiTheme="majorBidi" w:hAnsiTheme="majorBidi" w:cstheme="majorBidi"/>
          <w:bCs/>
          <w:sz w:val="24"/>
          <w:szCs w:val="24"/>
          <w:lang w:val="en-US"/>
        </w:rPr>
        <w:t xml:space="preserve">modelled by linking </w:t>
      </w:r>
      <w:r w:rsidRPr="008F7397">
        <w:rPr>
          <w:rFonts w:asciiTheme="majorBidi" w:hAnsiTheme="majorBidi" w:cstheme="majorBidi"/>
          <w:bCs/>
          <w:sz w:val="24"/>
          <w:szCs w:val="24"/>
          <w:lang w:val="en-US"/>
        </w:rPr>
        <w:t>its mutations/fusions to their immediate downstream over/under-activated proteins, from which the signal cascade will activate the appropriate AML pathway.</w:t>
      </w:r>
      <w:r w:rsidRPr="008F7397">
        <w:rPr>
          <w:rFonts w:asciiTheme="majorBidi" w:hAnsiTheme="majorBidi" w:cstheme="majorBidi"/>
          <w:b/>
          <w:sz w:val="24"/>
          <w:szCs w:val="24"/>
          <w:lang w:val="en-US"/>
        </w:rPr>
        <w:t xml:space="preserve"> </w:t>
      </w:r>
      <w:r w:rsidRPr="008F7397">
        <w:rPr>
          <w:rFonts w:asciiTheme="majorBidi" w:hAnsiTheme="majorBidi" w:cstheme="majorBidi"/>
          <w:bCs/>
          <w:sz w:val="24"/>
          <w:szCs w:val="24"/>
          <w:lang w:val="en-US"/>
        </w:rPr>
        <w:t>Each mutation may activate different proteins to different levels, which we calibrates using the RPPA measurements. Each cell in the table represents the percentage of over-activity level of the immediate downstream protein (rows) triggered by the respected mutation/fusion (columns), empty cell represents normal levels.</w:t>
      </w:r>
    </w:p>
    <w:tbl>
      <w:tblPr>
        <w:tblStyle w:val="TableGrid"/>
        <w:tblW w:w="0" w:type="auto"/>
        <w:tblLook w:val="04A0" w:firstRow="1" w:lastRow="0" w:firstColumn="1" w:lastColumn="0" w:noHBand="0" w:noVBand="1"/>
      </w:tblPr>
      <w:tblGrid>
        <w:gridCol w:w="1669"/>
        <w:gridCol w:w="1681"/>
        <w:gridCol w:w="1602"/>
        <w:gridCol w:w="1693"/>
        <w:gridCol w:w="1651"/>
      </w:tblGrid>
      <w:tr w:rsidR="00F84FED" w:rsidRPr="008F7397" w:rsidTr="00017D03">
        <w:tc>
          <w:tcPr>
            <w:tcW w:w="1848" w:type="dxa"/>
            <w:vMerge w:val="restart"/>
          </w:tcPr>
          <w:p w:rsidR="00F84FED" w:rsidRPr="008F7397" w:rsidRDefault="00F84FED" w:rsidP="00017D03">
            <w:pPr>
              <w:jc w:val="both"/>
              <w:rPr>
                <w:rFonts w:asciiTheme="majorBidi" w:hAnsiTheme="majorBidi" w:cstheme="majorBidi"/>
                <w:b/>
                <w:sz w:val="24"/>
                <w:szCs w:val="24"/>
              </w:rPr>
            </w:pPr>
          </w:p>
        </w:tc>
        <w:tc>
          <w:tcPr>
            <w:tcW w:w="3696" w:type="dxa"/>
            <w:gridSpan w:val="2"/>
          </w:tcPr>
          <w:p w:rsidR="00F84FED" w:rsidRPr="008F7397" w:rsidRDefault="00F84FED" w:rsidP="00017D03">
            <w:pPr>
              <w:jc w:val="both"/>
              <w:rPr>
                <w:rFonts w:asciiTheme="majorBidi" w:hAnsiTheme="majorBidi" w:cstheme="majorBidi"/>
                <w:b/>
                <w:sz w:val="24"/>
                <w:szCs w:val="24"/>
              </w:rPr>
            </w:pPr>
            <w:r w:rsidRPr="008F7397">
              <w:rPr>
                <w:rFonts w:asciiTheme="majorBidi" w:hAnsiTheme="majorBidi" w:cstheme="majorBidi"/>
                <w:b/>
                <w:sz w:val="24"/>
                <w:szCs w:val="24"/>
              </w:rPr>
              <w:t>Training cell-lines</w:t>
            </w:r>
          </w:p>
        </w:tc>
        <w:tc>
          <w:tcPr>
            <w:tcW w:w="3698" w:type="dxa"/>
            <w:gridSpan w:val="2"/>
          </w:tcPr>
          <w:p w:rsidR="00F84FED" w:rsidRPr="008F7397" w:rsidRDefault="00F84FED" w:rsidP="00017D03">
            <w:pPr>
              <w:jc w:val="both"/>
              <w:rPr>
                <w:rFonts w:asciiTheme="majorBidi" w:hAnsiTheme="majorBidi" w:cstheme="majorBidi"/>
                <w:b/>
                <w:sz w:val="24"/>
                <w:szCs w:val="24"/>
              </w:rPr>
            </w:pPr>
            <w:r w:rsidRPr="008F7397">
              <w:rPr>
                <w:rFonts w:asciiTheme="majorBidi" w:hAnsiTheme="majorBidi" w:cstheme="majorBidi"/>
                <w:b/>
                <w:sz w:val="24"/>
                <w:szCs w:val="24"/>
              </w:rPr>
              <w:t>Validation cell-lines</w:t>
            </w:r>
          </w:p>
        </w:tc>
      </w:tr>
      <w:tr w:rsidR="00F84FED" w:rsidRPr="008F7397" w:rsidTr="00017D03">
        <w:tc>
          <w:tcPr>
            <w:tcW w:w="1848" w:type="dxa"/>
            <w:vMerge/>
          </w:tcPr>
          <w:p w:rsidR="00F84FED" w:rsidRPr="008F7397" w:rsidRDefault="00F84FED" w:rsidP="00017D03">
            <w:pPr>
              <w:jc w:val="both"/>
              <w:rPr>
                <w:rFonts w:asciiTheme="majorBidi" w:hAnsiTheme="majorBidi" w:cstheme="majorBidi"/>
                <w:b/>
                <w:sz w:val="24"/>
                <w:szCs w:val="24"/>
              </w:rPr>
            </w:pPr>
          </w:p>
        </w:tc>
        <w:tc>
          <w:tcPr>
            <w:tcW w:w="1848" w:type="dxa"/>
          </w:tcPr>
          <w:p w:rsidR="00F84FED" w:rsidRPr="008F7397" w:rsidRDefault="00F84FED" w:rsidP="00017D03">
            <w:pPr>
              <w:jc w:val="both"/>
              <w:rPr>
                <w:rFonts w:asciiTheme="majorBidi" w:hAnsiTheme="majorBidi" w:cstheme="majorBidi"/>
                <w:b/>
                <w:sz w:val="24"/>
                <w:szCs w:val="24"/>
              </w:rPr>
            </w:pPr>
            <w:r w:rsidRPr="008F7397">
              <w:rPr>
                <w:rFonts w:asciiTheme="majorBidi" w:hAnsiTheme="majorBidi" w:cstheme="majorBidi"/>
                <w:b/>
                <w:sz w:val="24"/>
                <w:szCs w:val="24"/>
              </w:rPr>
              <w:t>MOLM16 (TYK2)</w:t>
            </w:r>
          </w:p>
        </w:tc>
        <w:tc>
          <w:tcPr>
            <w:tcW w:w="1848" w:type="dxa"/>
          </w:tcPr>
          <w:p w:rsidR="00F84FED" w:rsidRPr="008F7397" w:rsidRDefault="00F84FED" w:rsidP="00017D03">
            <w:pPr>
              <w:jc w:val="both"/>
              <w:rPr>
                <w:rFonts w:asciiTheme="majorBidi" w:hAnsiTheme="majorBidi" w:cstheme="majorBidi"/>
                <w:b/>
                <w:sz w:val="24"/>
                <w:szCs w:val="24"/>
              </w:rPr>
            </w:pPr>
            <w:r w:rsidRPr="008F7397">
              <w:rPr>
                <w:rFonts w:asciiTheme="majorBidi" w:hAnsiTheme="majorBidi" w:cstheme="majorBidi"/>
                <w:b/>
                <w:sz w:val="24"/>
                <w:szCs w:val="24"/>
              </w:rPr>
              <w:t>MV411</w:t>
            </w:r>
          </w:p>
          <w:p w:rsidR="00F84FED" w:rsidRPr="008F7397" w:rsidRDefault="00F84FED" w:rsidP="00017D03">
            <w:pPr>
              <w:jc w:val="both"/>
              <w:rPr>
                <w:rFonts w:asciiTheme="majorBidi" w:hAnsiTheme="majorBidi" w:cstheme="majorBidi"/>
                <w:b/>
                <w:sz w:val="24"/>
                <w:szCs w:val="24"/>
              </w:rPr>
            </w:pPr>
            <w:r w:rsidRPr="008F7397">
              <w:rPr>
                <w:rFonts w:asciiTheme="majorBidi" w:hAnsiTheme="majorBidi" w:cstheme="majorBidi"/>
                <w:b/>
                <w:sz w:val="24"/>
                <w:szCs w:val="24"/>
              </w:rPr>
              <w:t>(FLT-ITD)</w:t>
            </w:r>
          </w:p>
        </w:tc>
        <w:tc>
          <w:tcPr>
            <w:tcW w:w="1849" w:type="dxa"/>
          </w:tcPr>
          <w:p w:rsidR="00F84FED" w:rsidRPr="008F7397" w:rsidRDefault="00F84FED" w:rsidP="00017D03">
            <w:pPr>
              <w:jc w:val="both"/>
              <w:rPr>
                <w:rFonts w:asciiTheme="majorBidi" w:hAnsiTheme="majorBidi" w:cstheme="majorBidi"/>
                <w:b/>
                <w:sz w:val="24"/>
                <w:szCs w:val="24"/>
              </w:rPr>
            </w:pPr>
            <w:r w:rsidRPr="008F7397">
              <w:rPr>
                <w:rFonts w:asciiTheme="majorBidi" w:hAnsiTheme="majorBidi" w:cstheme="majorBidi"/>
                <w:b/>
                <w:sz w:val="24"/>
                <w:szCs w:val="24"/>
              </w:rPr>
              <w:t>EOL1</w:t>
            </w:r>
          </w:p>
          <w:p w:rsidR="00F84FED" w:rsidRPr="008F7397" w:rsidRDefault="00F84FED" w:rsidP="00017D03">
            <w:pPr>
              <w:jc w:val="both"/>
              <w:rPr>
                <w:rFonts w:asciiTheme="majorBidi" w:hAnsiTheme="majorBidi" w:cstheme="majorBidi"/>
                <w:b/>
                <w:sz w:val="24"/>
                <w:szCs w:val="24"/>
              </w:rPr>
            </w:pPr>
            <w:r w:rsidRPr="008F7397">
              <w:rPr>
                <w:rFonts w:asciiTheme="majorBidi" w:hAnsiTheme="majorBidi" w:cstheme="majorBidi"/>
                <w:b/>
                <w:sz w:val="24"/>
                <w:szCs w:val="24"/>
              </w:rPr>
              <w:t>(FIP1L1-PDGFRA)</w:t>
            </w:r>
          </w:p>
        </w:tc>
        <w:tc>
          <w:tcPr>
            <w:tcW w:w="1849" w:type="dxa"/>
          </w:tcPr>
          <w:p w:rsidR="00F84FED" w:rsidRPr="008F7397" w:rsidRDefault="00F84FED" w:rsidP="00017D03">
            <w:pPr>
              <w:jc w:val="both"/>
              <w:rPr>
                <w:rFonts w:asciiTheme="majorBidi" w:hAnsiTheme="majorBidi" w:cstheme="majorBidi"/>
                <w:b/>
                <w:sz w:val="24"/>
                <w:szCs w:val="24"/>
              </w:rPr>
            </w:pPr>
            <w:r w:rsidRPr="008F7397">
              <w:rPr>
                <w:rFonts w:asciiTheme="majorBidi" w:hAnsiTheme="majorBidi" w:cstheme="majorBidi"/>
                <w:b/>
                <w:sz w:val="24"/>
                <w:szCs w:val="24"/>
              </w:rPr>
              <w:t>KG1A</w:t>
            </w:r>
          </w:p>
          <w:p w:rsidR="00F84FED" w:rsidRPr="008F7397" w:rsidRDefault="00F84FED" w:rsidP="00017D03">
            <w:pPr>
              <w:jc w:val="both"/>
              <w:rPr>
                <w:rFonts w:asciiTheme="majorBidi" w:hAnsiTheme="majorBidi" w:cstheme="majorBidi"/>
                <w:b/>
                <w:sz w:val="24"/>
                <w:szCs w:val="24"/>
              </w:rPr>
            </w:pPr>
            <w:r w:rsidRPr="008F7397">
              <w:rPr>
                <w:rFonts w:asciiTheme="majorBidi" w:hAnsiTheme="majorBidi" w:cstheme="majorBidi"/>
                <w:b/>
                <w:sz w:val="24"/>
                <w:szCs w:val="24"/>
              </w:rPr>
              <w:t>(FGFR1)</w:t>
            </w:r>
          </w:p>
        </w:tc>
      </w:tr>
      <w:tr w:rsidR="00F84FED" w:rsidRPr="008F7397" w:rsidTr="00017D03">
        <w:tc>
          <w:tcPr>
            <w:tcW w:w="1848" w:type="dxa"/>
          </w:tcPr>
          <w:p w:rsidR="00F84FED" w:rsidRPr="008F7397" w:rsidRDefault="00F84FED" w:rsidP="00017D03">
            <w:pPr>
              <w:jc w:val="both"/>
              <w:rPr>
                <w:rFonts w:asciiTheme="majorBidi" w:hAnsiTheme="majorBidi" w:cstheme="majorBidi"/>
                <w:bCs/>
                <w:sz w:val="24"/>
                <w:szCs w:val="24"/>
              </w:rPr>
            </w:pPr>
            <w:r w:rsidRPr="008F7397">
              <w:rPr>
                <w:rFonts w:asciiTheme="majorBidi" w:hAnsiTheme="majorBidi" w:cstheme="majorBidi"/>
                <w:bCs/>
                <w:sz w:val="24"/>
                <w:szCs w:val="24"/>
              </w:rPr>
              <w:t>PIM1</w:t>
            </w:r>
          </w:p>
        </w:tc>
        <w:tc>
          <w:tcPr>
            <w:tcW w:w="1848" w:type="dxa"/>
          </w:tcPr>
          <w:p w:rsidR="00F84FED" w:rsidRPr="008F7397" w:rsidRDefault="00F84FED" w:rsidP="00017D03">
            <w:pPr>
              <w:jc w:val="center"/>
              <w:rPr>
                <w:rFonts w:asciiTheme="majorBidi" w:hAnsiTheme="majorBidi" w:cstheme="majorBidi"/>
                <w:bCs/>
                <w:sz w:val="24"/>
                <w:szCs w:val="24"/>
              </w:rPr>
            </w:pPr>
            <w:r w:rsidRPr="008F7397">
              <w:rPr>
                <w:rFonts w:asciiTheme="majorBidi" w:hAnsiTheme="majorBidi" w:cstheme="majorBidi"/>
                <w:bCs/>
                <w:sz w:val="24"/>
                <w:szCs w:val="24"/>
              </w:rPr>
              <w:t>1</w:t>
            </w:r>
          </w:p>
        </w:tc>
        <w:tc>
          <w:tcPr>
            <w:tcW w:w="1848" w:type="dxa"/>
          </w:tcPr>
          <w:p w:rsidR="00F84FED" w:rsidRPr="008F7397" w:rsidRDefault="00F84FED" w:rsidP="00017D03">
            <w:pPr>
              <w:jc w:val="center"/>
              <w:rPr>
                <w:rFonts w:asciiTheme="majorBidi" w:hAnsiTheme="majorBidi" w:cstheme="majorBidi"/>
                <w:bCs/>
                <w:sz w:val="24"/>
                <w:szCs w:val="24"/>
              </w:rPr>
            </w:pPr>
            <w:r w:rsidRPr="008F7397">
              <w:rPr>
                <w:rFonts w:asciiTheme="majorBidi" w:hAnsiTheme="majorBidi" w:cstheme="majorBidi"/>
                <w:bCs/>
                <w:sz w:val="24"/>
                <w:szCs w:val="24"/>
              </w:rPr>
              <w:t>3/4</w:t>
            </w:r>
          </w:p>
        </w:tc>
        <w:tc>
          <w:tcPr>
            <w:tcW w:w="1849" w:type="dxa"/>
          </w:tcPr>
          <w:p w:rsidR="00F84FED" w:rsidRPr="008F7397" w:rsidRDefault="00F84FED" w:rsidP="00017D03">
            <w:pPr>
              <w:jc w:val="center"/>
              <w:rPr>
                <w:rFonts w:asciiTheme="majorBidi" w:hAnsiTheme="majorBidi" w:cstheme="majorBidi"/>
                <w:bCs/>
                <w:sz w:val="24"/>
                <w:szCs w:val="24"/>
              </w:rPr>
            </w:pPr>
            <w:r w:rsidRPr="008F7397">
              <w:rPr>
                <w:rFonts w:asciiTheme="majorBidi" w:hAnsiTheme="majorBidi" w:cstheme="majorBidi"/>
                <w:bCs/>
                <w:sz w:val="24"/>
                <w:szCs w:val="24"/>
              </w:rPr>
              <w:t>3/4</w:t>
            </w:r>
          </w:p>
        </w:tc>
        <w:tc>
          <w:tcPr>
            <w:tcW w:w="1849" w:type="dxa"/>
          </w:tcPr>
          <w:p w:rsidR="00F84FED" w:rsidRPr="008F7397" w:rsidRDefault="00F84FED" w:rsidP="00017D03">
            <w:pPr>
              <w:jc w:val="center"/>
              <w:rPr>
                <w:rFonts w:asciiTheme="majorBidi" w:hAnsiTheme="majorBidi" w:cstheme="majorBidi"/>
                <w:bCs/>
                <w:sz w:val="24"/>
                <w:szCs w:val="24"/>
              </w:rPr>
            </w:pPr>
            <w:r w:rsidRPr="008F7397">
              <w:rPr>
                <w:rFonts w:asciiTheme="majorBidi" w:hAnsiTheme="majorBidi" w:cstheme="majorBidi"/>
                <w:bCs/>
                <w:sz w:val="24"/>
                <w:szCs w:val="24"/>
              </w:rPr>
              <w:t>1</w:t>
            </w:r>
          </w:p>
        </w:tc>
      </w:tr>
      <w:tr w:rsidR="00F84FED" w:rsidRPr="008F7397" w:rsidTr="00017D03">
        <w:tc>
          <w:tcPr>
            <w:tcW w:w="1848" w:type="dxa"/>
          </w:tcPr>
          <w:p w:rsidR="00F84FED" w:rsidRPr="008F7397" w:rsidRDefault="00F84FED" w:rsidP="00017D03">
            <w:pPr>
              <w:jc w:val="both"/>
              <w:rPr>
                <w:rFonts w:asciiTheme="majorBidi" w:hAnsiTheme="majorBidi" w:cstheme="majorBidi"/>
                <w:bCs/>
                <w:sz w:val="24"/>
                <w:szCs w:val="24"/>
              </w:rPr>
            </w:pPr>
            <w:r w:rsidRPr="008F7397">
              <w:rPr>
                <w:rFonts w:asciiTheme="majorBidi" w:hAnsiTheme="majorBidi" w:cstheme="majorBidi"/>
                <w:bCs/>
                <w:sz w:val="24"/>
                <w:szCs w:val="24"/>
              </w:rPr>
              <w:t>PIM2</w:t>
            </w:r>
          </w:p>
        </w:tc>
        <w:tc>
          <w:tcPr>
            <w:tcW w:w="1848" w:type="dxa"/>
          </w:tcPr>
          <w:p w:rsidR="00F84FED" w:rsidRPr="008F7397" w:rsidRDefault="00F84FED" w:rsidP="00017D03">
            <w:pPr>
              <w:jc w:val="center"/>
              <w:rPr>
                <w:rFonts w:asciiTheme="majorBidi" w:hAnsiTheme="majorBidi" w:cstheme="majorBidi"/>
                <w:bCs/>
                <w:sz w:val="24"/>
                <w:szCs w:val="24"/>
              </w:rPr>
            </w:pPr>
            <w:r w:rsidRPr="008F7397">
              <w:rPr>
                <w:rFonts w:asciiTheme="majorBidi" w:hAnsiTheme="majorBidi" w:cstheme="majorBidi"/>
                <w:bCs/>
                <w:sz w:val="24"/>
                <w:szCs w:val="24"/>
              </w:rPr>
              <w:t>1/2</w:t>
            </w:r>
          </w:p>
        </w:tc>
        <w:tc>
          <w:tcPr>
            <w:tcW w:w="1848" w:type="dxa"/>
          </w:tcPr>
          <w:p w:rsidR="00F84FED" w:rsidRPr="008F7397" w:rsidRDefault="00F84FED" w:rsidP="00017D03">
            <w:pPr>
              <w:jc w:val="center"/>
              <w:rPr>
                <w:rFonts w:asciiTheme="majorBidi" w:hAnsiTheme="majorBidi" w:cstheme="majorBidi"/>
                <w:bCs/>
                <w:sz w:val="24"/>
                <w:szCs w:val="24"/>
              </w:rPr>
            </w:pPr>
            <w:r w:rsidRPr="008F7397">
              <w:rPr>
                <w:rFonts w:asciiTheme="majorBidi" w:hAnsiTheme="majorBidi" w:cstheme="majorBidi"/>
                <w:bCs/>
                <w:sz w:val="24"/>
                <w:szCs w:val="24"/>
              </w:rPr>
              <w:t>1</w:t>
            </w:r>
          </w:p>
        </w:tc>
        <w:tc>
          <w:tcPr>
            <w:tcW w:w="1849" w:type="dxa"/>
          </w:tcPr>
          <w:p w:rsidR="00F84FED" w:rsidRPr="008F7397" w:rsidRDefault="00F84FED" w:rsidP="00017D03">
            <w:pPr>
              <w:jc w:val="center"/>
              <w:rPr>
                <w:rFonts w:asciiTheme="majorBidi" w:hAnsiTheme="majorBidi" w:cstheme="majorBidi"/>
                <w:bCs/>
                <w:sz w:val="24"/>
                <w:szCs w:val="24"/>
              </w:rPr>
            </w:pPr>
            <w:r w:rsidRPr="008F7397">
              <w:rPr>
                <w:rFonts w:asciiTheme="majorBidi" w:hAnsiTheme="majorBidi" w:cstheme="majorBidi"/>
                <w:bCs/>
                <w:sz w:val="24"/>
                <w:szCs w:val="24"/>
              </w:rPr>
              <w:t>1/2</w:t>
            </w:r>
          </w:p>
        </w:tc>
        <w:tc>
          <w:tcPr>
            <w:tcW w:w="1849" w:type="dxa"/>
          </w:tcPr>
          <w:p w:rsidR="00F84FED" w:rsidRPr="008F7397" w:rsidRDefault="00F84FED" w:rsidP="00017D03">
            <w:pPr>
              <w:jc w:val="center"/>
              <w:rPr>
                <w:rFonts w:asciiTheme="majorBidi" w:hAnsiTheme="majorBidi" w:cstheme="majorBidi"/>
                <w:bCs/>
                <w:sz w:val="24"/>
                <w:szCs w:val="24"/>
              </w:rPr>
            </w:pPr>
          </w:p>
        </w:tc>
      </w:tr>
      <w:tr w:rsidR="00F84FED" w:rsidRPr="008F7397" w:rsidTr="00017D03">
        <w:tc>
          <w:tcPr>
            <w:tcW w:w="1848" w:type="dxa"/>
          </w:tcPr>
          <w:p w:rsidR="00F84FED" w:rsidRPr="008F7397" w:rsidRDefault="00F84FED" w:rsidP="00017D03">
            <w:pPr>
              <w:jc w:val="both"/>
              <w:rPr>
                <w:rFonts w:asciiTheme="majorBidi" w:hAnsiTheme="majorBidi" w:cstheme="majorBidi"/>
                <w:bCs/>
                <w:sz w:val="24"/>
                <w:szCs w:val="24"/>
              </w:rPr>
            </w:pPr>
            <w:r w:rsidRPr="008F7397">
              <w:rPr>
                <w:rFonts w:asciiTheme="majorBidi" w:hAnsiTheme="majorBidi" w:cstheme="majorBidi"/>
                <w:bCs/>
                <w:sz w:val="24"/>
                <w:szCs w:val="24"/>
              </w:rPr>
              <w:t>BCR</w:t>
            </w:r>
          </w:p>
        </w:tc>
        <w:tc>
          <w:tcPr>
            <w:tcW w:w="1848" w:type="dxa"/>
          </w:tcPr>
          <w:p w:rsidR="00F84FED" w:rsidRPr="008F7397" w:rsidRDefault="00F84FED" w:rsidP="00017D03">
            <w:pPr>
              <w:jc w:val="center"/>
              <w:rPr>
                <w:rFonts w:asciiTheme="majorBidi" w:hAnsiTheme="majorBidi" w:cstheme="majorBidi"/>
                <w:bCs/>
                <w:sz w:val="24"/>
                <w:szCs w:val="24"/>
              </w:rPr>
            </w:pPr>
          </w:p>
        </w:tc>
        <w:tc>
          <w:tcPr>
            <w:tcW w:w="1848" w:type="dxa"/>
          </w:tcPr>
          <w:p w:rsidR="00F84FED" w:rsidRPr="008F7397" w:rsidRDefault="00F84FED" w:rsidP="00017D03">
            <w:pPr>
              <w:jc w:val="center"/>
              <w:rPr>
                <w:rFonts w:asciiTheme="majorBidi" w:hAnsiTheme="majorBidi" w:cstheme="majorBidi"/>
                <w:bCs/>
                <w:sz w:val="24"/>
                <w:szCs w:val="24"/>
              </w:rPr>
            </w:pPr>
            <w:r w:rsidRPr="008F7397">
              <w:rPr>
                <w:rFonts w:asciiTheme="majorBidi" w:hAnsiTheme="majorBidi" w:cstheme="majorBidi"/>
                <w:bCs/>
                <w:sz w:val="24"/>
                <w:szCs w:val="24"/>
              </w:rPr>
              <w:t>1/2</w:t>
            </w:r>
          </w:p>
        </w:tc>
        <w:tc>
          <w:tcPr>
            <w:tcW w:w="1849" w:type="dxa"/>
          </w:tcPr>
          <w:p w:rsidR="00F84FED" w:rsidRPr="008F7397" w:rsidRDefault="00F84FED" w:rsidP="00017D03">
            <w:pPr>
              <w:jc w:val="center"/>
              <w:rPr>
                <w:rFonts w:asciiTheme="majorBidi" w:hAnsiTheme="majorBidi" w:cstheme="majorBidi"/>
                <w:bCs/>
                <w:sz w:val="24"/>
                <w:szCs w:val="24"/>
              </w:rPr>
            </w:pPr>
          </w:p>
        </w:tc>
        <w:tc>
          <w:tcPr>
            <w:tcW w:w="1849" w:type="dxa"/>
          </w:tcPr>
          <w:p w:rsidR="00F84FED" w:rsidRPr="008F7397" w:rsidRDefault="00F84FED" w:rsidP="00017D03">
            <w:pPr>
              <w:jc w:val="center"/>
              <w:rPr>
                <w:rFonts w:asciiTheme="majorBidi" w:hAnsiTheme="majorBidi" w:cstheme="majorBidi"/>
                <w:bCs/>
                <w:sz w:val="24"/>
                <w:szCs w:val="24"/>
              </w:rPr>
            </w:pPr>
          </w:p>
        </w:tc>
      </w:tr>
      <w:tr w:rsidR="00F84FED" w:rsidRPr="008F7397" w:rsidTr="00017D03">
        <w:tc>
          <w:tcPr>
            <w:tcW w:w="1848" w:type="dxa"/>
          </w:tcPr>
          <w:p w:rsidR="00F84FED" w:rsidRPr="008F7397" w:rsidRDefault="00F84FED" w:rsidP="00017D03">
            <w:pPr>
              <w:jc w:val="both"/>
              <w:rPr>
                <w:rFonts w:asciiTheme="majorBidi" w:hAnsiTheme="majorBidi" w:cstheme="majorBidi"/>
                <w:bCs/>
                <w:sz w:val="24"/>
                <w:szCs w:val="24"/>
              </w:rPr>
            </w:pPr>
            <w:r w:rsidRPr="008F7397">
              <w:rPr>
                <w:rFonts w:asciiTheme="majorBidi" w:hAnsiTheme="majorBidi" w:cstheme="majorBidi"/>
                <w:bCs/>
                <w:sz w:val="24"/>
                <w:szCs w:val="24"/>
              </w:rPr>
              <w:t>ERK</w:t>
            </w:r>
          </w:p>
        </w:tc>
        <w:tc>
          <w:tcPr>
            <w:tcW w:w="1848" w:type="dxa"/>
          </w:tcPr>
          <w:p w:rsidR="00F84FED" w:rsidRPr="008F7397" w:rsidRDefault="00F84FED" w:rsidP="00017D03">
            <w:pPr>
              <w:jc w:val="center"/>
              <w:rPr>
                <w:rFonts w:asciiTheme="majorBidi" w:hAnsiTheme="majorBidi" w:cstheme="majorBidi"/>
                <w:bCs/>
                <w:sz w:val="24"/>
                <w:szCs w:val="24"/>
              </w:rPr>
            </w:pPr>
          </w:p>
        </w:tc>
        <w:tc>
          <w:tcPr>
            <w:tcW w:w="1848" w:type="dxa"/>
          </w:tcPr>
          <w:p w:rsidR="00F84FED" w:rsidRPr="008F7397" w:rsidRDefault="00F84FED" w:rsidP="00017D03">
            <w:pPr>
              <w:jc w:val="center"/>
              <w:rPr>
                <w:rFonts w:asciiTheme="majorBidi" w:hAnsiTheme="majorBidi" w:cstheme="majorBidi"/>
                <w:bCs/>
                <w:sz w:val="24"/>
                <w:szCs w:val="24"/>
              </w:rPr>
            </w:pPr>
          </w:p>
        </w:tc>
        <w:tc>
          <w:tcPr>
            <w:tcW w:w="1849" w:type="dxa"/>
          </w:tcPr>
          <w:p w:rsidR="00F84FED" w:rsidRPr="008F7397" w:rsidRDefault="00F84FED" w:rsidP="00017D03">
            <w:pPr>
              <w:jc w:val="center"/>
              <w:rPr>
                <w:rFonts w:asciiTheme="majorBidi" w:hAnsiTheme="majorBidi" w:cstheme="majorBidi"/>
                <w:bCs/>
                <w:sz w:val="24"/>
                <w:szCs w:val="24"/>
              </w:rPr>
            </w:pPr>
            <w:r w:rsidRPr="008F7397">
              <w:rPr>
                <w:rFonts w:asciiTheme="majorBidi" w:hAnsiTheme="majorBidi" w:cstheme="majorBidi"/>
                <w:bCs/>
                <w:sz w:val="24"/>
                <w:szCs w:val="24"/>
              </w:rPr>
              <w:t>1/2</w:t>
            </w:r>
          </w:p>
        </w:tc>
        <w:tc>
          <w:tcPr>
            <w:tcW w:w="1849" w:type="dxa"/>
          </w:tcPr>
          <w:p w:rsidR="00F84FED" w:rsidRPr="008F7397" w:rsidRDefault="00F84FED" w:rsidP="00017D03">
            <w:pPr>
              <w:jc w:val="center"/>
              <w:rPr>
                <w:rFonts w:asciiTheme="majorBidi" w:hAnsiTheme="majorBidi" w:cstheme="majorBidi"/>
                <w:bCs/>
                <w:sz w:val="24"/>
                <w:szCs w:val="24"/>
              </w:rPr>
            </w:pPr>
          </w:p>
        </w:tc>
      </w:tr>
      <w:tr w:rsidR="00F84FED" w:rsidRPr="008F7397" w:rsidTr="00017D03">
        <w:tc>
          <w:tcPr>
            <w:tcW w:w="1848" w:type="dxa"/>
          </w:tcPr>
          <w:p w:rsidR="00F84FED" w:rsidRPr="008F7397" w:rsidRDefault="00F84FED" w:rsidP="00017D03">
            <w:pPr>
              <w:jc w:val="both"/>
              <w:rPr>
                <w:rFonts w:asciiTheme="majorBidi" w:hAnsiTheme="majorBidi" w:cstheme="majorBidi"/>
                <w:bCs/>
                <w:sz w:val="24"/>
                <w:szCs w:val="24"/>
              </w:rPr>
            </w:pPr>
            <w:r w:rsidRPr="008F7397">
              <w:rPr>
                <w:rFonts w:asciiTheme="majorBidi" w:hAnsiTheme="majorBidi" w:cstheme="majorBidi"/>
                <w:bCs/>
                <w:sz w:val="24"/>
                <w:szCs w:val="24"/>
              </w:rPr>
              <w:t>Grb2/SOS complex</w:t>
            </w:r>
          </w:p>
        </w:tc>
        <w:tc>
          <w:tcPr>
            <w:tcW w:w="1848" w:type="dxa"/>
          </w:tcPr>
          <w:p w:rsidR="00F84FED" w:rsidRPr="008F7397" w:rsidRDefault="00F84FED" w:rsidP="00017D03">
            <w:pPr>
              <w:jc w:val="center"/>
              <w:rPr>
                <w:rFonts w:asciiTheme="majorBidi" w:hAnsiTheme="majorBidi" w:cstheme="majorBidi"/>
                <w:bCs/>
                <w:sz w:val="24"/>
                <w:szCs w:val="24"/>
              </w:rPr>
            </w:pPr>
          </w:p>
        </w:tc>
        <w:tc>
          <w:tcPr>
            <w:tcW w:w="1848" w:type="dxa"/>
          </w:tcPr>
          <w:p w:rsidR="00F84FED" w:rsidRPr="008F7397" w:rsidRDefault="00F84FED" w:rsidP="00017D03">
            <w:pPr>
              <w:jc w:val="center"/>
              <w:rPr>
                <w:rFonts w:asciiTheme="majorBidi" w:hAnsiTheme="majorBidi" w:cstheme="majorBidi"/>
                <w:bCs/>
                <w:sz w:val="24"/>
                <w:szCs w:val="24"/>
              </w:rPr>
            </w:pPr>
          </w:p>
        </w:tc>
        <w:tc>
          <w:tcPr>
            <w:tcW w:w="1849" w:type="dxa"/>
          </w:tcPr>
          <w:p w:rsidR="00F84FED" w:rsidRPr="008F7397" w:rsidRDefault="00F84FED" w:rsidP="00017D03">
            <w:pPr>
              <w:jc w:val="center"/>
              <w:rPr>
                <w:rFonts w:asciiTheme="majorBidi" w:hAnsiTheme="majorBidi" w:cstheme="majorBidi"/>
                <w:bCs/>
                <w:sz w:val="24"/>
                <w:szCs w:val="24"/>
              </w:rPr>
            </w:pPr>
          </w:p>
        </w:tc>
        <w:tc>
          <w:tcPr>
            <w:tcW w:w="1849" w:type="dxa"/>
          </w:tcPr>
          <w:p w:rsidR="00F84FED" w:rsidRPr="008F7397" w:rsidRDefault="00F84FED" w:rsidP="00017D03">
            <w:pPr>
              <w:jc w:val="center"/>
              <w:rPr>
                <w:rFonts w:asciiTheme="majorBidi" w:hAnsiTheme="majorBidi" w:cstheme="majorBidi"/>
                <w:bCs/>
                <w:sz w:val="24"/>
                <w:szCs w:val="24"/>
              </w:rPr>
            </w:pPr>
            <w:r w:rsidRPr="008F7397">
              <w:rPr>
                <w:rFonts w:asciiTheme="majorBidi" w:hAnsiTheme="majorBidi" w:cstheme="majorBidi"/>
                <w:bCs/>
                <w:sz w:val="24"/>
                <w:szCs w:val="24"/>
              </w:rPr>
              <w:t>1/2</w:t>
            </w:r>
          </w:p>
        </w:tc>
      </w:tr>
      <w:tr w:rsidR="00F84FED" w:rsidRPr="008F7397" w:rsidTr="00017D03">
        <w:tc>
          <w:tcPr>
            <w:tcW w:w="1848" w:type="dxa"/>
          </w:tcPr>
          <w:p w:rsidR="00F84FED" w:rsidRPr="008F7397" w:rsidRDefault="00F84FED" w:rsidP="00017D03">
            <w:pPr>
              <w:jc w:val="both"/>
              <w:rPr>
                <w:rFonts w:asciiTheme="majorBidi" w:hAnsiTheme="majorBidi" w:cstheme="majorBidi"/>
                <w:bCs/>
                <w:sz w:val="24"/>
                <w:szCs w:val="24"/>
              </w:rPr>
            </w:pPr>
            <w:r w:rsidRPr="008F7397">
              <w:rPr>
                <w:rFonts w:asciiTheme="majorBidi" w:hAnsiTheme="majorBidi" w:cstheme="majorBidi"/>
                <w:bCs/>
                <w:sz w:val="24"/>
                <w:szCs w:val="24"/>
              </w:rPr>
              <w:t>PI3K</w:t>
            </w:r>
          </w:p>
        </w:tc>
        <w:tc>
          <w:tcPr>
            <w:tcW w:w="1848" w:type="dxa"/>
          </w:tcPr>
          <w:p w:rsidR="00F84FED" w:rsidRPr="008F7397" w:rsidRDefault="00F84FED" w:rsidP="00017D03">
            <w:pPr>
              <w:jc w:val="center"/>
              <w:rPr>
                <w:rFonts w:asciiTheme="majorBidi" w:hAnsiTheme="majorBidi" w:cstheme="majorBidi"/>
                <w:bCs/>
                <w:sz w:val="24"/>
                <w:szCs w:val="24"/>
              </w:rPr>
            </w:pPr>
          </w:p>
        </w:tc>
        <w:tc>
          <w:tcPr>
            <w:tcW w:w="1848" w:type="dxa"/>
          </w:tcPr>
          <w:p w:rsidR="00F84FED" w:rsidRPr="008F7397" w:rsidRDefault="00F84FED" w:rsidP="00017D03">
            <w:pPr>
              <w:jc w:val="center"/>
              <w:rPr>
                <w:rFonts w:asciiTheme="majorBidi" w:hAnsiTheme="majorBidi" w:cstheme="majorBidi"/>
                <w:bCs/>
                <w:sz w:val="24"/>
                <w:szCs w:val="24"/>
              </w:rPr>
            </w:pPr>
          </w:p>
        </w:tc>
        <w:tc>
          <w:tcPr>
            <w:tcW w:w="1849" w:type="dxa"/>
          </w:tcPr>
          <w:p w:rsidR="00F84FED" w:rsidRPr="008F7397" w:rsidRDefault="00F84FED" w:rsidP="00017D03">
            <w:pPr>
              <w:jc w:val="center"/>
              <w:rPr>
                <w:rFonts w:asciiTheme="majorBidi" w:hAnsiTheme="majorBidi" w:cstheme="majorBidi"/>
                <w:bCs/>
                <w:sz w:val="24"/>
                <w:szCs w:val="24"/>
              </w:rPr>
            </w:pPr>
            <w:r w:rsidRPr="008F7397">
              <w:rPr>
                <w:rFonts w:asciiTheme="majorBidi" w:hAnsiTheme="majorBidi" w:cstheme="majorBidi"/>
                <w:bCs/>
                <w:sz w:val="24"/>
                <w:szCs w:val="24"/>
              </w:rPr>
              <w:t>1/2</w:t>
            </w:r>
          </w:p>
        </w:tc>
        <w:tc>
          <w:tcPr>
            <w:tcW w:w="1849" w:type="dxa"/>
          </w:tcPr>
          <w:p w:rsidR="00F84FED" w:rsidRPr="008F7397" w:rsidRDefault="00F84FED" w:rsidP="00017D03">
            <w:pPr>
              <w:jc w:val="center"/>
              <w:rPr>
                <w:rFonts w:asciiTheme="majorBidi" w:hAnsiTheme="majorBidi" w:cstheme="majorBidi"/>
                <w:bCs/>
                <w:sz w:val="24"/>
                <w:szCs w:val="24"/>
              </w:rPr>
            </w:pPr>
          </w:p>
        </w:tc>
      </w:tr>
      <w:tr w:rsidR="00F84FED" w:rsidRPr="008F7397" w:rsidTr="00017D03">
        <w:tc>
          <w:tcPr>
            <w:tcW w:w="1848" w:type="dxa"/>
          </w:tcPr>
          <w:p w:rsidR="00F84FED" w:rsidRPr="008F7397" w:rsidRDefault="00F84FED" w:rsidP="00017D03">
            <w:pPr>
              <w:jc w:val="both"/>
              <w:rPr>
                <w:rFonts w:asciiTheme="majorBidi" w:hAnsiTheme="majorBidi" w:cstheme="majorBidi"/>
                <w:bCs/>
                <w:sz w:val="24"/>
                <w:szCs w:val="24"/>
              </w:rPr>
            </w:pPr>
            <w:r w:rsidRPr="008F7397">
              <w:rPr>
                <w:rFonts w:asciiTheme="majorBidi" w:hAnsiTheme="majorBidi" w:cstheme="majorBidi"/>
                <w:bCs/>
                <w:sz w:val="24"/>
                <w:szCs w:val="24"/>
              </w:rPr>
              <w:t>cMyc</w:t>
            </w:r>
          </w:p>
        </w:tc>
        <w:tc>
          <w:tcPr>
            <w:tcW w:w="1848" w:type="dxa"/>
          </w:tcPr>
          <w:p w:rsidR="00F84FED" w:rsidRPr="008F7397" w:rsidRDefault="00F84FED" w:rsidP="00017D03">
            <w:pPr>
              <w:jc w:val="center"/>
              <w:rPr>
                <w:rFonts w:asciiTheme="majorBidi" w:hAnsiTheme="majorBidi" w:cstheme="majorBidi"/>
                <w:bCs/>
                <w:sz w:val="24"/>
                <w:szCs w:val="24"/>
              </w:rPr>
            </w:pPr>
          </w:p>
        </w:tc>
        <w:tc>
          <w:tcPr>
            <w:tcW w:w="1848" w:type="dxa"/>
          </w:tcPr>
          <w:p w:rsidR="00F84FED" w:rsidRPr="008F7397" w:rsidRDefault="00F84FED" w:rsidP="00017D03">
            <w:pPr>
              <w:jc w:val="center"/>
              <w:rPr>
                <w:rFonts w:asciiTheme="majorBidi" w:hAnsiTheme="majorBidi" w:cstheme="majorBidi"/>
                <w:bCs/>
                <w:sz w:val="24"/>
                <w:szCs w:val="24"/>
              </w:rPr>
            </w:pPr>
          </w:p>
        </w:tc>
        <w:tc>
          <w:tcPr>
            <w:tcW w:w="1849" w:type="dxa"/>
          </w:tcPr>
          <w:p w:rsidR="00F84FED" w:rsidRPr="008F7397" w:rsidRDefault="00F84FED" w:rsidP="00017D03">
            <w:pPr>
              <w:jc w:val="center"/>
              <w:rPr>
                <w:rFonts w:asciiTheme="majorBidi" w:hAnsiTheme="majorBidi" w:cstheme="majorBidi"/>
                <w:bCs/>
                <w:sz w:val="24"/>
                <w:szCs w:val="24"/>
              </w:rPr>
            </w:pPr>
          </w:p>
        </w:tc>
        <w:tc>
          <w:tcPr>
            <w:tcW w:w="1849" w:type="dxa"/>
          </w:tcPr>
          <w:p w:rsidR="00F84FED" w:rsidRPr="008F7397" w:rsidRDefault="00F84FED" w:rsidP="00017D03">
            <w:pPr>
              <w:jc w:val="center"/>
              <w:rPr>
                <w:rFonts w:asciiTheme="majorBidi" w:hAnsiTheme="majorBidi" w:cstheme="majorBidi"/>
                <w:bCs/>
                <w:sz w:val="24"/>
                <w:szCs w:val="24"/>
              </w:rPr>
            </w:pPr>
            <w:r w:rsidRPr="008F7397">
              <w:rPr>
                <w:rFonts w:asciiTheme="majorBidi" w:hAnsiTheme="majorBidi" w:cstheme="majorBidi"/>
                <w:bCs/>
                <w:sz w:val="24"/>
                <w:szCs w:val="24"/>
              </w:rPr>
              <w:t>3/4</w:t>
            </w:r>
          </w:p>
        </w:tc>
      </w:tr>
    </w:tbl>
    <w:p w:rsidR="00F84FED" w:rsidRPr="008F7397" w:rsidRDefault="00F84FED" w:rsidP="00F84FED">
      <w:pPr>
        <w:jc w:val="both"/>
        <w:rPr>
          <w:rFonts w:asciiTheme="majorBidi" w:hAnsiTheme="majorBidi" w:cstheme="majorBidi"/>
          <w:bCs/>
          <w:sz w:val="24"/>
          <w:szCs w:val="24"/>
          <w:lang w:val="en-US"/>
        </w:rPr>
      </w:pPr>
    </w:p>
    <w:p w:rsidR="00F84FED" w:rsidRPr="008F7397" w:rsidRDefault="0004568F" w:rsidP="005D1876">
      <w:pPr>
        <w:pageBreakBefore/>
        <w:spacing w:line="480" w:lineRule="auto"/>
        <w:jc w:val="both"/>
        <w:rPr>
          <w:rFonts w:asciiTheme="majorBidi" w:hAnsiTheme="majorBidi" w:cstheme="majorBidi"/>
          <w:sz w:val="24"/>
          <w:szCs w:val="24"/>
        </w:rPr>
      </w:pPr>
      <w:r>
        <w:rPr>
          <w:rFonts w:asciiTheme="majorBidi" w:hAnsiTheme="majorBidi" w:cstheme="majorBidi"/>
          <w:b/>
          <w:sz w:val="24"/>
          <w:szCs w:val="24"/>
          <w:lang w:val="en-US"/>
        </w:rPr>
        <w:lastRenderedPageBreak/>
        <w:t>Table S11</w:t>
      </w:r>
      <w:r w:rsidR="00F84FED" w:rsidRPr="008F7397">
        <w:rPr>
          <w:rFonts w:asciiTheme="majorBidi" w:hAnsiTheme="majorBidi" w:cstheme="majorBidi"/>
          <w:b/>
          <w:sz w:val="24"/>
          <w:szCs w:val="24"/>
          <w:lang w:val="en-US"/>
        </w:rPr>
        <w:t xml:space="preserve">. </w:t>
      </w:r>
      <w:r w:rsidR="005D1876" w:rsidRPr="008F7397">
        <w:rPr>
          <w:rFonts w:asciiTheme="majorBidi" w:hAnsiTheme="majorBidi" w:cstheme="majorBidi"/>
          <w:b/>
          <w:sz w:val="24"/>
          <w:szCs w:val="24"/>
          <w:lang w:val="en-US"/>
        </w:rPr>
        <w:t>Cell-specific AML n</w:t>
      </w:r>
      <w:r w:rsidR="00F84FED" w:rsidRPr="008F7397">
        <w:rPr>
          <w:rFonts w:asciiTheme="majorBidi" w:hAnsiTheme="majorBidi" w:cstheme="majorBidi"/>
          <w:b/>
          <w:sz w:val="24"/>
          <w:szCs w:val="24"/>
          <w:lang w:val="en-US"/>
        </w:rPr>
        <w:t xml:space="preserve">etwork </w:t>
      </w:r>
      <w:r w:rsidR="005D1876" w:rsidRPr="008F7397">
        <w:rPr>
          <w:rFonts w:asciiTheme="majorBidi" w:hAnsiTheme="majorBidi" w:cstheme="majorBidi"/>
          <w:b/>
          <w:sz w:val="24"/>
          <w:szCs w:val="24"/>
          <w:lang w:val="en-US"/>
        </w:rPr>
        <w:t>model r</w:t>
      </w:r>
      <w:r w:rsidR="00F84FED" w:rsidRPr="008F7397">
        <w:rPr>
          <w:rFonts w:asciiTheme="majorBidi" w:hAnsiTheme="majorBidi" w:cstheme="majorBidi"/>
          <w:b/>
          <w:sz w:val="24"/>
          <w:szCs w:val="24"/>
          <w:lang w:val="en-US"/>
        </w:rPr>
        <w:t xml:space="preserve">eplicates </w:t>
      </w:r>
      <w:r w:rsidR="005D1876" w:rsidRPr="008F7397">
        <w:rPr>
          <w:rFonts w:asciiTheme="majorBidi" w:hAnsiTheme="majorBidi" w:cstheme="majorBidi"/>
          <w:b/>
          <w:sz w:val="24"/>
          <w:szCs w:val="24"/>
          <w:lang w:val="en-US"/>
        </w:rPr>
        <w:t>response to treatments reported in external p</w:t>
      </w:r>
      <w:r w:rsidR="00F84FED" w:rsidRPr="008F7397">
        <w:rPr>
          <w:rFonts w:asciiTheme="majorBidi" w:hAnsiTheme="majorBidi" w:cstheme="majorBidi"/>
          <w:b/>
          <w:sz w:val="24"/>
          <w:szCs w:val="24"/>
          <w:lang w:val="en-US"/>
        </w:rPr>
        <w:t xml:space="preserve">ublications. </w:t>
      </w:r>
      <w:r w:rsidR="00F84FED" w:rsidRPr="008F7397">
        <w:rPr>
          <w:rFonts w:asciiTheme="majorBidi" w:hAnsiTheme="majorBidi" w:cstheme="majorBidi"/>
          <w:sz w:val="24"/>
          <w:szCs w:val="24"/>
        </w:rPr>
        <w:t xml:space="preserve">Summary of experimental conclusions are given in </w:t>
      </w:r>
      <w:r w:rsidR="00F84FED" w:rsidRPr="008F7397">
        <w:rPr>
          <w:rFonts w:asciiTheme="majorBidi" w:hAnsiTheme="majorBidi" w:cstheme="majorBidi"/>
          <w:i/>
          <w:sz w:val="24"/>
          <w:szCs w:val="24"/>
        </w:rPr>
        <w:t>in-vitro</w:t>
      </w:r>
      <w:r w:rsidR="00F84FED" w:rsidRPr="008F7397">
        <w:rPr>
          <w:rFonts w:asciiTheme="majorBidi" w:hAnsiTheme="majorBidi" w:cstheme="majorBidi"/>
          <w:sz w:val="24"/>
          <w:szCs w:val="24"/>
        </w:rPr>
        <w:t xml:space="preserve">, and model predictions are given in </w:t>
      </w:r>
      <w:r w:rsidR="00F84FED" w:rsidRPr="008F7397">
        <w:rPr>
          <w:rFonts w:asciiTheme="majorBidi" w:hAnsiTheme="majorBidi" w:cstheme="majorBidi"/>
          <w:i/>
          <w:sz w:val="24"/>
          <w:szCs w:val="24"/>
        </w:rPr>
        <w:t>in-silico</w:t>
      </w:r>
      <w:r w:rsidR="00F84FED" w:rsidRPr="008F7397">
        <w:rPr>
          <w:rFonts w:asciiTheme="majorBidi" w:hAnsiTheme="majorBidi" w:cstheme="majorBidi"/>
          <w:sz w:val="24"/>
          <w:szCs w:val="24"/>
        </w:rPr>
        <w:t xml:space="preserve">. </w:t>
      </w:r>
    </w:p>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7"/>
        <w:gridCol w:w="1276"/>
        <w:gridCol w:w="1842"/>
        <w:gridCol w:w="2268"/>
        <w:gridCol w:w="2129"/>
        <w:gridCol w:w="990"/>
      </w:tblGrid>
      <w:tr w:rsidR="009D21C5" w:rsidRPr="008F7397" w:rsidTr="00951716">
        <w:trPr>
          <w:cantSplit/>
        </w:trPr>
        <w:tc>
          <w:tcPr>
            <w:tcW w:w="957" w:type="dxa"/>
          </w:tcPr>
          <w:p w:rsidR="009D21C5" w:rsidRPr="008F7397" w:rsidRDefault="009D21C5" w:rsidP="00951716">
            <w:pPr>
              <w:jc w:val="center"/>
              <w:rPr>
                <w:rFonts w:asciiTheme="majorBidi" w:hAnsiTheme="majorBidi" w:cstheme="majorBidi"/>
                <w:b/>
                <w:sz w:val="24"/>
                <w:szCs w:val="24"/>
              </w:rPr>
            </w:pPr>
            <w:r w:rsidRPr="008F7397">
              <w:rPr>
                <w:rFonts w:asciiTheme="majorBidi" w:hAnsiTheme="majorBidi" w:cstheme="majorBidi"/>
                <w:b/>
                <w:sz w:val="24"/>
                <w:szCs w:val="24"/>
              </w:rPr>
              <w:lastRenderedPageBreak/>
              <w:t>Paper</w:t>
            </w:r>
          </w:p>
        </w:tc>
        <w:tc>
          <w:tcPr>
            <w:tcW w:w="1276" w:type="dxa"/>
          </w:tcPr>
          <w:p w:rsidR="009D21C5" w:rsidRPr="008F7397" w:rsidRDefault="009D21C5" w:rsidP="00951716">
            <w:pPr>
              <w:jc w:val="center"/>
              <w:rPr>
                <w:rFonts w:asciiTheme="majorBidi" w:hAnsiTheme="majorBidi" w:cstheme="majorBidi"/>
                <w:b/>
                <w:bCs/>
                <w:sz w:val="24"/>
                <w:szCs w:val="24"/>
              </w:rPr>
            </w:pPr>
            <w:r w:rsidRPr="008F7397">
              <w:rPr>
                <w:rFonts w:asciiTheme="majorBidi" w:hAnsiTheme="majorBidi" w:cstheme="majorBidi"/>
                <w:b/>
                <w:bCs/>
                <w:sz w:val="24"/>
                <w:szCs w:val="24"/>
              </w:rPr>
              <w:t>Cell Line</w:t>
            </w:r>
          </w:p>
        </w:tc>
        <w:tc>
          <w:tcPr>
            <w:tcW w:w="1842" w:type="dxa"/>
          </w:tcPr>
          <w:p w:rsidR="009D21C5" w:rsidRPr="008F7397" w:rsidRDefault="009D21C5" w:rsidP="00951716">
            <w:pPr>
              <w:jc w:val="center"/>
              <w:rPr>
                <w:rFonts w:asciiTheme="majorBidi" w:hAnsiTheme="majorBidi" w:cstheme="majorBidi"/>
                <w:b/>
                <w:bCs/>
                <w:sz w:val="24"/>
                <w:szCs w:val="24"/>
              </w:rPr>
            </w:pPr>
            <w:r w:rsidRPr="008F7397">
              <w:rPr>
                <w:rFonts w:asciiTheme="majorBidi" w:hAnsiTheme="majorBidi" w:cstheme="majorBidi"/>
                <w:b/>
                <w:bCs/>
                <w:sz w:val="24"/>
                <w:szCs w:val="24"/>
              </w:rPr>
              <w:t>Perturbations</w:t>
            </w:r>
          </w:p>
        </w:tc>
        <w:tc>
          <w:tcPr>
            <w:tcW w:w="2268" w:type="dxa"/>
          </w:tcPr>
          <w:p w:rsidR="009D21C5" w:rsidRPr="008F7397" w:rsidRDefault="009D21C5" w:rsidP="00951716">
            <w:pPr>
              <w:jc w:val="center"/>
              <w:rPr>
                <w:rFonts w:asciiTheme="majorBidi" w:hAnsiTheme="majorBidi" w:cstheme="majorBidi"/>
                <w:b/>
                <w:bCs/>
                <w:sz w:val="24"/>
                <w:szCs w:val="24"/>
              </w:rPr>
            </w:pPr>
            <w:r w:rsidRPr="008F7397">
              <w:rPr>
                <w:rFonts w:asciiTheme="majorBidi" w:hAnsiTheme="majorBidi" w:cstheme="majorBidi"/>
                <w:b/>
                <w:bCs/>
                <w:sz w:val="24"/>
                <w:szCs w:val="24"/>
              </w:rPr>
              <w:t>In-Vitro</w:t>
            </w:r>
          </w:p>
        </w:tc>
        <w:tc>
          <w:tcPr>
            <w:tcW w:w="2129" w:type="dxa"/>
          </w:tcPr>
          <w:p w:rsidR="009D21C5" w:rsidRPr="008F7397" w:rsidRDefault="009D21C5" w:rsidP="00951716">
            <w:pPr>
              <w:jc w:val="center"/>
              <w:rPr>
                <w:rFonts w:asciiTheme="majorBidi" w:hAnsiTheme="majorBidi" w:cstheme="majorBidi"/>
                <w:b/>
                <w:bCs/>
                <w:sz w:val="24"/>
                <w:szCs w:val="24"/>
              </w:rPr>
            </w:pPr>
            <w:r w:rsidRPr="008F7397">
              <w:rPr>
                <w:rFonts w:asciiTheme="majorBidi" w:hAnsiTheme="majorBidi" w:cstheme="majorBidi"/>
                <w:b/>
                <w:bCs/>
                <w:sz w:val="24"/>
                <w:szCs w:val="24"/>
              </w:rPr>
              <w:t>In-Silico</w:t>
            </w:r>
          </w:p>
        </w:tc>
        <w:tc>
          <w:tcPr>
            <w:tcW w:w="990" w:type="dxa"/>
          </w:tcPr>
          <w:p w:rsidR="009D21C5" w:rsidRPr="008F7397" w:rsidRDefault="009D21C5" w:rsidP="00951716">
            <w:pPr>
              <w:jc w:val="center"/>
              <w:rPr>
                <w:rFonts w:asciiTheme="majorBidi" w:hAnsiTheme="majorBidi" w:cstheme="majorBidi"/>
                <w:b/>
                <w:sz w:val="24"/>
                <w:szCs w:val="24"/>
              </w:rPr>
            </w:pPr>
            <w:r w:rsidRPr="008F7397">
              <w:rPr>
                <w:rFonts w:asciiTheme="majorBidi" w:hAnsiTheme="majorBidi" w:cstheme="majorBidi"/>
                <w:b/>
                <w:sz w:val="24"/>
                <w:szCs w:val="24"/>
              </w:rPr>
              <w:t>Check.</w:t>
            </w:r>
          </w:p>
        </w:tc>
      </w:tr>
      <w:tr w:rsidR="009D21C5" w:rsidRPr="008F7397" w:rsidTr="00951716">
        <w:trPr>
          <w:cantSplit/>
          <w:trHeight w:val="699"/>
        </w:trPr>
        <w:tc>
          <w:tcPr>
            <w:tcW w:w="957" w:type="dxa"/>
            <w:vMerge w:val="restart"/>
          </w:tcPr>
          <w:p w:rsidR="009D21C5" w:rsidRPr="008F7397" w:rsidRDefault="00760C56" w:rsidP="005D7A0D">
            <w:pPr>
              <w:jc w:val="center"/>
              <w:rPr>
                <w:rFonts w:asciiTheme="majorBidi" w:hAnsiTheme="majorBidi" w:cstheme="majorBidi"/>
                <w:sz w:val="24"/>
                <w:szCs w:val="24"/>
              </w:rPr>
            </w:pPr>
            <w:r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mOruZMva","properties":{"formattedCitation":"[46]","plainCitation":"[46]"},"citationItems":[{"id":318,"uris":["http://zotero.org/users/2553926/items/MIVM9ATZ"],"uri":["http://zotero.org/users/2553926/items/MIVM9ATZ"],"itemData":{"id":318,"type":"article-journal","title":"Mechanisms of apoptosis induction by simultaneous inhibition of PI3K and FLT3-ITD in AML cells in the hypoxic bone marrow microenvironment","container-title":"Cancer Letters","page":"45-58","volume":"329","issue":"1","source":"PubMed","abstract":"We investigated the antileukemia effects and molecular mechanisms of apoptosis induction by simultaneous blockade of PI3K and mutant FLT3 in AML cells grown under hypoxia in co-cultures with bone marrow stromal cells. Combined treatment with selective class I PI3K inhibitor GDC-0941 and sorafenib reversed the protective effects of bone marrow stromal cells on FLT3-mutant AML cells in hypoxia, which was associated with downregulation of Pim-1 and Mcl-1 expression levels. These findings suggest that combined inhibition of PI3K and FLT3-ITD may constitute a targeted approach to eradicating chemoresistant AML cells sequestered in hypoxic bone marrow niches.","DOI":"10.1016/j.canlet.2012.09.020","ISSN":"1872-7980","note":"PMID: 23036488\nPMCID: PMC3572533","journalAbbreviation":"Cancer Lett.","language":"eng","author":[{"family":"Jin","given":"Linhua"},{"family":"Tabe","given":"Yoko"},{"family":"Lu","given":"Hongbo"},{"family":"Borthakur","given":"Gautam"},{"family":"Miida","given":"Takashi"},{"family":"Kantarjian","given":"Hagop"},{"family":"Andreeff","given":"Michael"},{"family":"Konopleva","given":"Marina"}],"issued":{"date-parts":[["2013",2,1]]}}}],"schema":"https://github.com/citation-style-language/schema/raw/master/csl-citation.json"} </w:instrText>
            </w:r>
            <w:r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[46]</w:t>
            </w:r>
            <w:r w:rsidRPr="008F7397">
              <w:rPr>
                <w:rFonts w:asciiTheme="majorBidi" w:hAnsiTheme="majorBidi" w:cstheme="majorBidi"/>
                <w:sz w:val="24"/>
                <w:szCs w:val="24"/>
              </w:rPr>
              <w:fldChar w:fldCharType="end"/>
            </w:r>
          </w:p>
        </w:tc>
        <w:tc>
          <w:tcPr>
            <w:tcW w:w="1276" w:type="dxa"/>
            <w:vMerge w:val="restart"/>
          </w:tcPr>
          <w:p w:rsidR="009D21C5" w:rsidRPr="008F7397" w:rsidRDefault="009D21C5" w:rsidP="00951716">
            <w:pPr>
              <w:rPr>
                <w:rFonts w:asciiTheme="majorBidi" w:hAnsiTheme="majorBidi" w:cstheme="majorBidi"/>
                <w:sz w:val="24"/>
                <w:szCs w:val="24"/>
              </w:rPr>
            </w:pPr>
            <w:r w:rsidRPr="008F7397">
              <w:rPr>
                <w:rFonts w:asciiTheme="majorBidi" w:hAnsiTheme="majorBidi" w:cstheme="majorBidi"/>
                <w:sz w:val="24"/>
                <w:szCs w:val="24"/>
              </w:rPr>
              <w:t>MV411</w:t>
            </w:r>
          </w:p>
          <w:p w:rsidR="009D21C5" w:rsidRPr="008F7397" w:rsidRDefault="009D21C5" w:rsidP="00951716">
            <w:pPr>
              <w:rPr>
                <w:rFonts w:asciiTheme="majorBidi" w:hAnsiTheme="majorBidi" w:cstheme="majorBidi"/>
                <w:sz w:val="24"/>
                <w:szCs w:val="24"/>
              </w:rPr>
            </w:pPr>
          </w:p>
        </w:tc>
        <w:tc>
          <w:tcPr>
            <w:tcW w:w="1842" w:type="dxa"/>
            <w:vMerge w:val="restart"/>
          </w:tcPr>
          <w:p w:rsidR="009D21C5" w:rsidRPr="008F7397" w:rsidRDefault="009D21C5" w:rsidP="00951716">
            <w:pPr>
              <w:rPr>
                <w:rFonts w:asciiTheme="majorBidi" w:hAnsiTheme="majorBidi" w:cstheme="majorBidi"/>
                <w:sz w:val="24"/>
                <w:szCs w:val="24"/>
              </w:rPr>
            </w:pPr>
            <w:r w:rsidRPr="008F7397">
              <w:rPr>
                <w:rFonts w:asciiTheme="majorBidi" w:hAnsiTheme="majorBidi" w:cstheme="majorBidi"/>
                <w:sz w:val="24"/>
                <w:szCs w:val="24"/>
              </w:rPr>
              <w:t>FLT3-ITD inhibitor</w:t>
            </w:r>
          </w:p>
        </w:tc>
        <w:tc>
          <w:tcPr>
            <w:tcW w:w="2268" w:type="dxa"/>
            <w:vMerge w:val="restart"/>
          </w:tcPr>
          <w:p w:rsidR="009D21C5" w:rsidRPr="008F7397" w:rsidRDefault="00D12BFF" w:rsidP="00951716">
            <w:pPr>
              <w:rPr>
                <w:rFonts w:asciiTheme="majorBidi" w:hAnsiTheme="majorBidi" w:cstheme="majorBidi"/>
                <w:sz w:val="24"/>
                <w:szCs w:val="24"/>
              </w:rPr>
            </w:pPr>
            <w:r>
              <w:rPr>
                <w:rFonts w:asciiTheme="majorBidi" w:hAnsiTheme="majorBidi" w:cstheme="majorBidi"/>
                <w:noProof/>
                <w:sz w:val="24"/>
                <w:szCs w:val="24"/>
                <w:lang w:val="en-GB" w:eastAsia="en-GB"/>
              </w:rPr>
              <mc:AlternateContent>
                <mc:Choice Requires="wps">
                  <w:drawing>
                    <wp:anchor distT="0" distB="0" distL="114300" distR="114300" simplePos="0" relativeHeight="251670528" behindDoc="0" locked="0" layoutInCell="1" allowOverlap="1">
                      <wp:simplePos x="0" y="0"/>
                      <wp:positionH relativeFrom="column">
                        <wp:posOffset>17780</wp:posOffset>
                      </wp:positionH>
                      <wp:positionV relativeFrom="paragraph">
                        <wp:posOffset>26670</wp:posOffset>
                      </wp:positionV>
                      <wp:extent cx="143510" cy="136525"/>
                      <wp:effectExtent l="38100" t="0" r="27940" b="34925"/>
                      <wp:wrapNone/>
                      <wp:docPr id="4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36525"/>
                              </a:xfrm>
                              <a:prstGeom prst="downArrow">
                                <a:avLst>
                                  <a:gd name="adj1" fmla="val 50000"/>
                                  <a:gd name="adj2" fmla="val 25000"/>
                                </a:avLst>
                              </a:prstGeom>
                              <a:solidFill>
                                <a:srgbClr val="FF0000">
                                  <a:alpha val="50000"/>
                                </a:srgbClr>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DEAA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4" o:spid="_x0000_s1026" type="#_x0000_t67" style="position:absolute;margin-left:1.4pt;margin-top:2.1pt;width:11.3pt;height:1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" fillcolor="red" strokecolor="red">
                      <v:fill opacity="32896f"/>
                      <v:textbox style="layout-flow:vertical-ideographic"/>
                    </v:shape>
                  </w:pict>
                </mc:Fallback>
              </mc:AlternateContent>
            </w:r>
            <w:r w:rsidR="009D21C5" w:rsidRPr="008F7397">
              <w:rPr>
                <w:rFonts w:asciiTheme="majorBidi" w:hAnsiTheme="majorBidi" w:cstheme="majorBidi"/>
                <w:sz w:val="24"/>
                <w:szCs w:val="24"/>
              </w:rPr>
              <w:t xml:space="preserve">       Moderate effect on viable cell number (especially compared to MOLM13 and MOLM14 FLT-ITD positive)</w:t>
            </w:r>
          </w:p>
        </w:tc>
        <w:tc>
          <w:tcPr>
            <w:tcW w:w="2129" w:type="dxa"/>
          </w:tcPr>
          <w:p w:rsidR="009D21C5" w:rsidRPr="008F7397" w:rsidRDefault="00D12BFF" w:rsidP="00951716">
            <w:pPr>
              <w:rPr>
                <w:rFonts w:asciiTheme="majorBidi" w:hAnsiTheme="majorBidi" w:cstheme="majorBidi"/>
                <w:sz w:val="24"/>
                <w:szCs w:val="24"/>
              </w:rPr>
            </w:pPr>
            <w:r>
              <w:rPr>
                <w:rFonts w:asciiTheme="majorBidi" w:hAnsiTheme="majorBidi" w:cstheme="majorBidi"/>
                <w:noProof/>
                <w:sz w:val="24"/>
                <w:szCs w:val="24"/>
                <w:lang w:val="en-GB" w:eastAsia="en-GB"/>
              </w:rPr>
              <mc:AlternateContent>
                <mc:Choice Requires="wps">
                  <w:drawing>
                    <wp:anchor distT="0" distB="0" distL="114300" distR="114300" simplePos="0" relativeHeight="251671552" behindDoc="0" locked="0" layoutInCell="1" allowOverlap="1">
                      <wp:simplePos x="0" y="0"/>
                      <wp:positionH relativeFrom="column">
                        <wp:posOffset>-41910</wp:posOffset>
                      </wp:positionH>
                      <wp:positionV relativeFrom="paragraph">
                        <wp:posOffset>26670</wp:posOffset>
                      </wp:positionV>
                      <wp:extent cx="143510" cy="136525"/>
                      <wp:effectExtent l="38100" t="0" r="27940" b="34925"/>
                      <wp:wrapNone/>
                      <wp:docPr id="4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36525"/>
                              </a:xfrm>
                              <a:prstGeom prst="down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2DE40" id="AutoShape 35" o:spid="_x0000_s1026" type="#_x0000_t67" style="position:absolute;margin-left:-3.3pt;margin-top:2.1pt;width:11.3pt;height:1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" fillcolor="red" strokecolor="red">
                      <v:textbox style="layout-flow:vertical-ideographic"/>
                    </v:shape>
                  </w:pict>
                </mc:Fallback>
              </mc:AlternateContent>
            </w:r>
            <w:r w:rsidR="009D21C5" w:rsidRPr="008F7397">
              <w:rPr>
                <w:rFonts w:asciiTheme="majorBidi" w:hAnsiTheme="majorBidi" w:cstheme="majorBidi"/>
                <w:sz w:val="24"/>
                <w:szCs w:val="24"/>
              </w:rPr>
              <w:t xml:space="preserve">    Proliferation reduced to 0</w:t>
            </w:r>
          </w:p>
        </w:tc>
        <w:tc>
          <w:tcPr>
            <w:tcW w:w="990" w:type="dxa"/>
            <w:vMerge w:val="restart"/>
          </w:tcPr>
          <w:p w:rsidR="009D21C5" w:rsidRPr="008F7397" w:rsidRDefault="009D21C5" w:rsidP="00951716">
            <w:pPr>
              <w:jc w:val="center"/>
              <w:rPr>
                <w:rFonts w:asciiTheme="majorBidi" w:hAnsiTheme="majorBidi" w:cstheme="majorBidi"/>
                <w:sz w:val="24"/>
                <w:szCs w:val="24"/>
              </w:rPr>
            </w:pPr>
            <w:r w:rsidRPr="008F7397">
              <w:rPr>
                <w:rFonts w:asciiTheme="majorBidi" w:hAnsiTheme="majorBidi" w:cstheme="majorBidi"/>
                <w:sz w:val="24"/>
                <w:szCs w:val="24"/>
              </w:rPr>
              <w:t>V</w:t>
            </w:r>
          </w:p>
        </w:tc>
      </w:tr>
      <w:tr w:rsidR="009D21C5" w:rsidRPr="008F7397" w:rsidTr="00951716">
        <w:trPr>
          <w:cantSplit/>
          <w:trHeight w:val="698"/>
        </w:trPr>
        <w:tc>
          <w:tcPr>
            <w:tcW w:w="957" w:type="dxa"/>
            <w:vMerge/>
          </w:tcPr>
          <w:p w:rsidR="009D21C5" w:rsidRPr="008F7397" w:rsidRDefault="009D21C5" w:rsidP="00951716">
            <w:pPr>
              <w:jc w:val="center"/>
              <w:rPr>
                <w:rFonts w:asciiTheme="majorBidi" w:hAnsiTheme="majorBidi" w:cstheme="majorBidi"/>
                <w:sz w:val="24"/>
                <w:szCs w:val="24"/>
              </w:rPr>
            </w:pPr>
          </w:p>
        </w:tc>
        <w:tc>
          <w:tcPr>
            <w:tcW w:w="1276" w:type="dxa"/>
            <w:vMerge/>
          </w:tcPr>
          <w:p w:rsidR="009D21C5" w:rsidRPr="008F7397" w:rsidRDefault="009D21C5" w:rsidP="00951716">
            <w:pPr>
              <w:rPr>
                <w:rFonts w:asciiTheme="majorBidi" w:hAnsiTheme="majorBidi" w:cstheme="majorBidi"/>
                <w:sz w:val="24"/>
                <w:szCs w:val="24"/>
              </w:rPr>
            </w:pPr>
          </w:p>
        </w:tc>
        <w:tc>
          <w:tcPr>
            <w:tcW w:w="1842" w:type="dxa"/>
            <w:vMerge/>
          </w:tcPr>
          <w:p w:rsidR="009D21C5" w:rsidRPr="008F7397" w:rsidRDefault="009D21C5" w:rsidP="00951716">
            <w:pPr>
              <w:rPr>
                <w:rFonts w:asciiTheme="majorBidi" w:hAnsiTheme="majorBidi" w:cstheme="majorBidi"/>
                <w:sz w:val="24"/>
                <w:szCs w:val="24"/>
              </w:rPr>
            </w:pPr>
          </w:p>
        </w:tc>
        <w:tc>
          <w:tcPr>
            <w:tcW w:w="2268" w:type="dxa"/>
            <w:vMerge/>
          </w:tcPr>
          <w:p w:rsidR="009D21C5" w:rsidRPr="008F7397" w:rsidRDefault="009D21C5" w:rsidP="00951716">
            <w:pPr>
              <w:rPr>
                <w:rFonts w:asciiTheme="majorBidi" w:hAnsiTheme="majorBidi" w:cstheme="majorBidi"/>
                <w:sz w:val="24"/>
                <w:szCs w:val="24"/>
              </w:rPr>
            </w:pPr>
          </w:p>
        </w:tc>
        <w:tc>
          <w:tcPr>
            <w:tcW w:w="2129" w:type="dxa"/>
          </w:tcPr>
          <w:p w:rsidR="009D21C5" w:rsidRPr="008F7397" w:rsidRDefault="00D12BFF" w:rsidP="00951716">
            <w:pPr>
              <w:rPr>
                <w:rFonts w:asciiTheme="majorBidi" w:hAnsiTheme="majorBidi" w:cstheme="majorBidi"/>
                <w:sz w:val="24"/>
                <w:szCs w:val="24"/>
              </w:rPr>
            </w:pPr>
            <w:r>
              <w:rPr>
                <w:rFonts w:asciiTheme="majorBidi" w:hAnsiTheme="majorBidi" w:cstheme="majorBidi"/>
                <w:noProof/>
                <w:sz w:val="24"/>
                <w:szCs w:val="24"/>
                <w:lang w:val="en-GB" w:eastAsia="en-GB"/>
              </w:rPr>
              <mc:AlternateContent>
                <mc:Choice Requires="wps">
                  <w:drawing>
                    <wp:anchor distT="0" distB="0" distL="114300" distR="114300" simplePos="0" relativeHeight="251672576" behindDoc="0" locked="0" layoutInCell="1" allowOverlap="1">
                      <wp:simplePos x="0" y="0"/>
                      <wp:positionH relativeFrom="column">
                        <wp:posOffset>-42545</wp:posOffset>
                      </wp:positionH>
                      <wp:positionV relativeFrom="paragraph">
                        <wp:posOffset>22225</wp:posOffset>
                      </wp:positionV>
                      <wp:extent cx="143510" cy="136525"/>
                      <wp:effectExtent l="38100" t="19050" r="27940" b="15875"/>
                      <wp:wrapNone/>
                      <wp:docPr id="33"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3510" cy="136525"/>
                              </a:xfrm>
                              <a:prstGeom prst="downArrow">
                                <a:avLst>
                                  <a:gd name="adj1" fmla="val 50000"/>
                                  <a:gd name="adj2" fmla="val 25000"/>
                                </a:avLst>
                              </a:prstGeom>
                              <a:solidFill>
                                <a:srgbClr val="00FF00">
                                  <a:alpha val="25000"/>
                                </a:srgbClr>
                              </a:solidFill>
                              <a:ln w="9525">
                                <a:solidFill>
                                  <a:srgbClr val="00B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2A0B1" id="AutoShape 36" o:spid="_x0000_s1026" type="#_x0000_t67" style="position:absolute;margin-left:-3.35pt;margin-top:1.75pt;width:11.3pt;height:10.75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" fillcolor="lime" strokecolor="#00b050">
                      <v:fill opacity="16448f"/>
                      <v:textbox style="layout-flow:vertical-ideographic"/>
                    </v:shape>
                  </w:pict>
                </mc:Fallback>
              </mc:AlternateContent>
            </w:r>
            <w:r w:rsidR="009D21C5" w:rsidRPr="008F7397">
              <w:rPr>
                <w:rFonts w:asciiTheme="majorBidi" w:hAnsiTheme="majorBidi" w:cstheme="majorBidi"/>
                <w:sz w:val="24"/>
                <w:szCs w:val="24"/>
              </w:rPr>
              <w:t xml:space="preserve">    Apoptosis increased to 1</w:t>
            </w:r>
          </w:p>
        </w:tc>
        <w:tc>
          <w:tcPr>
            <w:tcW w:w="990" w:type="dxa"/>
            <w:vMerge/>
          </w:tcPr>
          <w:p w:rsidR="009D21C5" w:rsidRPr="008F7397" w:rsidRDefault="009D21C5" w:rsidP="00951716">
            <w:pPr>
              <w:jc w:val="center"/>
              <w:rPr>
                <w:rFonts w:asciiTheme="majorBidi" w:hAnsiTheme="majorBidi" w:cstheme="majorBidi"/>
                <w:sz w:val="24"/>
                <w:szCs w:val="24"/>
              </w:rPr>
            </w:pPr>
          </w:p>
        </w:tc>
      </w:tr>
      <w:tr w:rsidR="009D21C5" w:rsidRPr="008F7397" w:rsidTr="00951716">
        <w:trPr>
          <w:cantSplit/>
          <w:trHeight w:val="1031"/>
        </w:trPr>
        <w:tc>
          <w:tcPr>
            <w:tcW w:w="957" w:type="dxa"/>
            <w:vMerge/>
          </w:tcPr>
          <w:p w:rsidR="009D21C5" w:rsidRPr="008F7397" w:rsidRDefault="009D21C5" w:rsidP="00951716">
            <w:pPr>
              <w:jc w:val="center"/>
              <w:rPr>
                <w:rFonts w:asciiTheme="majorBidi" w:hAnsiTheme="majorBidi" w:cstheme="majorBidi"/>
                <w:sz w:val="24"/>
                <w:szCs w:val="24"/>
              </w:rPr>
            </w:pPr>
          </w:p>
        </w:tc>
        <w:tc>
          <w:tcPr>
            <w:tcW w:w="1276" w:type="dxa"/>
            <w:vMerge/>
          </w:tcPr>
          <w:p w:rsidR="009D21C5" w:rsidRPr="008F7397" w:rsidRDefault="009D21C5" w:rsidP="00951716">
            <w:pPr>
              <w:rPr>
                <w:rFonts w:asciiTheme="majorBidi" w:hAnsiTheme="majorBidi" w:cstheme="majorBidi"/>
                <w:sz w:val="24"/>
                <w:szCs w:val="24"/>
              </w:rPr>
            </w:pPr>
          </w:p>
        </w:tc>
        <w:tc>
          <w:tcPr>
            <w:tcW w:w="1842" w:type="dxa"/>
            <w:vMerge w:val="restart"/>
            <w:tcBorders>
              <w:bottom w:val="single" w:sz="4" w:space="0" w:color="auto"/>
            </w:tcBorders>
          </w:tcPr>
          <w:p w:rsidR="009D21C5" w:rsidRPr="008F7397" w:rsidRDefault="009D21C5" w:rsidP="00951716">
            <w:pPr>
              <w:rPr>
                <w:rFonts w:asciiTheme="majorBidi" w:hAnsiTheme="majorBidi" w:cstheme="majorBidi"/>
                <w:sz w:val="24"/>
                <w:szCs w:val="24"/>
              </w:rPr>
            </w:pPr>
            <w:r w:rsidRPr="008F7397">
              <w:rPr>
                <w:rFonts w:asciiTheme="majorBidi" w:hAnsiTheme="majorBidi" w:cstheme="majorBidi"/>
                <w:sz w:val="24"/>
                <w:szCs w:val="24"/>
              </w:rPr>
              <w:t>PI3K inhibitor</w:t>
            </w:r>
          </w:p>
          <w:p w:rsidR="009D21C5" w:rsidRPr="008F7397" w:rsidRDefault="009D21C5" w:rsidP="00951716">
            <w:pPr>
              <w:rPr>
                <w:rFonts w:asciiTheme="majorBidi" w:hAnsiTheme="majorBidi" w:cstheme="majorBidi"/>
                <w:sz w:val="24"/>
                <w:szCs w:val="24"/>
              </w:rPr>
            </w:pPr>
          </w:p>
        </w:tc>
        <w:tc>
          <w:tcPr>
            <w:tcW w:w="2268" w:type="dxa"/>
            <w:vMerge w:val="restart"/>
            <w:tcBorders>
              <w:bottom w:val="single" w:sz="4" w:space="0" w:color="auto"/>
            </w:tcBorders>
          </w:tcPr>
          <w:p w:rsidR="009D21C5" w:rsidRPr="008F7397" w:rsidRDefault="009D21C5" w:rsidP="00951716">
            <w:pPr>
              <w:rPr>
                <w:rFonts w:asciiTheme="majorBidi" w:hAnsiTheme="majorBidi" w:cstheme="majorBidi"/>
                <w:sz w:val="24"/>
                <w:szCs w:val="24"/>
              </w:rPr>
            </w:pPr>
            <w:r w:rsidRPr="008F7397">
              <w:rPr>
                <w:rFonts w:asciiTheme="majorBidi" w:hAnsiTheme="majorBidi" w:cstheme="majorBidi"/>
                <w:noProof/>
                <w:sz w:val="24"/>
                <w:szCs w:val="24"/>
                <w:lang w:val="en-GB" w:eastAsia="en-GB"/>
              </w:rPr>
              <w:drawing>
                <wp:anchor distT="0" distB="0" distL="114300" distR="114300" simplePos="0" relativeHeight="251664384" behindDoc="0" locked="0" layoutInCell="1" allowOverlap="1">
                  <wp:simplePos x="0" y="0"/>
                  <wp:positionH relativeFrom="column">
                    <wp:posOffset>-1500</wp:posOffset>
                  </wp:positionH>
                  <wp:positionV relativeFrom="paragraph">
                    <wp:posOffset>2275</wp:posOffset>
                  </wp:positionV>
                  <wp:extent cx="179514" cy="179514"/>
                  <wp:effectExtent l="0" t="0" r="0" b="0"/>
                  <wp:wrapNone/>
                  <wp:docPr id="34" name="Picture 1" descr="almost_eq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ost_equal.png"/>
                          <pic:cNvPicPr/>
                        </pic:nvPicPr>
                        <pic:blipFill>
                          <a:blip r:embed="rId16" cstate="print"/>
                          <a:stretch>
                            <a:fillRect/>
                          </a:stretch>
                        </pic:blipFill>
                        <pic:spPr>
                          <a:xfrm>
                            <a:off x="0" y="0"/>
                            <a:ext cx="179514" cy="179514"/>
                          </a:xfrm>
                          <a:prstGeom prst="rect">
                            <a:avLst/>
                          </a:prstGeom>
                        </pic:spPr>
                      </pic:pic>
                    </a:graphicData>
                  </a:graphic>
                </wp:anchor>
              </w:drawing>
            </w:r>
            <w:r w:rsidRPr="008F7397">
              <w:rPr>
                <w:rFonts w:asciiTheme="majorBidi" w:hAnsiTheme="majorBidi" w:cstheme="majorBidi"/>
                <w:sz w:val="24"/>
                <w:szCs w:val="24"/>
              </w:rPr>
              <w:t xml:space="preserve">      Neglectable effect on viable cell number (especially compared to MOLM13 and MOLM14 FLT-ITD positive)</w:t>
            </w:r>
          </w:p>
        </w:tc>
        <w:tc>
          <w:tcPr>
            <w:tcW w:w="2129" w:type="dxa"/>
            <w:tcBorders>
              <w:bottom w:val="single" w:sz="4" w:space="0" w:color="auto"/>
            </w:tcBorders>
          </w:tcPr>
          <w:p w:rsidR="009D21C5" w:rsidRPr="008F7397" w:rsidRDefault="009D21C5" w:rsidP="00951716">
            <w:pPr>
              <w:rPr>
                <w:rFonts w:asciiTheme="majorBidi" w:hAnsiTheme="majorBidi" w:cstheme="majorBidi"/>
                <w:sz w:val="24"/>
                <w:szCs w:val="24"/>
              </w:rPr>
            </w:pPr>
            <w:r w:rsidRPr="008F7397">
              <w:rPr>
                <w:rFonts w:asciiTheme="majorBidi" w:hAnsiTheme="majorBidi" w:cstheme="majorBidi"/>
                <w:noProof/>
                <w:sz w:val="24"/>
                <w:szCs w:val="24"/>
                <w:lang w:val="en-GB" w:eastAsia="en-GB"/>
              </w:rPr>
              <w:drawing>
                <wp:anchor distT="0" distB="0" distL="114300" distR="114300" simplePos="0" relativeHeight="251665408" behindDoc="0" locked="0" layoutInCell="1" allowOverlap="1">
                  <wp:simplePos x="0" y="0"/>
                  <wp:positionH relativeFrom="column">
                    <wp:posOffset>43</wp:posOffset>
                  </wp:positionH>
                  <wp:positionV relativeFrom="paragraph">
                    <wp:posOffset>13495</wp:posOffset>
                  </wp:positionV>
                  <wp:extent cx="179514" cy="179514"/>
                  <wp:effectExtent l="0" t="0" r="0" b="0"/>
                  <wp:wrapNone/>
                  <wp:docPr id="35" name="Picture 8" descr="almost_eq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ost_equal.png"/>
                          <pic:cNvPicPr/>
                        </pic:nvPicPr>
                        <pic:blipFill>
                          <a:blip r:embed="rId16" cstate="print"/>
                          <a:stretch>
                            <a:fillRect/>
                          </a:stretch>
                        </pic:blipFill>
                        <pic:spPr>
                          <a:xfrm>
                            <a:off x="0" y="0"/>
                            <a:ext cx="179514" cy="179514"/>
                          </a:xfrm>
                          <a:prstGeom prst="rect">
                            <a:avLst/>
                          </a:prstGeom>
                        </pic:spPr>
                      </pic:pic>
                    </a:graphicData>
                  </a:graphic>
                </wp:anchor>
              </w:drawing>
            </w:r>
            <w:r w:rsidRPr="008F7397">
              <w:rPr>
                <w:rFonts w:asciiTheme="majorBidi" w:hAnsiTheme="majorBidi" w:cstheme="majorBidi"/>
                <w:sz w:val="24"/>
                <w:szCs w:val="24"/>
              </w:rPr>
              <w:t xml:space="preserve">     Proliferation remains 4</w:t>
            </w:r>
          </w:p>
        </w:tc>
        <w:tc>
          <w:tcPr>
            <w:tcW w:w="990" w:type="dxa"/>
            <w:vMerge w:val="restart"/>
            <w:tcBorders>
              <w:bottom w:val="single" w:sz="4" w:space="0" w:color="auto"/>
            </w:tcBorders>
          </w:tcPr>
          <w:p w:rsidR="009D21C5" w:rsidRPr="008F7397" w:rsidRDefault="009D21C5" w:rsidP="00951716">
            <w:pPr>
              <w:jc w:val="center"/>
              <w:rPr>
                <w:rFonts w:asciiTheme="majorBidi" w:hAnsiTheme="majorBidi" w:cstheme="majorBidi"/>
                <w:sz w:val="24"/>
                <w:szCs w:val="24"/>
              </w:rPr>
            </w:pPr>
            <w:r w:rsidRPr="008F7397">
              <w:rPr>
                <w:rFonts w:asciiTheme="majorBidi" w:hAnsiTheme="majorBidi" w:cstheme="majorBidi"/>
                <w:sz w:val="24"/>
                <w:szCs w:val="24"/>
              </w:rPr>
              <w:t>V</w:t>
            </w:r>
          </w:p>
        </w:tc>
      </w:tr>
      <w:tr w:rsidR="009D21C5" w:rsidRPr="008F7397" w:rsidTr="00951716">
        <w:trPr>
          <w:cantSplit/>
          <w:trHeight w:val="370"/>
        </w:trPr>
        <w:tc>
          <w:tcPr>
            <w:tcW w:w="957" w:type="dxa"/>
            <w:vMerge/>
          </w:tcPr>
          <w:p w:rsidR="009D21C5" w:rsidRPr="008F7397" w:rsidRDefault="009D21C5" w:rsidP="00951716">
            <w:pPr>
              <w:jc w:val="center"/>
              <w:rPr>
                <w:rFonts w:asciiTheme="majorBidi" w:hAnsiTheme="majorBidi" w:cstheme="majorBidi"/>
                <w:sz w:val="24"/>
                <w:szCs w:val="24"/>
              </w:rPr>
            </w:pPr>
          </w:p>
        </w:tc>
        <w:tc>
          <w:tcPr>
            <w:tcW w:w="1276" w:type="dxa"/>
            <w:vMerge/>
          </w:tcPr>
          <w:p w:rsidR="009D21C5" w:rsidRPr="008F7397" w:rsidRDefault="009D21C5" w:rsidP="00951716">
            <w:pPr>
              <w:rPr>
                <w:rFonts w:asciiTheme="majorBidi" w:hAnsiTheme="majorBidi" w:cstheme="majorBidi"/>
                <w:sz w:val="24"/>
                <w:szCs w:val="24"/>
              </w:rPr>
            </w:pPr>
          </w:p>
        </w:tc>
        <w:tc>
          <w:tcPr>
            <w:tcW w:w="1842" w:type="dxa"/>
            <w:vMerge/>
          </w:tcPr>
          <w:p w:rsidR="009D21C5" w:rsidRPr="008F7397" w:rsidRDefault="009D21C5" w:rsidP="00951716">
            <w:pPr>
              <w:rPr>
                <w:rFonts w:asciiTheme="majorBidi" w:hAnsiTheme="majorBidi" w:cstheme="majorBidi"/>
                <w:sz w:val="24"/>
                <w:szCs w:val="24"/>
              </w:rPr>
            </w:pPr>
          </w:p>
        </w:tc>
        <w:tc>
          <w:tcPr>
            <w:tcW w:w="2268" w:type="dxa"/>
            <w:vMerge/>
          </w:tcPr>
          <w:p w:rsidR="009D21C5" w:rsidRPr="008F7397" w:rsidRDefault="009D21C5" w:rsidP="00951716">
            <w:pPr>
              <w:rPr>
                <w:rFonts w:asciiTheme="majorBidi" w:hAnsiTheme="majorBidi" w:cstheme="majorBidi"/>
                <w:sz w:val="24"/>
                <w:szCs w:val="24"/>
              </w:rPr>
            </w:pPr>
          </w:p>
        </w:tc>
        <w:tc>
          <w:tcPr>
            <w:tcW w:w="2129" w:type="dxa"/>
          </w:tcPr>
          <w:p w:rsidR="009D21C5" w:rsidRPr="008F7397" w:rsidRDefault="009D21C5" w:rsidP="00951716">
            <w:pPr>
              <w:rPr>
                <w:rFonts w:asciiTheme="majorBidi" w:hAnsiTheme="majorBidi" w:cstheme="majorBidi"/>
                <w:sz w:val="24"/>
                <w:szCs w:val="24"/>
              </w:rPr>
            </w:pPr>
            <w:r w:rsidRPr="008F7397">
              <w:rPr>
                <w:rFonts w:asciiTheme="majorBidi" w:hAnsiTheme="majorBidi" w:cstheme="majorBidi"/>
                <w:noProof/>
                <w:sz w:val="24"/>
                <w:szCs w:val="24"/>
                <w:lang w:val="en-GB" w:eastAsia="en-GB"/>
              </w:rPr>
              <w:drawing>
                <wp:anchor distT="0" distB="0" distL="114300" distR="114300" simplePos="0" relativeHeight="251666432" behindDoc="0" locked="0" layoutInCell="1" allowOverlap="1">
                  <wp:simplePos x="0" y="0"/>
                  <wp:positionH relativeFrom="column">
                    <wp:posOffset>43</wp:posOffset>
                  </wp:positionH>
                  <wp:positionV relativeFrom="paragraph">
                    <wp:posOffset>14418</wp:posOffset>
                  </wp:positionV>
                  <wp:extent cx="179514" cy="179514"/>
                  <wp:effectExtent l="0" t="0" r="0" b="0"/>
                  <wp:wrapNone/>
                  <wp:docPr id="36" name="Picture 9" descr="almost_eq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ost_equal.png"/>
                          <pic:cNvPicPr/>
                        </pic:nvPicPr>
                        <pic:blipFill>
                          <a:blip r:embed="rId16" cstate="print"/>
                          <a:stretch>
                            <a:fillRect/>
                          </a:stretch>
                        </pic:blipFill>
                        <pic:spPr>
                          <a:xfrm>
                            <a:off x="0" y="0"/>
                            <a:ext cx="179514" cy="179514"/>
                          </a:xfrm>
                          <a:prstGeom prst="rect">
                            <a:avLst/>
                          </a:prstGeom>
                        </pic:spPr>
                      </pic:pic>
                    </a:graphicData>
                  </a:graphic>
                </wp:anchor>
              </w:drawing>
            </w:r>
            <w:r w:rsidRPr="008F7397">
              <w:rPr>
                <w:rFonts w:asciiTheme="majorBidi" w:hAnsiTheme="majorBidi" w:cstheme="majorBidi"/>
                <w:sz w:val="24"/>
                <w:szCs w:val="24"/>
              </w:rPr>
              <w:t xml:space="preserve">     Apoptosis remains 0</w:t>
            </w:r>
          </w:p>
        </w:tc>
        <w:tc>
          <w:tcPr>
            <w:tcW w:w="990" w:type="dxa"/>
            <w:vMerge/>
          </w:tcPr>
          <w:p w:rsidR="009D21C5" w:rsidRPr="008F7397" w:rsidRDefault="009D21C5" w:rsidP="00951716">
            <w:pPr>
              <w:jc w:val="center"/>
              <w:rPr>
                <w:rFonts w:asciiTheme="majorBidi" w:hAnsiTheme="majorBidi" w:cstheme="majorBidi"/>
                <w:sz w:val="24"/>
                <w:szCs w:val="24"/>
              </w:rPr>
            </w:pPr>
          </w:p>
        </w:tc>
      </w:tr>
      <w:tr w:rsidR="009D21C5" w:rsidRPr="008F7397" w:rsidTr="00951716">
        <w:trPr>
          <w:cantSplit/>
          <w:trHeight w:val="1407"/>
        </w:trPr>
        <w:tc>
          <w:tcPr>
            <w:tcW w:w="957" w:type="dxa"/>
          </w:tcPr>
          <w:p w:rsidR="009D21C5" w:rsidRPr="008F7397" w:rsidRDefault="00760C56" w:rsidP="005D7A0D">
            <w:pPr>
              <w:jc w:val="center"/>
              <w:rPr>
                <w:rFonts w:asciiTheme="majorBidi" w:hAnsiTheme="majorBidi" w:cstheme="majorBidi"/>
                <w:sz w:val="24"/>
                <w:szCs w:val="24"/>
              </w:rPr>
            </w:pPr>
            <w:r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3HIda6JS","properties":{"formattedCitation":"[46]","plainCitation":"[46]"},"citationItems":[{"id":318,"uris":["http://zotero.org/users/2553926/items/MIVM9ATZ"],"uri":["http://zotero.org/users/2553926/items/MIVM9ATZ"],"itemData":{"id":318,"type":"article-journal","title":"Mechanisms of apoptosis induction by simultaneous inhibition of PI3K and FLT3-ITD in AML cells in the hypoxic bone marrow microenvironment","container-title":"Cancer Letters","page":"45-58","volume":"329","issue":"1","source":"PubMed","abstract":"We investigated the antileukemia effects and molecular mechanisms of apoptosis induction by simultaneous blockade of PI3K and mutant FLT3 in AML cells grown under hypoxia in co-cultures with bone marrow stromal cells. Combined treatment with selective class I PI3K inhibitor GDC-0941 and sorafenib reversed the protective effects of bone marrow stromal cells on FLT3-mutant AML cells in hypoxia, which was associated with downregulation of Pim-1 and Mcl-1 expression levels. These findings suggest that combined inhibition of PI3K and FLT3-ITD may constitute a targeted approach to eradicating chemoresistant AML cells sequestered in hypoxic bone marrow niches.","DOI":"10.1016/j.canlet.2012.09.020","ISSN":"1872-7980","note":"PMID: 23036488\nPMCID: PMC3572533","journalAbbreviation":"Cancer Lett.","language":"eng","author":[{"family":"Jin","given":"Linhua"},{"family":"Tabe","given":"Yoko"},{"family":"Lu","given":"Hongbo"},{"family":"Borthakur","given":"Gautam"},{"family":"Miida","given":"Takashi"},{"family":"Kantarjian","given":"Hagop"},{"family":"Andreeff","given":"Michael"},{"family":"Konopleva","given":"Marina"}],"issued":{"date-parts":[["2013",2,1]]}}}],"schema":"https://github.com/citation-style-language/schema/raw/master/csl-citation.json"} </w:instrText>
            </w:r>
            <w:r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[46]</w:t>
            </w:r>
            <w:r w:rsidRPr="008F7397">
              <w:rPr>
                <w:rFonts w:asciiTheme="majorBidi" w:hAnsiTheme="majorBidi" w:cstheme="majorBidi"/>
                <w:sz w:val="24"/>
                <w:szCs w:val="24"/>
              </w:rPr>
              <w:fldChar w:fldCharType="end"/>
            </w:r>
          </w:p>
        </w:tc>
        <w:tc>
          <w:tcPr>
            <w:tcW w:w="1276" w:type="dxa"/>
          </w:tcPr>
          <w:p w:rsidR="009D21C5" w:rsidRPr="008F7397" w:rsidRDefault="009D21C5" w:rsidP="00951716">
            <w:pPr>
              <w:rPr>
                <w:rFonts w:asciiTheme="majorBidi" w:hAnsiTheme="majorBidi" w:cstheme="majorBidi"/>
                <w:sz w:val="24"/>
                <w:szCs w:val="24"/>
              </w:rPr>
            </w:pPr>
            <w:r w:rsidRPr="008F7397">
              <w:rPr>
                <w:rFonts w:asciiTheme="majorBidi" w:hAnsiTheme="majorBidi" w:cstheme="majorBidi"/>
                <w:sz w:val="24"/>
                <w:szCs w:val="24"/>
              </w:rPr>
              <w:t>MV411</w:t>
            </w:r>
          </w:p>
        </w:tc>
        <w:tc>
          <w:tcPr>
            <w:tcW w:w="1842" w:type="dxa"/>
          </w:tcPr>
          <w:p w:rsidR="009D21C5" w:rsidRPr="008F7397" w:rsidRDefault="009D21C5" w:rsidP="00951716">
            <w:pPr>
              <w:rPr>
                <w:rFonts w:asciiTheme="majorBidi" w:hAnsiTheme="majorBidi" w:cstheme="majorBidi"/>
                <w:sz w:val="24"/>
                <w:szCs w:val="24"/>
              </w:rPr>
            </w:pPr>
            <w:r w:rsidRPr="008F7397">
              <w:rPr>
                <w:rFonts w:asciiTheme="majorBidi" w:hAnsiTheme="majorBidi" w:cstheme="majorBidi"/>
                <w:sz w:val="24"/>
                <w:szCs w:val="24"/>
              </w:rPr>
              <w:t>FLT3-ITD + PI3K inhibitor</w:t>
            </w:r>
          </w:p>
        </w:tc>
        <w:tc>
          <w:tcPr>
            <w:tcW w:w="2268" w:type="dxa"/>
          </w:tcPr>
          <w:p w:rsidR="009D21C5" w:rsidRPr="008F7397" w:rsidRDefault="009D21C5" w:rsidP="00951716">
            <w:pPr>
              <w:rPr>
                <w:rFonts w:asciiTheme="majorBidi" w:hAnsiTheme="majorBidi" w:cstheme="majorBidi"/>
                <w:sz w:val="24"/>
                <w:szCs w:val="24"/>
              </w:rPr>
            </w:pPr>
            <w:r w:rsidRPr="008F7397">
              <w:rPr>
                <w:rFonts w:asciiTheme="majorBidi" w:hAnsiTheme="majorBidi" w:cstheme="majorBidi"/>
                <w:sz w:val="24"/>
                <w:szCs w:val="24"/>
              </w:rPr>
              <w:t xml:space="preserve">    </w:t>
            </w:r>
          </w:p>
          <w:p w:rsidR="009D21C5" w:rsidRPr="008F7397" w:rsidRDefault="00D12BFF" w:rsidP="00951716">
            <w:pPr>
              <w:rPr>
                <w:rFonts w:asciiTheme="majorBidi" w:hAnsiTheme="majorBidi" w:cstheme="majorBidi"/>
                <w:sz w:val="24"/>
                <w:szCs w:val="24"/>
              </w:rPr>
            </w:pPr>
            <w:r>
              <w:rPr>
                <w:rFonts w:asciiTheme="majorBidi" w:hAnsiTheme="majorBidi" w:cstheme="majorBidi"/>
                <w:noProof/>
                <w:sz w:val="24"/>
                <w:szCs w:val="24"/>
                <w:lang w:val="en-GB" w:eastAsia="en-GB"/>
              </w:rPr>
              <mc:AlternateContent>
                <mc:Choice Requires="wps">
                  <w:drawing>
                    <wp:anchor distT="0" distB="0" distL="114300" distR="114300" simplePos="0" relativeHeight="251673600" behindDoc="0" locked="0" layoutInCell="1" allowOverlap="1">
                      <wp:simplePos x="0" y="0"/>
                      <wp:positionH relativeFrom="column">
                        <wp:posOffset>-45720</wp:posOffset>
                      </wp:positionH>
                      <wp:positionV relativeFrom="paragraph">
                        <wp:posOffset>-5080</wp:posOffset>
                      </wp:positionV>
                      <wp:extent cx="143510" cy="136525"/>
                      <wp:effectExtent l="38100" t="19050" r="27940" b="15875"/>
                      <wp:wrapNone/>
                      <wp:docPr id="2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3510" cy="136525"/>
                              </a:xfrm>
                              <a:prstGeom prst="downArrow">
                                <a:avLst>
                                  <a:gd name="adj1" fmla="val 50000"/>
                                  <a:gd name="adj2" fmla="val 25000"/>
                                </a:avLst>
                              </a:prstGeom>
                              <a:solidFill>
                                <a:srgbClr val="00FF00"/>
                              </a:solidFill>
                              <a:ln w="9525">
                                <a:solidFill>
                                  <a:srgbClr val="00B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ECA0C" id="AutoShape 59" o:spid="_x0000_s1026" type="#_x0000_t67" style="position:absolute;margin-left:-3.6pt;margin-top:-.4pt;width:11.3pt;height:10.7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" fillcolor="lime" strokecolor="#00b050">
                      <v:textbox style="layout-flow:vertical-ideographic"/>
                    </v:shape>
                  </w:pict>
                </mc:Fallback>
              </mc:AlternateContent>
            </w:r>
            <w:r w:rsidR="009D21C5" w:rsidRPr="008F7397">
              <w:rPr>
                <w:rFonts w:asciiTheme="majorBidi" w:hAnsiTheme="majorBidi" w:cstheme="majorBidi"/>
                <w:sz w:val="24"/>
                <w:szCs w:val="24"/>
              </w:rPr>
              <w:t xml:space="preserve">    induced more apoptosis than each of the agents alone in all samples tested</w:t>
            </w:r>
          </w:p>
        </w:tc>
        <w:tc>
          <w:tcPr>
            <w:tcW w:w="2129" w:type="dxa"/>
          </w:tcPr>
          <w:p w:rsidR="009D21C5" w:rsidRPr="008F7397" w:rsidRDefault="009D21C5" w:rsidP="00951716">
            <w:pPr>
              <w:rPr>
                <w:rFonts w:asciiTheme="majorBidi" w:hAnsiTheme="majorBidi" w:cstheme="majorBidi"/>
                <w:sz w:val="24"/>
                <w:szCs w:val="24"/>
              </w:rPr>
            </w:pPr>
            <w:r w:rsidRPr="008F7397">
              <w:rPr>
                <w:rFonts w:asciiTheme="majorBidi" w:hAnsiTheme="majorBidi" w:cstheme="majorBidi"/>
                <w:sz w:val="24"/>
                <w:szCs w:val="24"/>
              </w:rPr>
              <w:t xml:space="preserve">    </w:t>
            </w:r>
          </w:p>
          <w:p w:rsidR="009D21C5" w:rsidRPr="008F7397" w:rsidRDefault="00D12BFF" w:rsidP="00951716">
            <w:pPr>
              <w:rPr>
                <w:rFonts w:asciiTheme="majorBidi" w:hAnsiTheme="majorBidi" w:cstheme="majorBidi"/>
                <w:sz w:val="24"/>
                <w:szCs w:val="24"/>
              </w:rPr>
            </w:pPr>
            <w:r>
              <w:rPr>
                <w:rFonts w:asciiTheme="majorBidi" w:hAnsiTheme="majorBidi" w:cstheme="majorBidi"/>
                <w:noProof/>
                <w:sz w:val="24"/>
                <w:szCs w:val="24"/>
                <w:lang w:val="en-GB" w:eastAsia="en-GB"/>
              </w:rPr>
              <mc:AlternateContent>
                <mc:Choice Requires="wps">
                  <w:drawing>
                    <wp:anchor distT="0" distB="0" distL="114300" distR="114300" simplePos="0" relativeHeight="251674624" behindDoc="0" locked="0" layoutInCell="1" allowOverlap="1">
                      <wp:simplePos x="0" y="0"/>
                      <wp:positionH relativeFrom="column">
                        <wp:posOffset>-33020</wp:posOffset>
                      </wp:positionH>
                      <wp:positionV relativeFrom="paragraph">
                        <wp:posOffset>13970</wp:posOffset>
                      </wp:positionV>
                      <wp:extent cx="143510" cy="136525"/>
                      <wp:effectExtent l="38100" t="19050" r="27940" b="15875"/>
                      <wp:wrapNone/>
                      <wp:docPr id="27"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3510" cy="136525"/>
                              </a:xfrm>
                              <a:prstGeom prst="downArrow">
                                <a:avLst>
                                  <a:gd name="adj1" fmla="val 50000"/>
                                  <a:gd name="adj2" fmla="val 25000"/>
                                </a:avLst>
                              </a:prstGeom>
                              <a:solidFill>
                                <a:srgbClr val="00FF00"/>
                              </a:solidFill>
                              <a:ln w="9525">
                                <a:solidFill>
                                  <a:srgbClr val="00B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56FC0" id="AutoShape 60" o:spid="_x0000_s1026" type="#_x0000_t67" style="position:absolute;margin-left:-2.6pt;margin-top:1.1pt;width:11.3pt;height:10.75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" fillcolor="lime" strokecolor="#00b050">
                      <v:textbox style="layout-flow:vertical-ideographic"/>
                    </v:shape>
                  </w:pict>
                </mc:Fallback>
              </mc:AlternateContent>
            </w:r>
            <w:r w:rsidR="009D21C5" w:rsidRPr="008F7397">
              <w:rPr>
                <w:rFonts w:asciiTheme="majorBidi" w:hAnsiTheme="majorBidi" w:cstheme="majorBidi"/>
                <w:sz w:val="24"/>
                <w:szCs w:val="24"/>
              </w:rPr>
              <w:t xml:space="preserve">    Apoptosis increased to 4</w:t>
            </w:r>
          </w:p>
        </w:tc>
        <w:tc>
          <w:tcPr>
            <w:tcW w:w="990" w:type="dxa"/>
          </w:tcPr>
          <w:p w:rsidR="009D21C5" w:rsidRPr="008F7397" w:rsidRDefault="009D21C5" w:rsidP="00951716">
            <w:pPr>
              <w:jc w:val="center"/>
              <w:rPr>
                <w:rFonts w:asciiTheme="majorBidi" w:hAnsiTheme="majorBidi" w:cstheme="majorBidi"/>
                <w:sz w:val="24"/>
                <w:szCs w:val="24"/>
              </w:rPr>
            </w:pPr>
            <w:r w:rsidRPr="008F7397">
              <w:rPr>
                <w:rFonts w:asciiTheme="majorBidi" w:hAnsiTheme="majorBidi" w:cstheme="majorBidi"/>
                <w:sz w:val="24"/>
                <w:szCs w:val="24"/>
              </w:rPr>
              <w:t>V</w:t>
            </w:r>
          </w:p>
        </w:tc>
      </w:tr>
      <w:tr w:rsidR="009D21C5" w:rsidRPr="008F7397" w:rsidTr="00951716">
        <w:trPr>
          <w:cantSplit/>
          <w:trHeight w:val="907"/>
        </w:trPr>
        <w:tc>
          <w:tcPr>
            <w:tcW w:w="957" w:type="dxa"/>
            <w:vMerge w:val="restart"/>
          </w:tcPr>
          <w:p w:rsidR="009D21C5" w:rsidRPr="008F7397" w:rsidRDefault="00760C56" w:rsidP="005D7A0D">
            <w:pPr>
              <w:jc w:val="center"/>
              <w:rPr>
                <w:rFonts w:asciiTheme="majorBidi" w:hAnsiTheme="majorBidi" w:cstheme="majorBidi"/>
                <w:sz w:val="24"/>
                <w:szCs w:val="24"/>
              </w:rPr>
            </w:pPr>
            <w:r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15nlf9tpjo","properties":{"formattedCitation":"[47]","plainCitation":"[47]"},"citationItems":[{"id":459,"uris":["http://zotero.org/users/2553926/items/8EDVCXX7"],"uri":["http://zotero.org/users/2553926/items/8EDVCXX7"],"itemData":{"id":459,"type":"article-journal","title":"Simultaneous inhibition of PDK1/AKT and Fms-like tyrosine kinase 3 signaling by a small-molecule KP372-1 induces mitochondrial dysfunction and apoptosis in acute myelogenous leukemia","container-title":"Cancer Research","page":"3737-3746","volume":"66","issue":"7","source":"PubMed","abstract":"Phosphoinositol-3-kinase (PI3K)/protein kinase B (AKT) and Fms-like tyrosine kinase 3 (FLT3) signaling are aberrantly activated in acute myelogenous leukemia (AML) cells. Constitutively activated AKT and FLT3 regulate leukemia cell survival and resistance to chemotherapy. In this study, we investigated the effects of the novel multiple kinase inhibitor KP372-1 on the survival of AML cell lines and primary AML samples. KP372-1 directly inhibited the kinase activity of AKT, PDK1, and FLT3 in a concentration-dependent manner. Western blot analysis indicated that KP372-1 decreased the phosphorylation of AKT on both Ser(473) and Thr(308); abrogated the phosphorylation of p70S6 kinase, BAD, and Foxo3a via PI3K/AKT signaling; and down-regulated expression of PIM-1 through direct inhibition of FLT3. Treatment of AML cell lines with KP372-1 resulted in rapid generation of reactive oxygen species and stimulation of oxygen consumption, followed by mitochondrial depolarization, caspase activation, and phosphatidylserine externalization. KP372-1 induced pronounced apoptosis in AML cell lines and primary samples irrespective of their FLT3 status, but not in normal CD34(+) cells. Moreover, KP372-1 markedly decreased the colony-forming ability of primary AML samples (IC(50) &lt; 200 nmol/L) with minimal cytotoxic effects on normal progenitor cells. Taken together, our results show that the simultaneous inhibition of critical prosurvival kinases by KP372-1 leads to mitochondrial dysfunction and apoptosis of AML but not normal hematopoietic progenitor cells.","DOI":"10.1158/0008-5472.CAN-05-1278","ISSN":"0008-5472","note":"PMID: 16585200","journalAbbreviation":"Cancer Res.","language":"eng","author":[{"family":"Zeng","given":"Zhihong"},{"family":"Samudio","given":"Ismael J."},{"family":"Zhang","given":"Weiguo"},{"family":"Estrov","given":"Zeev"},{"family":"Pelicano","given":"Hélène"},{"family":"Harris","given":"David"},{"family":"Frolova","given":"Olga"},{"family":"Hail","given":"Numsen"},{"family":"Chen","given":"Wenjing"},{"family":"Kornblau","given":"Steven M."},{"family":"Huang","given":"Peng"},{"family":"Lu","given":"Yiling"},{"family":"Mills","given":"Gordon B."},{"family":"Andreeff","given":"Michael"},{"family":"Konopleva","given":"Marina"}],"issued":{"date-parts":[["2006",4,1]]}}}],"schema":"https://github.com/citation-style-language/schema/raw/master/csl-citation.json"} </w:instrText>
            </w:r>
            <w:r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[47]</w:t>
            </w:r>
            <w:r w:rsidRPr="008F7397">
              <w:rPr>
                <w:rFonts w:asciiTheme="majorBidi" w:hAnsiTheme="majorBidi" w:cstheme="majorBidi"/>
                <w:sz w:val="24"/>
                <w:szCs w:val="24"/>
              </w:rPr>
              <w:fldChar w:fldCharType="end"/>
            </w:r>
          </w:p>
        </w:tc>
        <w:tc>
          <w:tcPr>
            <w:tcW w:w="1276" w:type="dxa"/>
            <w:vMerge w:val="restart"/>
          </w:tcPr>
          <w:p w:rsidR="009D21C5" w:rsidRPr="008F7397" w:rsidRDefault="009D21C5" w:rsidP="00951716">
            <w:pPr>
              <w:rPr>
                <w:rFonts w:asciiTheme="majorBidi" w:hAnsiTheme="majorBidi" w:cstheme="majorBidi"/>
                <w:sz w:val="24"/>
                <w:szCs w:val="24"/>
              </w:rPr>
            </w:pPr>
            <w:r w:rsidRPr="008F7397">
              <w:rPr>
                <w:rFonts w:asciiTheme="majorBidi" w:hAnsiTheme="majorBidi" w:cstheme="majorBidi"/>
                <w:sz w:val="24"/>
                <w:szCs w:val="24"/>
              </w:rPr>
              <w:t>KG1A</w:t>
            </w:r>
          </w:p>
        </w:tc>
        <w:tc>
          <w:tcPr>
            <w:tcW w:w="1842" w:type="dxa"/>
            <w:vMerge w:val="restart"/>
          </w:tcPr>
          <w:p w:rsidR="009D21C5" w:rsidRPr="008F7397" w:rsidRDefault="009D21C5" w:rsidP="00951716">
            <w:pPr>
              <w:rPr>
                <w:rFonts w:asciiTheme="majorBidi" w:hAnsiTheme="majorBidi" w:cstheme="majorBidi"/>
                <w:sz w:val="24"/>
                <w:szCs w:val="24"/>
              </w:rPr>
            </w:pPr>
            <w:r w:rsidRPr="008F7397">
              <w:rPr>
                <w:rFonts w:asciiTheme="majorBidi" w:hAnsiTheme="majorBidi" w:cstheme="majorBidi"/>
                <w:sz w:val="24"/>
                <w:szCs w:val="24"/>
              </w:rPr>
              <w:t>AKT, PDK1, and FLT3 inhibitor</w:t>
            </w:r>
          </w:p>
        </w:tc>
        <w:tc>
          <w:tcPr>
            <w:tcW w:w="2268" w:type="dxa"/>
            <w:vMerge w:val="restart"/>
          </w:tcPr>
          <w:p w:rsidR="009D21C5" w:rsidRPr="008F7397" w:rsidRDefault="009D21C5" w:rsidP="00951716">
            <w:pPr>
              <w:rPr>
                <w:rFonts w:asciiTheme="majorBidi" w:hAnsiTheme="majorBidi" w:cstheme="majorBidi"/>
                <w:sz w:val="24"/>
                <w:szCs w:val="24"/>
              </w:rPr>
            </w:pPr>
            <w:r w:rsidRPr="008F7397">
              <w:rPr>
                <w:rFonts w:asciiTheme="majorBidi" w:hAnsiTheme="majorBidi" w:cstheme="majorBidi"/>
                <w:noProof/>
                <w:sz w:val="24"/>
                <w:szCs w:val="24"/>
                <w:lang w:val="en-GB" w:eastAsia="en-GB"/>
              </w:rPr>
              <w:drawing>
                <wp:anchor distT="0" distB="0" distL="114300" distR="114300" simplePos="0" relativeHeight="251660288" behindDoc="0" locked="0" layoutInCell="1" allowOverlap="1">
                  <wp:simplePos x="0" y="0"/>
                  <wp:positionH relativeFrom="column">
                    <wp:posOffset>-1500</wp:posOffset>
                  </wp:positionH>
                  <wp:positionV relativeFrom="paragraph">
                    <wp:posOffset>17145</wp:posOffset>
                  </wp:positionV>
                  <wp:extent cx="179514" cy="179514"/>
                  <wp:effectExtent l="0" t="0" r="0" b="0"/>
                  <wp:wrapNone/>
                  <wp:docPr id="37" name="Picture 1" descr="almost_eq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ost_equal.png"/>
                          <pic:cNvPicPr/>
                        </pic:nvPicPr>
                        <pic:blipFill>
                          <a:blip r:embed="rId16" cstate="print"/>
                          <a:stretch>
                            <a:fillRect/>
                          </a:stretch>
                        </pic:blipFill>
                        <pic:spPr>
                          <a:xfrm>
                            <a:off x="0" y="0"/>
                            <a:ext cx="179514" cy="179514"/>
                          </a:xfrm>
                          <a:prstGeom prst="rect">
                            <a:avLst/>
                          </a:prstGeom>
                        </pic:spPr>
                      </pic:pic>
                    </a:graphicData>
                  </a:graphic>
                </wp:anchor>
              </w:drawing>
            </w:r>
            <w:r w:rsidRPr="008F7397">
              <w:rPr>
                <w:rFonts w:asciiTheme="majorBidi" w:hAnsiTheme="majorBidi" w:cstheme="majorBidi"/>
                <w:sz w:val="24"/>
                <w:szCs w:val="24"/>
              </w:rPr>
              <w:t xml:space="preserve">       showed resistant to the inhibitors</w:t>
            </w:r>
          </w:p>
        </w:tc>
        <w:tc>
          <w:tcPr>
            <w:tcW w:w="2129" w:type="dxa"/>
          </w:tcPr>
          <w:p w:rsidR="009D21C5" w:rsidRPr="008F7397" w:rsidRDefault="009D21C5" w:rsidP="00951716">
            <w:pPr>
              <w:rPr>
                <w:rFonts w:asciiTheme="majorBidi" w:hAnsiTheme="majorBidi" w:cstheme="majorBidi"/>
                <w:sz w:val="24"/>
                <w:szCs w:val="24"/>
              </w:rPr>
            </w:pPr>
            <w:r w:rsidRPr="008F7397">
              <w:rPr>
                <w:rFonts w:asciiTheme="majorBidi" w:hAnsiTheme="majorBidi" w:cstheme="majorBidi"/>
                <w:noProof/>
                <w:sz w:val="24"/>
                <w:szCs w:val="24"/>
                <w:lang w:val="en-GB" w:eastAsia="en-GB"/>
              </w:rPr>
              <w:drawing>
                <wp:anchor distT="0" distB="0" distL="114300" distR="114300" simplePos="0" relativeHeight="251661312" behindDoc="0" locked="0" layoutInCell="1" allowOverlap="1">
                  <wp:simplePos x="0" y="0"/>
                  <wp:positionH relativeFrom="column">
                    <wp:posOffset>43</wp:posOffset>
                  </wp:positionH>
                  <wp:positionV relativeFrom="paragraph">
                    <wp:posOffset>11535</wp:posOffset>
                  </wp:positionV>
                  <wp:extent cx="179514" cy="179514"/>
                  <wp:effectExtent l="0" t="0" r="0" b="0"/>
                  <wp:wrapNone/>
                  <wp:docPr id="38" name="Picture 8" descr="almost_eq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ost_equal.png"/>
                          <pic:cNvPicPr/>
                        </pic:nvPicPr>
                        <pic:blipFill>
                          <a:blip r:embed="rId16" cstate="print"/>
                          <a:stretch>
                            <a:fillRect/>
                          </a:stretch>
                        </pic:blipFill>
                        <pic:spPr>
                          <a:xfrm>
                            <a:off x="0" y="0"/>
                            <a:ext cx="179514" cy="179514"/>
                          </a:xfrm>
                          <a:prstGeom prst="rect">
                            <a:avLst/>
                          </a:prstGeom>
                        </pic:spPr>
                      </pic:pic>
                    </a:graphicData>
                  </a:graphic>
                </wp:anchor>
              </w:drawing>
            </w:r>
            <w:r w:rsidRPr="008F7397">
              <w:rPr>
                <w:rFonts w:asciiTheme="majorBidi" w:hAnsiTheme="majorBidi" w:cstheme="majorBidi"/>
                <w:sz w:val="24"/>
                <w:szCs w:val="24"/>
              </w:rPr>
              <w:t xml:space="preserve">     Proliferation remains 4</w:t>
            </w:r>
          </w:p>
        </w:tc>
        <w:tc>
          <w:tcPr>
            <w:tcW w:w="990" w:type="dxa"/>
            <w:vMerge w:val="restart"/>
          </w:tcPr>
          <w:p w:rsidR="009D21C5" w:rsidRPr="008F7397" w:rsidRDefault="009D21C5" w:rsidP="00951716">
            <w:pPr>
              <w:jc w:val="center"/>
              <w:rPr>
                <w:rFonts w:asciiTheme="majorBidi" w:hAnsiTheme="majorBidi" w:cstheme="majorBidi"/>
                <w:sz w:val="24"/>
                <w:szCs w:val="24"/>
              </w:rPr>
            </w:pPr>
            <w:r w:rsidRPr="008F7397">
              <w:rPr>
                <w:rFonts w:asciiTheme="majorBidi" w:hAnsiTheme="majorBidi" w:cstheme="majorBidi"/>
                <w:sz w:val="24"/>
                <w:szCs w:val="24"/>
              </w:rPr>
              <w:t>V</w:t>
            </w:r>
          </w:p>
        </w:tc>
      </w:tr>
      <w:tr w:rsidR="009D21C5" w:rsidRPr="008F7397" w:rsidTr="00951716">
        <w:trPr>
          <w:cantSplit/>
          <w:trHeight w:val="632"/>
        </w:trPr>
        <w:tc>
          <w:tcPr>
            <w:tcW w:w="957" w:type="dxa"/>
            <w:vMerge/>
          </w:tcPr>
          <w:p w:rsidR="009D21C5" w:rsidRPr="008F7397" w:rsidRDefault="009D21C5" w:rsidP="00951716">
            <w:pPr>
              <w:jc w:val="center"/>
              <w:rPr>
                <w:rFonts w:asciiTheme="majorBidi" w:hAnsiTheme="majorBidi" w:cstheme="majorBidi"/>
                <w:sz w:val="24"/>
                <w:szCs w:val="24"/>
              </w:rPr>
            </w:pPr>
          </w:p>
        </w:tc>
        <w:tc>
          <w:tcPr>
            <w:tcW w:w="1276" w:type="dxa"/>
            <w:vMerge/>
          </w:tcPr>
          <w:p w:rsidR="009D21C5" w:rsidRPr="008F7397" w:rsidRDefault="009D21C5" w:rsidP="00951716">
            <w:pPr>
              <w:rPr>
                <w:rFonts w:asciiTheme="majorBidi" w:hAnsiTheme="majorBidi" w:cstheme="majorBidi"/>
                <w:sz w:val="24"/>
                <w:szCs w:val="24"/>
              </w:rPr>
            </w:pPr>
          </w:p>
        </w:tc>
        <w:tc>
          <w:tcPr>
            <w:tcW w:w="1842" w:type="dxa"/>
            <w:vMerge/>
          </w:tcPr>
          <w:p w:rsidR="009D21C5" w:rsidRPr="008F7397" w:rsidRDefault="009D21C5" w:rsidP="00951716">
            <w:pPr>
              <w:rPr>
                <w:rFonts w:asciiTheme="majorBidi" w:hAnsiTheme="majorBidi" w:cstheme="majorBidi"/>
                <w:sz w:val="24"/>
                <w:szCs w:val="24"/>
              </w:rPr>
            </w:pPr>
          </w:p>
        </w:tc>
        <w:tc>
          <w:tcPr>
            <w:tcW w:w="2268" w:type="dxa"/>
            <w:vMerge/>
          </w:tcPr>
          <w:p w:rsidR="009D21C5" w:rsidRPr="008F7397" w:rsidRDefault="009D21C5" w:rsidP="00951716">
            <w:pPr>
              <w:rPr>
                <w:rFonts w:asciiTheme="majorBidi" w:hAnsiTheme="majorBidi" w:cstheme="majorBidi"/>
                <w:sz w:val="24"/>
                <w:szCs w:val="24"/>
              </w:rPr>
            </w:pPr>
          </w:p>
        </w:tc>
        <w:tc>
          <w:tcPr>
            <w:tcW w:w="2129" w:type="dxa"/>
          </w:tcPr>
          <w:p w:rsidR="009D21C5" w:rsidRPr="008F7397" w:rsidRDefault="009D21C5" w:rsidP="00951716">
            <w:pPr>
              <w:rPr>
                <w:rFonts w:asciiTheme="majorBidi" w:hAnsiTheme="majorBidi" w:cstheme="majorBidi"/>
                <w:sz w:val="24"/>
                <w:szCs w:val="24"/>
              </w:rPr>
            </w:pPr>
            <w:r w:rsidRPr="008F7397">
              <w:rPr>
                <w:rFonts w:asciiTheme="majorBidi" w:hAnsiTheme="majorBidi" w:cstheme="majorBidi"/>
                <w:noProof/>
                <w:sz w:val="24"/>
                <w:szCs w:val="24"/>
                <w:lang w:val="en-GB" w:eastAsia="en-GB"/>
              </w:rPr>
              <w:drawing>
                <wp:anchor distT="0" distB="0" distL="114300" distR="114300" simplePos="0" relativeHeight="251662336" behindDoc="0" locked="0" layoutInCell="1" allowOverlap="1">
                  <wp:simplePos x="0" y="0"/>
                  <wp:positionH relativeFrom="column">
                    <wp:posOffset>43</wp:posOffset>
                  </wp:positionH>
                  <wp:positionV relativeFrom="paragraph">
                    <wp:posOffset>7051</wp:posOffset>
                  </wp:positionV>
                  <wp:extent cx="179514" cy="179515"/>
                  <wp:effectExtent l="0" t="0" r="0" b="0"/>
                  <wp:wrapNone/>
                  <wp:docPr id="39" name="Picture 9" descr="almost_eq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ost_equal.png"/>
                          <pic:cNvPicPr/>
                        </pic:nvPicPr>
                        <pic:blipFill>
                          <a:blip r:embed="rId16" cstate="print"/>
                          <a:stretch>
                            <a:fillRect/>
                          </a:stretch>
                        </pic:blipFill>
                        <pic:spPr>
                          <a:xfrm>
                            <a:off x="0" y="0"/>
                            <a:ext cx="179514" cy="179515"/>
                          </a:xfrm>
                          <a:prstGeom prst="rect">
                            <a:avLst/>
                          </a:prstGeom>
                        </pic:spPr>
                      </pic:pic>
                    </a:graphicData>
                  </a:graphic>
                </wp:anchor>
              </w:drawing>
            </w:r>
            <w:r w:rsidRPr="008F7397">
              <w:rPr>
                <w:rFonts w:asciiTheme="majorBidi" w:hAnsiTheme="majorBidi" w:cstheme="majorBidi"/>
                <w:sz w:val="24"/>
                <w:szCs w:val="24"/>
              </w:rPr>
              <w:t xml:space="preserve">     Apoptosis remains 0</w:t>
            </w:r>
          </w:p>
        </w:tc>
        <w:tc>
          <w:tcPr>
            <w:tcW w:w="990" w:type="dxa"/>
            <w:vMerge/>
          </w:tcPr>
          <w:p w:rsidR="009D21C5" w:rsidRPr="008F7397" w:rsidRDefault="009D21C5" w:rsidP="00951716">
            <w:pPr>
              <w:jc w:val="center"/>
              <w:rPr>
                <w:rFonts w:asciiTheme="majorBidi" w:hAnsiTheme="majorBidi" w:cstheme="majorBidi"/>
                <w:sz w:val="24"/>
                <w:szCs w:val="24"/>
              </w:rPr>
            </w:pPr>
          </w:p>
        </w:tc>
      </w:tr>
      <w:tr w:rsidR="009D21C5" w:rsidRPr="008F7397" w:rsidTr="00951716">
        <w:trPr>
          <w:cantSplit/>
          <w:trHeight w:val="650"/>
        </w:trPr>
        <w:tc>
          <w:tcPr>
            <w:tcW w:w="957" w:type="dxa"/>
            <w:vMerge w:val="restart"/>
          </w:tcPr>
          <w:p w:rsidR="009D21C5" w:rsidRPr="008F7397" w:rsidRDefault="00760C56" w:rsidP="005D7A0D">
            <w:pPr>
              <w:jc w:val="center"/>
              <w:rPr>
                <w:rFonts w:asciiTheme="majorBidi" w:hAnsiTheme="majorBidi" w:cstheme="majorBidi"/>
                <w:sz w:val="24"/>
                <w:szCs w:val="24"/>
              </w:rPr>
            </w:pPr>
            <w:r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2mpr5d4163","properties":{"formattedCitation":"[48]","plainCitation":"[48]"},"citationItems":[{"id":465,"uris":["http://zotero.org/users/2553926/items/U4XDIPGU"],"uri":["http://zotero.org/users/2553926/items/U4XDIPGU"],"itemData":{"id":465,"type":"article-journal","title":"The dual mTORC1 and mTORC2 inhibitor AZD8055 has anti-tumor activity in acute myeloid leukemia","container-title":"Leukemia","page":"1195-1202","volume":"26","issue":"6","source":"PubMed","abstract":"The serine/threonine kinase mammalian target of rapamycin (mTOR) is crucial for cell growth and proliferation, and is constitutively activated in primary acute myeloid leukemia (AML) cells, therefore representing a major target for drug development in this disease. We show here that the specific mTOR kinase inhibitor AZD8055 blocked mTORC1 and mTORC2 signaling in AML. Particularly, AZD8055 fully inhibited multisite eIF4E-binding protein 1 phosphorylation, subsequently blocking protein translation, which was in contrast to the effects of rapamycin. In addition, the mTORC1-dependent PI3K/Akt feedback activation was fully abrogated in AZD8055-treated AML cells. Significantly, AZD8055 decreased AML blast cell proliferation and cell cycle progression, reduced the clonogenic growth of leukemic progenitors and induced caspase-dependent apoptosis in leukemic cells but not in normal immature CD34+ cells. Interestingly, AZD8055 strongly induced autophagy, which may be either protective or cell death inducing, depending on concentration. Finally, AZD8055 markedly increased the survival of AML transplanted mice through a significant reduction of tumor growth, without apparent toxicity. Our current results strongly suggest that AZD8055 should be tested in AML patients in clinical trials.","DOI":"10.1038/leu.2011.339","ISSN":"1476-5551","note":"PMID: 22143671","journalAbbreviation":"Leukemia","language":"eng","author":[{"family":"Willems","given":"L."},{"family":"Chapuis","given":"N."},{"family":"Puissant","given":"A."},{"family":"Maciel","given":"T. T."},{"family":"Green","given":"A. S."},{"family":"Jacque","given":"N."},{"family":"Vignon","given":"C."},{"family":"Park","given":"S."},{"family":"Guichard","given":"S."},{"family":"Herault","given":"O."},{"family":"Fricot","given":"A."},{"family":"Hermine","given":"O."},{"family":"Moura","given":"I. C."},{"family":"Auberger","given":"P."},{"family":"Ifrah","given":"N."},{"family":"Dreyfus","given":"F."},{"family":"Bonnet","given":"D."},{"family":"Lacombe","given":"C."},{"family":"Mayeux","given":"P."},{"family":"Bouscary","given":"D."},{"family":"Tamburini","given":"J."}],"issued":{"date-parts":[["2012",6]]}}}],"schema":"https://github.com/citation-style-language/schema/raw/master/csl-citation.json"} </w:instrText>
            </w:r>
            <w:r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[48]</w:t>
            </w:r>
            <w:r w:rsidRPr="008F7397">
              <w:rPr>
                <w:rFonts w:asciiTheme="majorBidi" w:hAnsiTheme="majorBidi" w:cstheme="majorBidi"/>
                <w:sz w:val="24"/>
                <w:szCs w:val="24"/>
              </w:rPr>
              <w:fldChar w:fldCharType="end"/>
            </w:r>
          </w:p>
        </w:tc>
        <w:tc>
          <w:tcPr>
            <w:tcW w:w="1276" w:type="dxa"/>
            <w:vMerge w:val="restart"/>
          </w:tcPr>
          <w:p w:rsidR="009D21C5" w:rsidRPr="008F7397" w:rsidRDefault="009D21C5" w:rsidP="00951716">
            <w:pPr>
              <w:rPr>
                <w:rFonts w:asciiTheme="majorBidi" w:hAnsiTheme="majorBidi" w:cstheme="majorBidi"/>
                <w:sz w:val="24"/>
                <w:szCs w:val="24"/>
              </w:rPr>
            </w:pPr>
            <w:r w:rsidRPr="008F7397">
              <w:rPr>
                <w:rFonts w:asciiTheme="majorBidi" w:hAnsiTheme="majorBidi" w:cstheme="majorBidi"/>
                <w:sz w:val="24"/>
                <w:szCs w:val="24"/>
              </w:rPr>
              <w:t>MV411</w:t>
            </w:r>
          </w:p>
        </w:tc>
        <w:tc>
          <w:tcPr>
            <w:tcW w:w="1842" w:type="dxa"/>
            <w:vMerge w:val="restart"/>
          </w:tcPr>
          <w:p w:rsidR="009D21C5" w:rsidRPr="008F7397" w:rsidRDefault="009D21C5" w:rsidP="00951716">
            <w:pPr>
              <w:rPr>
                <w:rFonts w:asciiTheme="majorBidi" w:hAnsiTheme="majorBidi" w:cstheme="majorBidi"/>
                <w:sz w:val="24"/>
                <w:szCs w:val="24"/>
              </w:rPr>
            </w:pPr>
            <w:r w:rsidRPr="008F7397">
              <w:rPr>
                <w:rFonts w:asciiTheme="majorBidi" w:hAnsiTheme="majorBidi" w:cstheme="majorBidi"/>
                <w:sz w:val="24"/>
                <w:szCs w:val="24"/>
              </w:rPr>
              <w:t>mTORC inhibitor</w:t>
            </w:r>
          </w:p>
        </w:tc>
        <w:tc>
          <w:tcPr>
            <w:tcW w:w="2268" w:type="dxa"/>
          </w:tcPr>
          <w:p w:rsidR="009D21C5" w:rsidRPr="008F7397" w:rsidRDefault="00D12BFF" w:rsidP="00951716">
            <w:pPr>
              <w:rPr>
                <w:rFonts w:asciiTheme="majorBidi" w:hAnsiTheme="majorBidi" w:cstheme="majorBidi"/>
                <w:sz w:val="24"/>
                <w:szCs w:val="24"/>
              </w:rPr>
            </w:pPr>
            <w:r>
              <w:rPr>
                <w:rFonts w:asciiTheme="majorBidi" w:hAnsiTheme="majorBidi" w:cstheme="majorBidi"/>
                <w:noProof/>
                <w:sz w:val="24"/>
                <w:szCs w:val="24"/>
                <w:lang w:val="en-GB" w:eastAsia="en-GB"/>
              </w:rPr>
              <mc:AlternateContent>
                <mc:Choice Requires="wps">
                  <w:drawing>
                    <wp:anchor distT="0" distB="0" distL="114300" distR="114300" simplePos="0" relativeHeight="251675648" behindDoc="0" locked="0" layoutInCell="1" allowOverlap="1">
                      <wp:simplePos x="0" y="0"/>
                      <wp:positionH relativeFrom="column">
                        <wp:posOffset>-64135</wp:posOffset>
                      </wp:positionH>
                      <wp:positionV relativeFrom="paragraph">
                        <wp:posOffset>32385</wp:posOffset>
                      </wp:positionV>
                      <wp:extent cx="143510" cy="136525"/>
                      <wp:effectExtent l="38100" t="0" r="27940" b="34925"/>
                      <wp:wrapNone/>
                      <wp:docPr id="2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36525"/>
                              </a:xfrm>
                              <a:prstGeom prst="down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AD7BA" id="AutoShape 22" o:spid="_x0000_s1026" type="#_x0000_t67" style="position:absolute;margin-left:-5.05pt;margin-top:2.55pt;width:11.3pt;height:1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" fillcolor="red" strokecolor="red">
                      <v:textbox style="layout-flow:vertical-ideographic"/>
                    </v:shape>
                  </w:pict>
                </mc:Fallback>
              </mc:AlternateContent>
            </w:r>
            <w:r w:rsidR="009D21C5" w:rsidRPr="008F7397">
              <w:rPr>
                <w:rFonts w:asciiTheme="majorBidi" w:hAnsiTheme="majorBidi" w:cstheme="majorBidi"/>
                <w:sz w:val="24"/>
                <w:szCs w:val="24"/>
              </w:rPr>
              <w:t xml:space="preserve">    Decreased cell proliferation</w:t>
            </w:r>
          </w:p>
        </w:tc>
        <w:tc>
          <w:tcPr>
            <w:tcW w:w="2129" w:type="dxa"/>
          </w:tcPr>
          <w:p w:rsidR="009D21C5" w:rsidRPr="008F7397" w:rsidRDefault="009D21C5" w:rsidP="00951716">
            <w:pPr>
              <w:rPr>
                <w:rFonts w:asciiTheme="majorBidi" w:hAnsiTheme="majorBidi" w:cstheme="majorBidi"/>
                <w:sz w:val="24"/>
                <w:szCs w:val="24"/>
              </w:rPr>
            </w:pPr>
            <w:r w:rsidRPr="008F7397">
              <w:rPr>
                <w:rFonts w:asciiTheme="majorBidi" w:hAnsiTheme="majorBidi" w:cstheme="majorBidi"/>
                <w:noProof/>
                <w:sz w:val="24"/>
                <w:szCs w:val="24"/>
                <w:lang w:val="en-GB" w:eastAsia="en-GB"/>
              </w:rPr>
              <w:drawing>
                <wp:anchor distT="0" distB="0" distL="114300" distR="114300" simplePos="0" relativeHeight="251663360" behindDoc="0" locked="0" layoutInCell="1" allowOverlap="1">
                  <wp:simplePos x="0" y="0"/>
                  <wp:positionH relativeFrom="column">
                    <wp:posOffset>43</wp:posOffset>
                  </wp:positionH>
                  <wp:positionV relativeFrom="paragraph">
                    <wp:posOffset>14508</wp:posOffset>
                  </wp:positionV>
                  <wp:extent cx="179514" cy="179514"/>
                  <wp:effectExtent l="0" t="0" r="0" b="0"/>
                  <wp:wrapNone/>
                  <wp:docPr id="40" name="Picture 8" descr="almost_eq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ost_equal.png"/>
                          <pic:cNvPicPr/>
                        </pic:nvPicPr>
                        <pic:blipFill>
                          <a:blip r:embed="rId16" cstate="print"/>
                          <a:stretch>
                            <a:fillRect/>
                          </a:stretch>
                        </pic:blipFill>
                        <pic:spPr>
                          <a:xfrm>
                            <a:off x="0" y="0"/>
                            <a:ext cx="179514" cy="179514"/>
                          </a:xfrm>
                          <a:prstGeom prst="rect">
                            <a:avLst/>
                          </a:prstGeom>
                        </pic:spPr>
                      </pic:pic>
                    </a:graphicData>
                  </a:graphic>
                </wp:anchor>
              </w:drawing>
            </w:r>
            <w:r w:rsidRPr="008F7397">
              <w:rPr>
                <w:rFonts w:asciiTheme="majorBidi" w:hAnsiTheme="majorBidi" w:cstheme="majorBidi"/>
                <w:sz w:val="24"/>
                <w:szCs w:val="24"/>
              </w:rPr>
              <w:t xml:space="preserve">     Proliferation remains 4</w:t>
            </w:r>
          </w:p>
          <w:p w:rsidR="009D21C5" w:rsidRPr="008F7397" w:rsidRDefault="009D21C5" w:rsidP="00951716">
            <w:pPr>
              <w:rPr>
                <w:rFonts w:asciiTheme="majorBidi" w:hAnsiTheme="majorBidi" w:cstheme="majorBidi"/>
                <w:sz w:val="24"/>
                <w:szCs w:val="24"/>
              </w:rPr>
            </w:pPr>
          </w:p>
        </w:tc>
        <w:tc>
          <w:tcPr>
            <w:tcW w:w="990" w:type="dxa"/>
          </w:tcPr>
          <w:p w:rsidR="009D21C5" w:rsidRPr="008F7397" w:rsidRDefault="009D21C5" w:rsidP="00951716">
            <w:pPr>
              <w:jc w:val="center"/>
              <w:rPr>
                <w:rFonts w:asciiTheme="majorBidi" w:hAnsiTheme="majorBidi" w:cstheme="majorBidi"/>
                <w:sz w:val="24"/>
                <w:szCs w:val="24"/>
              </w:rPr>
            </w:pPr>
            <w:r w:rsidRPr="008F7397">
              <w:rPr>
                <w:rFonts w:asciiTheme="majorBidi" w:hAnsiTheme="majorBidi" w:cstheme="majorBidi"/>
                <w:sz w:val="24"/>
                <w:szCs w:val="24"/>
              </w:rPr>
              <w:t>X</w:t>
            </w:r>
          </w:p>
        </w:tc>
      </w:tr>
      <w:tr w:rsidR="009D21C5" w:rsidRPr="008F7397" w:rsidTr="00951716">
        <w:trPr>
          <w:cantSplit/>
          <w:trHeight w:val="650"/>
        </w:trPr>
        <w:tc>
          <w:tcPr>
            <w:tcW w:w="957" w:type="dxa"/>
            <w:vMerge/>
          </w:tcPr>
          <w:p w:rsidR="009D21C5" w:rsidRPr="008F7397" w:rsidRDefault="009D21C5" w:rsidP="00951716">
            <w:pPr>
              <w:jc w:val="center"/>
              <w:rPr>
                <w:rFonts w:asciiTheme="majorBidi" w:hAnsiTheme="majorBidi" w:cstheme="majorBidi"/>
                <w:sz w:val="24"/>
                <w:szCs w:val="24"/>
              </w:rPr>
            </w:pPr>
          </w:p>
        </w:tc>
        <w:tc>
          <w:tcPr>
            <w:tcW w:w="1276" w:type="dxa"/>
            <w:vMerge/>
          </w:tcPr>
          <w:p w:rsidR="009D21C5" w:rsidRPr="008F7397" w:rsidRDefault="009D21C5" w:rsidP="00951716">
            <w:pPr>
              <w:rPr>
                <w:rFonts w:asciiTheme="majorBidi" w:hAnsiTheme="majorBidi" w:cstheme="majorBidi"/>
                <w:sz w:val="24"/>
                <w:szCs w:val="24"/>
              </w:rPr>
            </w:pPr>
          </w:p>
        </w:tc>
        <w:tc>
          <w:tcPr>
            <w:tcW w:w="1842" w:type="dxa"/>
            <w:vMerge/>
          </w:tcPr>
          <w:p w:rsidR="009D21C5" w:rsidRPr="008F7397" w:rsidRDefault="009D21C5" w:rsidP="00951716">
            <w:pPr>
              <w:rPr>
                <w:rFonts w:asciiTheme="majorBidi" w:hAnsiTheme="majorBidi" w:cstheme="majorBidi"/>
                <w:sz w:val="24"/>
                <w:szCs w:val="24"/>
              </w:rPr>
            </w:pPr>
          </w:p>
        </w:tc>
        <w:tc>
          <w:tcPr>
            <w:tcW w:w="2268" w:type="dxa"/>
          </w:tcPr>
          <w:p w:rsidR="009D21C5" w:rsidRPr="008F7397" w:rsidRDefault="00D12BFF" w:rsidP="00951716">
            <w:pPr>
              <w:rPr>
                <w:rFonts w:asciiTheme="majorBidi" w:hAnsiTheme="majorBidi" w:cstheme="majorBidi"/>
                <w:sz w:val="24"/>
                <w:szCs w:val="24"/>
              </w:rPr>
            </w:pPr>
            <w:r>
              <w:rPr>
                <w:rFonts w:asciiTheme="majorBidi" w:hAnsiTheme="majorBidi" w:cstheme="majorBidi"/>
                <w:noProof/>
                <w:sz w:val="24"/>
                <w:szCs w:val="24"/>
                <w:lang w:val="en-GB" w:eastAsia="en-GB"/>
              </w:rPr>
              <mc:AlternateContent>
                <mc:Choice Requires="wps">
                  <w:drawing>
                    <wp:anchor distT="0" distB="0" distL="114300" distR="114300" simplePos="0" relativeHeight="251676672" behindDoc="0" locked="0" layoutInCell="1" allowOverlap="1">
                      <wp:simplePos x="0" y="0"/>
                      <wp:positionH relativeFrom="column">
                        <wp:posOffset>-64770</wp:posOffset>
                      </wp:positionH>
                      <wp:positionV relativeFrom="paragraph">
                        <wp:posOffset>86360</wp:posOffset>
                      </wp:positionV>
                      <wp:extent cx="143510" cy="136525"/>
                      <wp:effectExtent l="38100" t="19050" r="27940" b="15875"/>
                      <wp:wrapNone/>
                      <wp:docPr id="1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3510" cy="136525"/>
                              </a:xfrm>
                              <a:prstGeom prst="downArrow">
                                <a:avLst>
                                  <a:gd name="adj1" fmla="val 50000"/>
                                  <a:gd name="adj2" fmla="val 25000"/>
                                </a:avLst>
                              </a:prstGeom>
                              <a:solidFill>
                                <a:srgbClr val="00FF00"/>
                              </a:solidFill>
                              <a:ln w="9525">
                                <a:solidFill>
                                  <a:srgbClr val="00B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6F139" id="AutoShape 23" o:spid="_x0000_s1026" type="#_x0000_t67" style="position:absolute;margin-left:-5.1pt;margin-top:6.8pt;width:11.3pt;height:10.75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" fillcolor="lime" strokecolor="#00b050">
                      <v:textbox style="layout-flow:vertical-ideographic"/>
                    </v:shape>
                  </w:pict>
                </mc:Fallback>
              </mc:AlternateContent>
            </w:r>
            <w:r w:rsidR="009D21C5" w:rsidRPr="008F7397">
              <w:rPr>
                <w:rFonts w:asciiTheme="majorBidi" w:hAnsiTheme="majorBidi" w:cstheme="majorBidi"/>
                <w:sz w:val="24"/>
                <w:szCs w:val="24"/>
              </w:rPr>
              <w:t xml:space="preserve">    Induced apoptosis</w:t>
            </w:r>
          </w:p>
        </w:tc>
        <w:tc>
          <w:tcPr>
            <w:tcW w:w="2129" w:type="dxa"/>
          </w:tcPr>
          <w:p w:rsidR="009D21C5" w:rsidRPr="008F7397" w:rsidRDefault="00D12BFF" w:rsidP="00951716">
            <w:pPr>
              <w:rPr>
                <w:rFonts w:asciiTheme="majorBidi" w:hAnsiTheme="majorBidi" w:cstheme="majorBidi"/>
                <w:sz w:val="24"/>
                <w:szCs w:val="24"/>
              </w:rPr>
            </w:pPr>
            <w:r>
              <w:rPr>
                <w:rFonts w:asciiTheme="majorBidi" w:hAnsiTheme="majorBidi" w:cstheme="majorBidi"/>
                <w:noProof/>
                <w:sz w:val="24"/>
                <w:szCs w:val="24"/>
                <w:lang w:val="en-GB" w:eastAsia="en-GB"/>
              </w:rPr>
              <mc:AlternateContent>
                <mc:Choice Requires="wps">
                  <w:drawing>
                    <wp:anchor distT="0" distB="0" distL="114300" distR="114300" simplePos="0" relativeHeight="251677696" behindDoc="0" locked="0" layoutInCell="1" allowOverlap="1">
                      <wp:simplePos x="0" y="0"/>
                      <wp:positionH relativeFrom="column">
                        <wp:posOffset>-24130</wp:posOffset>
                      </wp:positionH>
                      <wp:positionV relativeFrom="paragraph">
                        <wp:posOffset>19685</wp:posOffset>
                      </wp:positionV>
                      <wp:extent cx="143510" cy="136525"/>
                      <wp:effectExtent l="38100" t="19050" r="27940" b="15875"/>
                      <wp:wrapNone/>
                      <wp:docPr id="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3510" cy="136525"/>
                              </a:xfrm>
                              <a:prstGeom prst="downArrow">
                                <a:avLst>
                                  <a:gd name="adj1" fmla="val 50000"/>
                                  <a:gd name="adj2" fmla="val 25000"/>
                                </a:avLst>
                              </a:prstGeom>
                              <a:solidFill>
                                <a:srgbClr val="00FF00"/>
                              </a:solidFill>
                              <a:ln w="9525">
                                <a:solidFill>
                                  <a:srgbClr val="00B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93469" id="AutoShape 19" o:spid="_x0000_s1026" type="#_x0000_t67" style="position:absolute;margin-left:-1.9pt;margin-top:1.55pt;width:11.3pt;height:10.75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" fillcolor="lime" strokecolor="#00b050">
                      <v:textbox style="layout-flow:vertical-ideographic"/>
                    </v:shape>
                  </w:pict>
                </mc:Fallback>
              </mc:AlternateContent>
            </w:r>
            <w:r w:rsidR="009D21C5" w:rsidRPr="008F7397">
              <w:rPr>
                <w:rFonts w:asciiTheme="majorBidi" w:hAnsiTheme="majorBidi" w:cstheme="majorBidi"/>
                <w:sz w:val="24"/>
                <w:szCs w:val="24"/>
              </w:rPr>
              <w:t xml:space="preserve">    Apoptosis increased to 4</w:t>
            </w:r>
          </w:p>
        </w:tc>
        <w:tc>
          <w:tcPr>
            <w:tcW w:w="990" w:type="dxa"/>
          </w:tcPr>
          <w:p w:rsidR="009D21C5" w:rsidRPr="008F7397" w:rsidRDefault="009D21C5" w:rsidP="00951716">
            <w:pPr>
              <w:jc w:val="center"/>
              <w:rPr>
                <w:rFonts w:asciiTheme="majorBidi" w:hAnsiTheme="majorBidi" w:cstheme="majorBidi"/>
                <w:sz w:val="24"/>
                <w:szCs w:val="24"/>
              </w:rPr>
            </w:pPr>
            <w:r w:rsidRPr="008F7397">
              <w:rPr>
                <w:rFonts w:asciiTheme="majorBidi" w:hAnsiTheme="majorBidi" w:cstheme="majorBidi"/>
                <w:sz w:val="24"/>
                <w:szCs w:val="24"/>
              </w:rPr>
              <w:t>V</w:t>
            </w:r>
          </w:p>
        </w:tc>
      </w:tr>
      <w:tr w:rsidR="009D21C5" w:rsidRPr="008F7397" w:rsidTr="00951716">
        <w:trPr>
          <w:cantSplit/>
          <w:trHeight w:val="650"/>
        </w:trPr>
        <w:tc>
          <w:tcPr>
            <w:tcW w:w="957" w:type="dxa"/>
            <w:vMerge/>
          </w:tcPr>
          <w:p w:rsidR="009D21C5" w:rsidRPr="008F7397" w:rsidRDefault="009D21C5" w:rsidP="00951716">
            <w:pPr>
              <w:jc w:val="center"/>
              <w:rPr>
                <w:rFonts w:asciiTheme="majorBidi" w:hAnsiTheme="majorBidi" w:cstheme="majorBidi"/>
                <w:sz w:val="24"/>
                <w:szCs w:val="24"/>
              </w:rPr>
            </w:pPr>
          </w:p>
        </w:tc>
        <w:tc>
          <w:tcPr>
            <w:tcW w:w="1276" w:type="dxa"/>
            <w:vMerge/>
          </w:tcPr>
          <w:p w:rsidR="009D21C5" w:rsidRPr="008F7397" w:rsidRDefault="009D21C5" w:rsidP="00951716">
            <w:pPr>
              <w:rPr>
                <w:rFonts w:asciiTheme="majorBidi" w:hAnsiTheme="majorBidi" w:cstheme="majorBidi"/>
                <w:sz w:val="24"/>
                <w:szCs w:val="24"/>
              </w:rPr>
            </w:pPr>
          </w:p>
        </w:tc>
        <w:tc>
          <w:tcPr>
            <w:tcW w:w="1842" w:type="dxa"/>
            <w:vMerge/>
          </w:tcPr>
          <w:p w:rsidR="009D21C5" w:rsidRPr="008F7397" w:rsidRDefault="009D21C5" w:rsidP="00951716">
            <w:pPr>
              <w:rPr>
                <w:rFonts w:asciiTheme="majorBidi" w:hAnsiTheme="majorBidi" w:cstheme="majorBidi"/>
                <w:sz w:val="24"/>
                <w:szCs w:val="24"/>
              </w:rPr>
            </w:pPr>
          </w:p>
        </w:tc>
        <w:tc>
          <w:tcPr>
            <w:tcW w:w="2268" w:type="dxa"/>
          </w:tcPr>
          <w:p w:rsidR="009D21C5" w:rsidRPr="008F7397" w:rsidRDefault="00D12BFF" w:rsidP="00951716">
            <w:pPr>
              <w:rPr>
                <w:rFonts w:asciiTheme="majorBidi" w:hAnsiTheme="majorBidi" w:cstheme="majorBidi"/>
                <w:sz w:val="24"/>
                <w:szCs w:val="24"/>
              </w:rPr>
            </w:pPr>
            <w:r>
              <w:rPr>
                <w:rFonts w:asciiTheme="majorBidi" w:hAnsiTheme="majorBidi" w:cstheme="majorBidi"/>
                <w:noProof/>
                <w:sz w:val="24"/>
                <w:szCs w:val="24"/>
                <w:lang w:val="en-GB" w:eastAsia="en-GB"/>
              </w:rPr>
              <mc:AlternateContent>
                <mc:Choice Requires="wps">
                  <w:drawing>
                    <wp:anchor distT="0" distB="0" distL="114300" distR="114300" simplePos="0" relativeHeight="251678720" behindDoc="0" locked="0" layoutInCell="1" allowOverlap="1">
                      <wp:simplePos x="0" y="0"/>
                      <wp:positionH relativeFrom="column">
                        <wp:posOffset>-34290</wp:posOffset>
                      </wp:positionH>
                      <wp:positionV relativeFrom="paragraph">
                        <wp:posOffset>17780</wp:posOffset>
                      </wp:positionV>
                      <wp:extent cx="143510" cy="136525"/>
                      <wp:effectExtent l="38100" t="0" r="27940" b="34925"/>
                      <wp:wrapNone/>
                      <wp:docPr id="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36525"/>
                              </a:xfrm>
                              <a:prstGeom prst="down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AC2CA" id="AutoShape 21" o:spid="_x0000_s1026" type="#_x0000_t67" style="position:absolute;margin-left:-2.7pt;margin-top:1.4pt;width:11.3pt;height:1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" fillcolor="red" strokecolor="red">
                      <v:textbox style="layout-flow:vertical-ideographic"/>
                    </v:shape>
                  </w:pict>
                </mc:Fallback>
              </mc:AlternateContent>
            </w:r>
            <w:r w:rsidR="009D21C5" w:rsidRPr="008F7397">
              <w:rPr>
                <w:rFonts w:asciiTheme="majorBidi" w:hAnsiTheme="majorBidi" w:cstheme="majorBidi"/>
                <w:sz w:val="24"/>
                <w:szCs w:val="24"/>
              </w:rPr>
              <w:t xml:space="preserve">     AZD8055 fully inhibited multisite eIF4E-binding protein 1 phosphorylation</w:t>
            </w:r>
          </w:p>
        </w:tc>
        <w:tc>
          <w:tcPr>
            <w:tcW w:w="2129" w:type="dxa"/>
          </w:tcPr>
          <w:p w:rsidR="009D21C5" w:rsidRPr="008F7397" w:rsidRDefault="00D12BFF" w:rsidP="00951716">
            <w:pPr>
              <w:rPr>
                <w:rFonts w:asciiTheme="majorBidi" w:hAnsiTheme="majorBidi" w:cstheme="majorBidi"/>
                <w:noProof/>
                <w:sz w:val="24"/>
                <w:szCs w:val="24"/>
                <w:lang w:bidi="he-IL"/>
              </w:rPr>
            </w:pPr>
            <w:r>
              <w:rPr>
                <w:rFonts w:asciiTheme="majorBidi" w:hAnsiTheme="majorBidi" w:cstheme="majorBidi"/>
                <w:noProof/>
                <w:sz w:val="24"/>
                <w:szCs w:val="24"/>
                <w:lang w:val="en-GB" w:eastAsia="en-GB"/>
              </w:rPr>
              <mc:AlternateContent>
                <mc:Choice Requires="wps">
                  <w:drawing>
                    <wp:anchor distT="0" distB="0" distL="114300" distR="114300" simplePos="0" relativeHeight="251679744" behindDoc="0" locked="0" layoutInCell="1" allowOverlap="1">
                      <wp:simplePos x="0" y="0"/>
                      <wp:positionH relativeFrom="column">
                        <wp:posOffset>-24130</wp:posOffset>
                      </wp:positionH>
                      <wp:positionV relativeFrom="paragraph">
                        <wp:posOffset>17780</wp:posOffset>
                      </wp:positionV>
                      <wp:extent cx="143510" cy="136525"/>
                      <wp:effectExtent l="38100" t="0" r="27940" b="34925"/>
                      <wp:wrapNone/>
                      <wp:docPr id="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36525"/>
                              </a:xfrm>
                              <a:prstGeom prst="down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1C34C" id="AutoShape 20" o:spid="_x0000_s1026" type="#_x0000_t67" style="position:absolute;margin-left:-1.9pt;margin-top:1.4pt;width:11.3pt;height:1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" fillcolor="red" strokecolor="red">
                      <v:textbox style="layout-flow:vertical-ideographic"/>
                    </v:shape>
                  </w:pict>
                </mc:Fallback>
              </mc:AlternateContent>
            </w:r>
            <w:r w:rsidR="009D21C5" w:rsidRPr="008F7397">
              <w:rPr>
                <w:rFonts w:asciiTheme="majorBidi" w:hAnsiTheme="majorBidi" w:cstheme="majorBidi"/>
                <w:noProof/>
                <w:sz w:val="24"/>
                <w:szCs w:val="24"/>
                <w:lang w:bidi="he-IL"/>
              </w:rPr>
              <w:t xml:space="preserve">     Phosphorylation activity of eIF4E (3-&gt;1)</w:t>
            </w:r>
          </w:p>
        </w:tc>
        <w:tc>
          <w:tcPr>
            <w:tcW w:w="990" w:type="dxa"/>
          </w:tcPr>
          <w:p w:rsidR="009D21C5" w:rsidRPr="008F7397" w:rsidRDefault="009D21C5" w:rsidP="00951716">
            <w:pPr>
              <w:jc w:val="center"/>
              <w:rPr>
                <w:rFonts w:asciiTheme="majorBidi" w:hAnsiTheme="majorBidi" w:cstheme="majorBidi"/>
                <w:sz w:val="24"/>
                <w:szCs w:val="24"/>
              </w:rPr>
            </w:pPr>
            <w:r w:rsidRPr="008F7397">
              <w:rPr>
                <w:rFonts w:asciiTheme="majorBidi" w:hAnsiTheme="majorBidi" w:cstheme="majorBidi"/>
                <w:sz w:val="24"/>
                <w:szCs w:val="24"/>
              </w:rPr>
              <w:t>V</w:t>
            </w:r>
          </w:p>
        </w:tc>
      </w:tr>
      <w:tr w:rsidR="009D21C5" w:rsidRPr="008F7397" w:rsidTr="00951716">
        <w:trPr>
          <w:cantSplit/>
          <w:trHeight w:val="1550"/>
        </w:trPr>
        <w:tc>
          <w:tcPr>
            <w:tcW w:w="957" w:type="dxa"/>
            <w:vMerge/>
            <w:tcBorders>
              <w:bottom w:val="nil"/>
            </w:tcBorders>
          </w:tcPr>
          <w:p w:rsidR="009D21C5" w:rsidRPr="008F7397" w:rsidRDefault="009D21C5" w:rsidP="00951716">
            <w:pPr>
              <w:jc w:val="center"/>
              <w:rPr>
                <w:rFonts w:asciiTheme="majorBidi" w:hAnsiTheme="majorBidi" w:cstheme="majorBidi"/>
                <w:sz w:val="24"/>
                <w:szCs w:val="24"/>
              </w:rPr>
            </w:pPr>
          </w:p>
        </w:tc>
        <w:tc>
          <w:tcPr>
            <w:tcW w:w="1276" w:type="dxa"/>
            <w:vMerge/>
            <w:tcBorders>
              <w:bottom w:val="nil"/>
            </w:tcBorders>
          </w:tcPr>
          <w:p w:rsidR="009D21C5" w:rsidRPr="008F7397" w:rsidRDefault="009D21C5" w:rsidP="00951716">
            <w:pPr>
              <w:rPr>
                <w:rFonts w:asciiTheme="majorBidi" w:hAnsiTheme="majorBidi" w:cstheme="majorBidi"/>
                <w:sz w:val="24"/>
                <w:szCs w:val="24"/>
              </w:rPr>
            </w:pPr>
          </w:p>
        </w:tc>
        <w:tc>
          <w:tcPr>
            <w:tcW w:w="1842" w:type="dxa"/>
            <w:vMerge/>
            <w:tcBorders>
              <w:bottom w:val="nil"/>
            </w:tcBorders>
          </w:tcPr>
          <w:p w:rsidR="009D21C5" w:rsidRPr="008F7397" w:rsidRDefault="009D21C5" w:rsidP="00951716">
            <w:pPr>
              <w:rPr>
                <w:rFonts w:asciiTheme="majorBidi" w:hAnsiTheme="majorBidi" w:cstheme="majorBidi"/>
                <w:sz w:val="24"/>
                <w:szCs w:val="24"/>
              </w:rPr>
            </w:pPr>
          </w:p>
        </w:tc>
        <w:tc>
          <w:tcPr>
            <w:tcW w:w="2268" w:type="dxa"/>
            <w:tcBorders>
              <w:bottom w:val="nil"/>
            </w:tcBorders>
          </w:tcPr>
          <w:p w:rsidR="009D21C5" w:rsidRPr="008F7397" w:rsidRDefault="00D12BFF" w:rsidP="00951716">
            <w:pPr>
              <w:rPr>
                <w:rFonts w:asciiTheme="majorBidi" w:hAnsiTheme="majorBidi" w:cstheme="majorBidi"/>
                <w:noProof/>
                <w:sz w:val="24"/>
                <w:szCs w:val="24"/>
                <w:lang w:bidi="he-IL"/>
              </w:rPr>
            </w:pPr>
            <w:r>
              <w:rPr>
                <w:rFonts w:asciiTheme="majorBidi" w:hAnsiTheme="majorBidi" w:cstheme="majorBidi"/>
                <w:noProof/>
                <w:sz w:val="24"/>
                <w:szCs w:val="24"/>
                <w:lang w:val="en-GB" w:eastAsia="en-GB"/>
              </w:rPr>
              <mc:AlternateContent>
                <mc:Choice Requires="wps">
                  <w:drawing>
                    <wp:anchor distT="0" distB="0" distL="114300" distR="114300" simplePos="0" relativeHeight="251680768" behindDoc="0" locked="0" layoutInCell="1" allowOverlap="1">
                      <wp:simplePos x="0" y="0"/>
                      <wp:positionH relativeFrom="column">
                        <wp:posOffset>-34290</wp:posOffset>
                      </wp:positionH>
                      <wp:positionV relativeFrom="paragraph">
                        <wp:posOffset>25400</wp:posOffset>
                      </wp:positionV>
                      <wp:extent cx="143510" cy="136525"/>
                      <wp:effectExtent l="38100" t="0" r="27940" b="34925"/>
                      <wp:wrapNone/>
                      <wp:docPr id="2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36525"/>
                              </a:xfrm>
                              <a:prstGeom prst="down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8EE38" id="AutoShape 25" o:spid="_x0000_s1026" type="#_x0000_t67" style="position:absolute;margin-left:-2.7pt;margin-top:2pt;width:11.3pt;height:1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" fillcolor="red" strokecolor="red">
                      <v:textbox style="layout-flow:vertical-ideographic"/>
                    </v:shape>
                  </w:pict>
                </mc:Fallback>
              </mc:AlternateContent>
            </w:r>
            <w:r w:rsidR="009D21C5" w:rsidRPr="008F7397">
              <w:rPr>
                <w:rFonts w:asciiTheme="majorBidi" w:hAnsiTheme="majorBidi" w:cstheme="majorBidi"/>
                <w:noProof/>
                <w:sz w:val="24"/>
                <w:szCs w:val="24"/>
                <w:lang w:bidi="he-IL"/>
              </w:rPr>
              <w:t xml:space="preserve">    induced a dephosphorylation of 4EBP1 on T37/46, S65 and T70 residues </w:t>
            </w:r>
          </w:p>
        </w:tc>
        <w:tc>
          <w:tcPr>
            <w:tcW w:w="2129" w:type="dxa"/>
            <w:tcBorders>
              <w:bottom w:val="nil"/>
            </w:tcBorders>
          </w:tcPr>
          <w:p w:rsidR="009D21C5" w:rsidRPr="008F7397" w:rsidRDefault="00D12BFF" w:rsidP="00951716">
            <w:pPr>
              <w:rPr>
                <w:rFonts w:asciiTheme="majorBidi" w:hAnsiTheme="majorBidi" w:cstheme="majorBidi"/>
                <w:noProof/>
                <w:sz w:val="24"/>
                <w:szCs w:val="24"/>
                <w:lang w:bidi="he-IL"/>
              </w:rPr>
            </w:pPr>
            <w:r>
              <w:rPr>
                <w:rFonts w:asciiTheme="majorBidi" w:hAnsiTheme="majorBidi" w:cstheme="majorBidi"/>
                <w:noProof/>
                <w:sz w:val="24"/>
                <w:szCs w:val="24"/>
                <w:lang w:val="en-GB" w:eastAsia="en-GB"/>
              </w:rPr>
              <mc:AlternateContent>
                <mc:Choice Requires="wps">
                  <w:drawing>
                    <wp:anchor distT="0" distB="0" distL="114300" distR="114300" simplePos="0" relativeHeight="251681792" behindDoc="0" locked="0" layoutInCell="1" allowOverlap="1">
                      <wp:simplePos x="0" y="0"/>
                      <wp:positionH relativeFrom="column">
                        <wp:posOffset>-24130</wp:posOffset>
                      </wp:positionH>
                      <wp:positionV relativeFrom="paragraph">
                        <wp:posOffset>25400</wp:posOffset>
                      </wp:positionV>
                      <wp:extent cx="143510" cy="136525"/>
                      <wp:effectExtent l="38100" t="0" r="27940" b="34925"/>
                      <wp:wrapNone/>
                      <wp:docPr id="3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36525"/>
                              </a:xfrm>
                              <a:prstGeom prst="down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082C0" id="AutoShape 24" o:spid="_x0000_s1026" type="#_x0000_t67" style="position:absolute;margin-left:-1.9pt;margin-top:2pt;width:11.3pt;height:1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" fillcolor="red" strokecolor="red">
                      <v:textbox style="layout-flow:vertical-ideographic"/>
                    </v:shape>
                  </w:pict>
                </mc:Fallback>
              </mc:AlternateContent>
            </w:r>
            <w:r w:rsidR="009D21C5" w:rsidRPr="008F7397">
              <w:rPr>
                <w:rFonts w:asciiTheme="majorBidi" w:hAnsiTheme="majorBidi" w:cstheme="majorBidi"/>
                <w:noProof/>
                <w:sz w:val="24"/>
                <w:szCs w:val="24"/>
                <w:lang w:bidi="he-IL"/>
              </w:rPr>
              <w:t xml:space="preserve">    Phosphorylation activity of 4EBP1 (3-&gt;1)</w:t>
            </w:r>
          </w:p>
        </w:tc>
        <w:tc>
          <w:tcPr>
            <w:tcW w:w="990" w:type="dxa"/>
            <w:tcBorders>
              <w:bottom w:val="nil"/>
            </w:tcBorders>
          </w:tcPr>
          <w:p w:rsidR="009D21C5" w:rsidRPr="008F7397" w:rsidRDefault="009D21C5" w:rsidP="00951716">
            <w:pPr>
              <w:jc w:val="center"/>
              <w:rPr>
                <w:rFonts w:asciiTheme="majorBidi" w:hAnsiTheme="majorBidi" w:cstheme="majorBidi"/>
                <w:sz w:val="24"/>
                <w:szCs w:val="24"/>
              </w:rPr>
            </w:pPr>
            <w:r w:rsidRPr="008F7397">
              <w:rPr>
                <w:rFonts w:asciiTheme="majorBidi" w:hAnsiTheme="majorBidi" w:cstheme="majorBidi"/>
                <w:sz w:val="24"/>
                <w:szCs w:val="24"/>
              </w:rPr>
              <w:t>V</w:t>
            </w:r>
          </w:p>
        </w:tc>
      </w:tr>
      <w:tr w:rsidR="009D21C5" w:rsidRPr="008F7397" w:rsidTr="00951716">
        <w:trPr>
          <w:cantSplit/>
          <w:trHeight w:hRule="exact" w:val="20"/>
        </w:trPr>
        <w:tc>
          <w:tcPr>
            <w:tcW w:w="957" w:type="dxa"/>
            <w:tcBorders>
              <w:bottom w:val="nil"/>
            </w:tcBorders>
          </w:tcPr>
          <w:p w:rsidR="009D21C5" w:rsidRPr="008F7397" w:rsidRDefault="009D21C5" w:rsidP="00951716">
            <w:pPr>
              <w:jc w:val="center"/>
              <w:rPr>
                <w:rFonts w:asciiTheme="majorBidi" w:hAnsiTheme="majorBidi" w:cstheme="majorBidi"/>
                <w:sz w:val="24"/>
                <w:szCs w:val="24"/>
              </w:rPr>
            </w:pPr>
          </w:p>
        </w:tc>
        <w:tc>
          <w:tcPr>
            <w:tcW w:w="1276" w:type="dxa"/>
            <w:tcBorders>
              <w:bottom w:val="nil"/>
            </w:tcBorders>
          </w:tcPr>
          <w:p w:rsidR="009D21C5" w:rsidRPr="008F7397" w:rsidRDefault="009D21C5" w:rsidP="00951716">
            <w:pPr>
              <w:rPr>
                <w:rFonts w:asciiTheme="majorBidi" w:hAnsiTheme="majorBidi" w:cstheme="majorBidi"/>
                <w:sz w:val="24"/>
                <w:szCs w:val="24"/>
              </w:rPr>
            </w:pPr>
          </w:p>
        </w:tc>
        <w:tc>
          <w:tcPr>
            <w:tcW w:w="1842" w:type="dxa"/>
            <w:tcBorders>
              <w:bottom w:val="nil"/>
            </w:tcBorders>
          </w:tcPr>
          <w:p w:rsidR="009D21C5" w:rsidRPr="008F7397" w:rsidRDefault="009D21C5" w:rsidP="00951716">
            <w:pPr>
              <w:rPr>
                <w:rFonts w:asciiTheme="majorBidi" w:hAnsiTheme="majorBidi" w:cstheme="majorBidi"/>
                <w:sz w:val="24"/>
                <w:szCs w:val="24"/>
              </w:rPr>
            </w:pPr>
          </w:p>
        </w:tc>
        <w:tc>
          <w:tcPr>
            <w:tcW w:w="2268" w:type="dxa"/>
            <w:tcBorders>
              <w:bottom w:val="nil"/>
            </w:tcBorders>
          </w:tcPr>
          <w:p w:rsidR="009D21C5" w:rsidRPr="008F7397" w:rsidRDefault="009D21C5" w:rsidP="00951716">
            <w:pPr>
              <w:rPr>
                <w:rFonts w:asciiTheme="majorBidi" w:hAnsiTheme="majorBidi" w:cstheme="majorBidi"/>
                <w:noProof/>
                <w:sz w:val="24"/>
                <w:szCs w:val="24"/>
                <w:lang w:val="en-GB" w:eastAsia="en-GB"/>
              </w:rPr>
            </w:pPr>
          </w:p>
        </w:tc>
        <w:tc>
          <w:tcPr>
            <w:tcW w:w="2129" w:type="dxa"/>
            <w:tcBorders>
              <w:bottom w:val="nil"/>
            </w:tcBorders>
          </w:tcPr>
          <w:p w:rsidR="009D21C5" w:rsidRPr="008F7397" w:rsidRDefault="009D21C5" w:rsidP="00951716">
            <w:pPr>
              <w:rPr>
                <w:rFonts w:asciiTheme="majorBidi" w:hAnsiTheme="majorBidi" w:cstheme="majorBidi"/>
                <w:noProof/>
                <w:sz w:val="24"/>
                <w:szCs w:val="24"/>
                <w:lang w:val="en-GB" w:eastAsia="en-GB"/>
              </w:rPr>
            </w:pPr>
          </w:p>
        </w:tc>
        <w:tc>
          <w:tcPr>
            <w:tcW w:w="990" w:type="dxa"/>
            <w:tcBorders>
              <w:bottom w:val="nil"/>
            </w:tcBorders>
          </w:tcPr>
          <w:p w:rsidR="009D21C5" w:rsidRPr="008F7397" w:rsidRDefault="009D21C5" w:rsidP="00951716">
            <w:pPr>
              <w:jc w:val="center"/>
              <w:rPr>
                <w:rFonts w:asciiTheme="majorBidi" w:hAnsiTheme="majorBidi" w:cstheme="majorBidi"/>
                <w:sz w:val="24"/>
                <w:szCs w:val="24"/>
              </w:rPr>
            </w:pPr>
          </w:p>
        </w:tc>
      </w:tr>
      <w:tr w:rsidR="009D21C5" w:rsidRPr="008F7397" w:rsidTr="00951716">
        <w:trPr>
          <w:cantSplit/>
          <w:trHeight w:val="781"/>
        </w:trPr>
        <w:tc>
          <w:tcPr>
            <w:tcW w:w="9462" w:type="dxa"/>
            <w:gridSpan w:val="6"/>
            <w:tcBorders>
              <w:top w:val="nil"/>
              <w:left w:val="nil"/>
              <w:right w:val="nil"/>
            </w:tcBorders>
          </w:tcPr>
          <w:p w:rsidR="009D21C5" w:rsidRPr="008F7397" w:rsidRDefault="0004568F" w:rsidP="00951716">
            <w:pPr>
              <w:rPr>
                <w:rFonts w:asciiTheme="majorBidi" w:hAnsiTheme="majorBidi" w:cstheme="majorBidi"/>
                <w:sz w:val="24"/>
                <w:szCs w:val="24"/>
                <w:lang w:val="en-US"/>
              </w:rPr>
            </w:pPr>
            <w:r>
              <w:rPr>
                <w:rFonts w:asciiTheme="majorBidi" w:hAnsiTheme="majorBidi" w:cstheme="majorBidi"/>
                <w:b/>
                <w:sz w:val="24"/>
                <w:szCs w:val="24"/>
              </w:rPr>
              <w:t>Table S11</w:t>
            </w:r>
            <w:r w:rsidR="009D21C5" w:rsidRPr="008F7397">
              <w:rPr>
                <w:rFonts w:asciiTheme="majorBidi" w:hAnsiTheme="majorBidi" w:cstheme="majorBidi"/>
                <w:b/>
                <w:sz w:val="24"/>
                <w:szCs w:val="24"/>
              </w:rPr>
              <w:t xml:space="preserve"> Continue. </w:t>
            </w:r>
            <w:r w:rsidR="005D1876" w:rsidRPr="008F7397">
              <w:rPr>
                <w:rFonts w:asciiTheme="majorBidi" w:hAnsiTheme="majorBidi" w:cstheme="majorBidi"/>
                <w:b/>
                <w:sz w:val="24"/>
                <w:szCs w:val="24"/>
                <w:lang w:val="en-US"/>
              </w:rPr>
              <w:t>Cell-specific AML network model replicates response to treatments reported in external publications</w:t>
            </w:r>
            <w:r w:rsidR="005D1876" w:rsidRPr="008F7397">
              <w:rPr>
                <w:rFonts w:asciiTheme="majorBidi" w:hAnsiTheme="majorBidi" w:cstheme="majorBidi"/>
                <w:sz w:val="24"/>
                <w:szCs w:val="24"/>
                <w:lang w:val="en-US"/>
              </w:rPr>
              <w:t>.</w:t>
            </w:r>
          </w:p>
        </w:tc>
      </w:tr>
      <w:tr w:rsidR="009D21C5" w:rsidRPr="008F7397" w:rsidTr="00951716">
        <w:trPr>
          <w:cantSplit/>
          <w:trHeight w:val="355"/>
        </w:trPr>
        <w:tc>
          <w:tcPr>
            <w:tcW w:w="957" w:type="dxa"/>
          </w:tcPr>
          <w:p w:rsidR="009D21C5" w:rsidRPr="008F7397" w:rsidRDefault="009D21C5" w:rsidP="00951716">
            <w:pPr>
              <w:jc w:val="center"/>
              <w:rPr>
                <w:rFonts w:asciiTheme="majorBidi" w:hAnsiTheme="majorBidi" w:cstheme="majorBidi"/>
                <w:b/>
                <w:sz w:val="24"/>
                <w:szCs w:val="24"/>
              </w:rPr>
            </w:pPr>
            <w:r w:rsidRPr="008F7397">
              <w:rPr>
                <w:rFonts w:asciiTheme="majorBidi" w:hAnsiTheme="majorBidi" w:cstheme="majorBidi"/>
                <w:b/>
                <w:sz w:val="24"/>
                <w:szCs w:val="24"/>
              </w:rPr>
              <w:t>Paper</w:t>
            </w:r>
          </w:p>
        </w:tc>
        <w:tc>
          <w:tcPr>
            <w:tcW w:w="1276" w:type="dxa"/>
          </w:tcPr>
          <w:p w:rsidR="009D21C5" w:rsidRPr="008F7397" w:rsidRDefault="009D21C5" w:rsidP="00951716">
            <w:pPr>
              <w:jc w:val="center"/>
              <w:rPr>
                <w:rFonts w:asciiTheme="majorBidi" w:hAnsiTheme="majorBidi" w:cstheme="majorBidi"/>
                <w:b/>
                <w:bCs/>
                <w:sz w:val="24"/>
                <w:szCs w:val="24"/>
              </w:rPr>
            </w:pPr>
            <w:r w:rsidRPr="008F7397">
              <w:rPr>
                <w:rFonts w:asciiTheme="majorBidi" w:hAnsiTheme="majorBidi" w:cstheme="majorBidi"/>
                <w:b/>
                <w:bCs/>
                <w:sz w:val="24"/>
                <w:szCs w:val="24"/>
              </w:rPr>
              <w:t>Cell Line</w:t>
            </w:r>
          </w:p>
        </w:tc>
        <w:tc>
          <w:tcPr>
            <w:tcW w:w="1842" w:type="dxa"/>
          </w:tcPr>
          <w:p w:rsidR="009D21C5" w:rsidRPr="008F7397" w:rsidRDefault="009D21C5" w:rsidP="00951716">
            <w:pPr>
              <w:jc w:val="center"/>
              <w:rPr>
                <w:rFonts w:asciiTheme="majorBidi" w:hAnsiTheme="majorBidi" w:cstheme="majorBidi"/>
                <w:b/>
                <w:bCs/>
                <w:sz w:val="24"/>
                <w:szCs w:val="24"/>
              </w:rPr>
            </w:pPr>
            <w:r w:rsidRPr="008F7397">
              <w:rPr>
                <w:rFonts w:asciiTheme="majorBidi" w:hAnsiTheme="majorBidi" w:cstheme="majorBidi"/>
                <w:b/>
                <w:bCs/>
                <w:sz w:val="24"/>
                <w:szCs w:val="24"/>
              </w:rPr>
              <w:t>Perturbations</w:t>
            </w:r>
          </w:p>
        </w:tc>
        <w:tc>
          <w:tcPr>
            <w:tcW w:w="2268" w:type="dxa"/>
          </w:tcPr>
          <w:p w:rsidR="009D21C5" w:rsidRPr="008F7397" w:rsidRDefault="009D21C5" w:rsidP="00951716">
            <w:pPr>
              <w:jc w:val="center"/>
              <w:rPr>
                <w:rFonts w:asciiTheme="majorBidi" w:hAnsiTheme="majorBidi" w:cstheme="majorBidi"/>
                <w:b/>
                <w:bCs/>
                <w:sz w:val="24"/>
                <w:szCs w:val="24"/>
              </w:rPr>
            </w:pPr>
            <w:r w:rsidRPr="008F7397">
              <w:rPr>
                <w:rFonts w:asciiTheme="majorBidi" w:hAnsiTheme="majorBidi" w:cstheme="majorBidi"/>
                <w:b/>
                <w:bCs/>
                <w:sz w:val="24"/>
                <w:szCs w:val="24"/>
              </w:rPr>
              <w:t>In-Vitro</w:t>
            </w:r>
          </w:p>
        </w:tc>
        <w:tc>
          <w:tcPr>
            <w:tcW w:w="2129" w:type="dxa"/>
          </w:tcPr>
          <w:p w:rsidR="009D21C5" w:rsidRPr="008F7397" w:rsidRDefault="009D21C5" w:rsidP="00951716">
            <w:pPr>
              <w:jc w:val="center"/>
              <w:rPr>
                <w:rFonts w:asciiTheme="majorBidi" w:hAnsiTheme="majorBidi" w:cstheme="majorBidi"/>
                <w:b/>
                <w:bCs/>
                <w:sz w:val="24"/>
                <w:szCs w:val="24"/>
              </w:rPr>
            </w:pPr>
            <w:r w:rsidRPr="008F7397">
              <w:rPr>
                <w:rFonts w:asciiTheme="majorBidi" w:hAnsiTheme="majorBidi" w:cstheme="majorBidi"/>
                <w:b/>
                <w:bCs/>
                <w:sz w:val="24"/>
                <w:szCs w:val="24"/>
              </w:rPr>
              <w:t>In-Silico</w:t>
            </w:r>
          </w:p>
        </w:tc>
        <w:tc>
          <w:tcPr>
            <w:tcW w:w="990" w:type="dxa"/>
          </w:tcPr>
          <w:p w:rsidR="009D21C5" w:rsidRPr="008F7397" w:rsidRDefault="009D21C5" w:rsidP="00951716">
            <w:pPr>
              <w:jc w:val="center"/>
              <w:rPr>
                <w:rFonts w:asciiTheme="majorBidi" w:hAnsiTheme="majorBidi" w:cstheme="majorBidi"/>
                <w:b/>
                <w:sz w:val="24"/>
                <w:szCs w:val="24"/>
              </w:rPr>
            </w:pPr>
            <w:r w:rsidRPr="008F7397">
              <w:rPr>
                <w:rFonts w:asciiTheme="majorBidi" w:hAnsiTheme="majorBidi" w:cstheme="majorBidi"/>
                <w:b/>
                <w:sz w:val="24"/>
                <w:szCs w:val="24"/>
              </w:rPr>
              <w:t>Check.</w:t>
            </w:r>
          </w:p>
        </w:tc>
      </w:tr>
      <w:tr w:rsidR="009D21C5" w:rsidRPr="008F7397" w:rsidTr="00951716">
        <w:trPr>
          <w:cantSplit/>
          <w:trHeight w:val="781"/>
        </w:trPr>
        <w:tc>
          <w:tcPr>
            <w:tcW w:w="957" w:type="dxa"/>
            <w:vMerge w:val="restart"/>
          </w:tcPr>
          <w:p w:rsidR="009D21C5" w:rsidRPr="008F7397" w:rsidRDefault="00760C56" w:rsidP="005D7A0D">
            <w:pPr>
              <w:jc w:val="center"/>
              <w:rPr>
                <w:rFonts w:asciiTheme="majorBidi" w:hAnsiTheme="majorBidi" w:cstheme="majorBidi"/>
                <w:sz w:val="24"/>
                <w:szCs w:val="24"/>
              </w:rPr>
            </w:pPr>
            <w:r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qeiiomq01","properties":{"formattedCitation":"[49]","plainCitation":"[49]"},"citationItems":[{"id":467,"uris":["http://zotero.org/users/2553926/items/GUJAB348"],"uri":["http://zotero.org/users/2553926/items/GUJAB348"],"itemData":{"id":467,"type":"article-journal","title":"Inhibition of MEK/ERK signaling induces apoptosis of acute myelogenous leukemia cells via inhibition of eukaryotic initiation factor 4E-binding protein 1 and down-regulation of Mcl-1","container-title":"Apoptosis: An International Journal on Programmed Cell Death","page":"795-804","volume":"15","issue":"7","source":"PubMed","abstract":"We previously showed that the MEK inhibitor AZD6244 induced apoptosis in acute myelogenous leukemia (AML) HL60 cells. However, the mechanisms of AZD6244 to induce apoptosis remain to be fully elucidated. This study found that exposure of HL60 cells to AZD6244 down-regulated the levels of phosphor (p)-4E-binding protein 1 (4E-BP1), a substrate of mammalian target of rapamycin complex 1 (mTORC1), and anti-apoptotic protein Mcl-1. On the other hand, exposure of EOL-1 and MOLM13 cells to AZD6244 failed to induce apoptosis and levels of p-4E-BP1 and Mcl-1 were not down-regulated in these cells. These observations prompted us to hypothesize that down-regulation od 4E-BP1 and Mcl-1 might play an important role in AZD6244-mediated apoptosis. As expected, down-regulation of 4E-BP1 by an siRNA sensitized EOL-1 cells to AZD6244-mediated apoptosis in parallel with down-regulation of Mcl-1. Moreover, we found that blockade of mTORC1 by RAD001 synergistically enhanced the action of AZD6244 in leukemia cells.","DOI":"10.1007/s10495-010-0483-y","ISSN":"1573-675X","note":"PMID: 20221697","journalAbbreviation":"Apoptosis","language":"eng","author":[{"family":"Nishioka","given":"Chie"},{"family":"Ikezoe","given":"Takayuki"},{"family":"Yang","given":"Jing"},{"family":"Yokoyama","given":"Akihito"}],"issued":{"date-parts":[["2010",7]]}}}],"schema":"https://github.com/citation-style-language/schema/raw/master/csl-citation.json"} </w:instrText>
            </w:r>
            <w:r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[49]</w:t>
            </w:r>
            <w:r w:rsidRPr="008F7397">
              <w:rPr>
                <w:rFonts w:asciiTheme="majorBidi" w:hAnsiTheme="majorBidi" w:cstheme="majorBidi"/>
                <w:sz w:val="24"/>
                <w:szCs w:val="24"/>
              </w:rPr>
              <w:fldChar w:fldCharType="end"/>
            </w:r>
          </w:p>
        </w:tc>
        <w:tc>
          <w:tcPr>
            <w:tcW w:w="1276" w:type="dxa"/>
            <w:vMerge w:val="restart"/>
          </w:tcPr>
          <w:p w:rsidR="009D21C5" w:rsidRPr="008F7397" w:rsidRDefault="009D21C5" w:rsidP="00951716">
            <w:pPr>
              <w:rPr>
                <w:rFonts w:asciiTheme="majorBidi" w:hAnsiTheme="majorBidi" w:cstheme="majorBidi"/>
                <w:sz w:val="24"/>
                <w:szCs w:val="24"/>
              </w:rPr>
            </w:pPr>
            <w:r w:rsidRPr="008F7397">
              <w:rPr>
                <w:rFonts w:asciiTheme="majorBidi" w:hAnsiTheme="majorBidi" w:cstheme="majorBidi"/>
                <w:sz w:val="24"/>
                <w:szCs w:val="24"/>
              </w:rPr>
              <w:t>EOL1</w:t>
            </w:r>
          </w:p>
        </w:tc>
        <w:tc>
          <w:tcPr>
            <w:tcW w:w="1842" w:type="dxa"/>
            <w:vMerge w:val="restart"/>
          </w:tcPr>
          <w:p w:rsidR="009D21C5" w:rsidRPr="008F7397" w:rsidRDefault="009D21C5" w:rsidP="00951716">
            <w:pPr>
              <w:rPr>
                <w:rFonts w:asciiTheme="majorBidi" w:hAnsiTheme="majorBidi" w:cstheme="majorBidi"/>
                <w:sz w:val="24"/>
                <w:szCs w:val="24"/>
              </w:rPr>
            </w:pPr>
            <w:r w:rsidRPr="008F7397">
              <w:rPr>
                <w:rFonts w:asciiTheme="majorBidi" w:hAnsiTheme="majorBidi" w:cstheme="majorBidi"/>
                <w:sz w:val="24"/>
                <w:szCs w:val="24"/>
              </w:rPr>
              <w:t>MEK inhibitor</w:t>
            </w:r>
          </w:p>
        </w:tc>
        <w:tc>
          <w:tcPr>
            <w:tcW w:w="2268" w:type="dxa"/>
          </w:tcPr>
          <w:p w:rsidR="009D21C5" w:rsidRPr="008F7397" w:rsidRDefault="009D21C5" w:rsidP="00951716">
            <w:pPr>
              <w:rPr>
                <w:rFonts w:asciiTheme="majorBidi" w:hAnsiTheme="majorBidi" w:cstheme="majorBidi"/>
                <w:noProof/>
                <w:sz w:val="24"/>
                <w:szCs w:val="24"/>
                <w:lang w:bidi="he-IL"/>
              </w:rPr>
            </w:pPr>
            <w:r w:rsidRPr="008F7397">
              <w:rPr>
                <w:rFonts w:asciiTheme="majorBidi" w:hAnsiTheme="majorBidi" w:cstheme="majorBidi"/>
                <w:noProof/>
                <w:sz w:val="24"/>
                <w:szCs w:val="24"/>
                <w:lang w:val="en-GB" w:eastAsia="en-GB"/>
              </w:rPr>
              <w:drawing>
                <wp:anchor distT="0" distB="0" distL="114300" distR="114300" simplePos="0" relativeHeight="251668480" behindDoc="0" locked="0" layoutInCell="1" allowOverlap="1">
                  <wp:simplePos x="0" y="0"/>
                  <wp:positionH relativeFrom="column">
                    <wp:posOffset>4110</wp:posOffset>
                  </wp:positionH>
                  <wp:positionV relativeFrom="paragraph">
                    <wp:posOffset>12809</wp:posOffset>
                  </wp:positionV>
                  <wp:extent cx="179514" cy="179514"/>
                  <wp:effectExtent l="0" t="0" r="0" b="0"/>
                  <wp:wrapNone/>
                  <wp:docPr id="41" name="Picture 28" descr="almost_eq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ost_equal.png"/>
                          <pic:cNvPicPr/>
                        </pic:nvPicPr>
                        <pic:blipFill>
                          <a:blip r:embed="rId16" cstate="print"/>
                          <a:stretch>
                            <a:fillRect/>
                          </a:stretch>
                        </pic:blipFill>
                        <pic:spPr>
                          <a:xfrm>
                            <a:off x="0" y="0"/>
                            <a:ext cx="179514" cy="179514"/>
                          </a:xfrm>
                          <a:prstGeom prst="rect">
                            <a:avLst/>
                          </a:prstGeom>
                        </pic:spPr>
                      </pic:pic>
                    </a:graphicData>
                  </a:graphic>
                </wp:anchor>
              </w:drawing>
            </w:r>
            <w:r w:rsidRPr="008F7397">
              <w:rPr>
                <w:rFonts w:asciiTheme="majorBidi" w:hAnsiTheme="majorBidi" w:cstheme="majorBidi"/>
                <w:sz w:val="24"/>
                <w:szCs w:val="24"/>
              </w:rPr>
              <w:t xml:space="preserve">      Failed to induce apoptosis </w:t>
            </w:r>
          </w:p>
        </w:tc>
        <w:tc>
          <w:tcPr>
            <w:tcW w:w="2129" w:type="dxa"/>
          </w:tcPr>
          <w:p w:rsidR="009D21C5" w:rsidRPr="008F7397" w:rsidRDefault="009D21C5" w:rsidP="00951716">
            <w:pPr>
              <w:rPr>
                <w:rFonts w:asciiTheme="majorBidi" w:hAnsiTheme="majorBidi" w:cstheme="majorBidi"/>
                <w:noProof/>
                <w:sz w:val="24"/>
                <w:szCs w:val="24"/>
                <w:lang w:bidi="he-IL"/>
              </w:rPr>
            </w:pPr>
            <w:r w:rsidRPr="008F7397">
              <w:rPr>
                <w:rFonts w:asciiTheme="majorBidi" w:hAnsiTheme="majorBidi" w:cstheme="majorBidi"/>
                <w:sz w:val="24"/>
                <w:szCs w:val="24"/>
              </w:rPr>
              <w:t xml:space="preserve">     Apoptosis remains 0</w:t>
            </w:r>
            <w:r w:rsidRPr="008F7397">
              <w:rPr>
                <w:rFonts w:asciiTheme="majorBidi" w:hAnsiTheme="majorBidi" w:cstheme="majorBidi"/>
                <w:noProof/>
                <w:sz w:val="24"/>
                <w:szCs w:val="24"/>
                <w:lang w:val="en-GB" w:eastAsia="en-GB"/>
              </w:rPr>
              <w:drawing>
                <wp:anchor distT="0" distB="0" distL="114300" distR="114300" simplePos="0" relativeHeight="251667456" behindDoc="0" locked="0" layoutInCell="1" allowOverlap="1">
                  <wp:simplePos x="0" y="0"/>
                  <wp:positionH relativeFrom="column">
                    <wp:posOffset>-148</wp:posOffset>
                  </wp:positionH>
                  <wp:positionV relativeFrom="paragraph">
                    <wp:posOffset>13763</wp:posOffset>
                  </wp:positionV>
                  <wp:extent cx="180754" cy="180754"/>
                  <wp:effectExtent l="0" t="0" r="0" b="0"/>
                  <wp:wrapNone/>
                  <wp:docPr id="42" name="Picture 30" descr="almost_eq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ost_equal.png"/>
                          <pic:cNvPicPr/>
                        </pic:nvPicPr>
                        <pic:blipFill>
                          <a:blip r:embed="rId16" cstate="print"/>
                          <a:stretch>
                            <a:fillRect/>
                          </a:stretch>
                        </pic:blipFill>
                        <pic:spPr>
                          <a:xfrm>
                            <a:off x="0" y="0"/>
                            <a:ext cx="180754" cy="180754"/>
                          </a:xfrm>
                          <a:prstGeom prst="rect">
                            <a:avLst/>
                          </a:prstGeom>
                        </pic:spPr>
                      </pic:pic>
                    </a:graphicData>
                  </a:graphic>
                </wp:anchor>
              </w:drawing>
            </w:r>
          </w:p>
        </w:tc>
        <w:tc>
          <w:tcPr>
            <w:tcW w:w="990" w:type="dxa"/>
            <w:vMerge w:val="restart"/>
          </w:tcPr>
          <w:p w:rsidR="009D21C5" w:rsidRPr="008F7397" w:rsidRDefault="009D21C5" w:rsidP="00951716">
            <w:pPr>
              <w:jc w:val="center"/>
              <w:rPr>
                <w:rFonts w:asciiTheme="majorBidi" w:hAnsiTheme="majorBidi" w:cstheme="majorBidi"/>
                <w:sz w:val="24"/>
                <w:szCs w:val="24"/>
              </w:rPr>
            </w:pPr>
            <w:r w:rsidRPr="008F7397">
              <w:rPr>
                <w:rFonts w:asciiTheme="majorBidi" w:hAnsiTheme="majorBidi" w:cstheme="majorBidi"/>
                <w:sz w:val="24"/>
                <w:szCs w:val="24"/>
              </w:rPr>
              <w:t>V</w:t>
            </w:r>
          </w:p>
        </w:tc>
      </w:tr>
      <w:tr w:rsidR="009D21C5" w:rsidRPr="008F7397" w:rsidTr="00951716">
        <w:trPr>
          <w:cantSplit/>
          <w:trHeight w:val="978"/>
        </w:trPr>
        <w:tc>
          <w:tcPr>
            <w:tcW w:w="957" w:type="dxa"/>
            <w:vMerge/>
          </w:tcPr>
          <w:p w:rsidR="009D21C5" w:rsidRPr="008F7397" w:rsidRDefault="009D21C5" w:rsidP="00951716">
            <w:pPr>
              <w:jc w:val="center"/>
              <w:rPr>
                <w:rFonts w:asciiTheme="majorBidi" w:hAnsiTheme="majorBidi" w:cstheme="majorBidi"/>
                <w:sz w:val="24"/>
                <w:szCs w:val="24"/>
              </w:rPr>
            </w:pPr>
          </w:p>
        </w:tc>
        <w:tc>
          <w:tcPr>
            <w:tcW w:w="1276" w:type="dxa"/>
            <w:vMerge/>
          </w:tcPr>
          <w:p w:rsidR="009D21C5" w:rsidRPr="008F7397" w:rsidRDefault="009D21C5" w:rsidP="00951716">
            <w:pPr>
              <w:rPr>
                <w:rFonts w:asciiTheme="majorBidi" w:hAnsiTheme="majorBidi" w:cstheme="majorBidi"/>
                <w:sz w:val="24"/>
                <w:szCs w:val="24"/>
              </w:rPr>
            </w:pPr>
          </w:p>
        </w:tc>
        <w:tc>
          <w:tcPr>
            <w:tcW w:w="1842" w:type="dxa"/>
            <w:vMerge/>
          </w:tcPr>
          <w:p w:rsidR="009D21C5" w:rsidRPr="008F7397" w:rsidRDefault="009D21C5" w:rsidP="00951716">
            <w:pPr>
              <w:rPr>
                <w:rFonts w:asciiTheme="majorBidi" w:hAnsiTheme="majorBidi" w:cstheme="majorBidi"/>
                <w:sz w:val="24"/>
                <w:szCs w:val="24"/>
              </w:rPr>
            </w:pPr>
          </w:p>
        </w:tc>
        <w:tc>
          <w:tcPr>
            <w:tcW w:w="2268" w:type="dxa"/>
          </w:tcPr>
          <w:p w:rsidR="009D21C5" w:rsidRPr="008F7397" w:rsidRDefault="009D21C5" w:rsidP="00951716">
            <w:pPr>
              <w:rPr>
                <w:rFonts w:asciiTheme="majorBidi" w:hAnsiTheme="majorBidi" w:cstheme="majorBidi"/>
                <w:noProof/>
                <w:sz w:val="24"/>
                <w:szCs w:val="24"/>
                <w:lang w:bidi="he-IL"/>
              </w:rPr>
            </w:pPr>
            <w:r w:rsidRPr="008F7397">
              <w:rPr>
                <w:rFonts w:asciiTheme="majorBidi" w:hAnsiTheme="majorBidi" w:cstheme="majorBidi"/>
                <w:noProof/>
                <w:sz w:val="24"/>
                <w:szCs w:val="24"/>
                <w:lang w:val="en-GB" w:eastAsia="en-GB"/>
              </w:rPr>
              <w:drawing>
                <wp:anchor distT="0" distB="0" distL="114300" distR="114300" simplePos="0" relativeHeight="251669504" behindDoc="0" locked="0" layoutInCell="1" allowOverlap="1">
                  <wp:simplePos x="0" y="0"/>
                  <wp:positionH relativeFrom="column">
                    <wp:posOffset>4637</wp:posOffset>
                  </wp:positionH>
                  <wp:positionV relativeFrom="paragraph">
                    <wp:posOffset>-3101</wp:posOffset>
                  </wp:positionV>
                  <wp:extent cx="180753" cy="180753"/>
                  <wp:effectExtent l="0" t="0" r="0" b="0"/>
                  <wp:wrapNone/>
                  <wp:docPr id="43" name="Picture 31" descr="almost_eq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ost_equal.png"/>
                          <pic:cNvPicPr/>
                        </pic:nvPicPr>
                        <pic:blipFill>
                          <a:blip r:embed="rId16" cstate="print"/>
                          <a:stretch>
                            <a:fillRect/>
                          </a:stretch>
                        </pic:blipFill>
                        <pic:spPr>
                          <a:xfrm>
                            <a:off x="0" y="0"/>
                            <a:ext cx="180753" cy="180753"/>
                          </a:xfrm>
                          <a:prstGeom prst="rect">
                            <a:avLst/>
                          </a:prstGeom>
                        </pic:spPr>
                      </pic:pic>
                    </a:graphicData>
                  </a:graphic>
                </wp:anchor>
              </w:drawing>
            </w:r>
            <w:r w:rsidRPr="008F7397">
              <w:rPr>
                <w:rFonts w:asciiTheme="majorBidi" w:hAnsiTheme="majorBidi" w:cstheme="majorBidi"/>
                <w:sz w:val="24"/>
                <w:szCs w:val="24"/>
              </w:rPr>
              <w:t xml:space="preserve">      Level of p-4E-BP1 were not down-regulated</w:t>
            </w:r>
          </w:p>
        </w:tc>
        <w:tc>
          <w:tcPr>
            <w:tcW w:w="2129" w:type="dxa"/>
          </w:tcPr>
          <w:p w:rsidR="009D21C5" w:rsidRPr="008F7397" w:rsidRDefault="009D21C5" w:rsidP="00951716">
            <w:pPr>
              <w:rPr>
                <w:rFonts w:asciiTheme="majorBidi" w:hAnsiTheme="majorBidi" w:cstheme="majorBidi"/>
                <w:noProof/>
                <w:sz w:val="24"/>
                <w:szCs w:val="24"/>
                <w:lang w:bidi="he-IL"/>
              </w:rPr>
            </w:pPr>
            <w:r w:rsidRPr="008F7397">
              <w:rPr>
                <w:rFonts w:asciiTheme="majorBidi" w:hAnsiTheme="majorBidi" w:cstheme="majorBidi"/>
                <w:noProof/>
                <w:sz w:val="24"/>
                <w:szCs w:val="24"/>
                <w:lang w:bidi="he-IL"/>
              </w:rPr>
              <w:t xml:space="preserve"> </w:t>
            </w:r>
            <w:r w:rsidRPr="008F7397">
              <w:rPr>
                <w:rFonts w:asciiTheme="majorBidi" w:hAnsiTheme="majorBidi" w:cstheme="majorBidi"/>
                <w:noProof/>
                <w:sz w:val="24"/>
                <w:szCs w:val="24"/>
                <w:lang w:val="en-GB" w:eastAsia="en-GB"/>
              </w:rPr>
              <w:drawing>
                <wp:inline distT="0" distB="0" distL="0" distR="0">
                  <wp:extent cx="180000" cy="180000"/>
                  <wp:effectExtent l="0" t="0" r="0" b="0"/>
                  <wp:docPr id="44" name="Picture 121" descr="almost_eq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ost_equal.png"/>
                          <pic:cNvPicPr/>
                        </pic:nvPicPr>
                        <pic:blipFill>
                          <a:blip r:embed="rId16" cstate="print"/>
                          <a:stretch>
                            <a:fillRect/>
                          </a:stretch>
                        </pic:blipFill>
                        <pic:spPr>
                          <a:xfrm>
                            <a:off x="0" y="0"/>
                            <a:ext cx="180000" cy="180000"/>
                          </a:xfrm>
                          <a:prstGeom prst="rect">
                            <a:avLst/>
                          </a:prstGeom>
                        </pic:spPr>
                      </pic:pic>
                    </a:graphicData>
                  </a:graphic>
                </wp:inline>
              </w:drawing>
            </w:r>
            <w:r w:rsidRPr="008F7397">
              <w:rPr>
                <w:rFonts w:asciiTheme="majorBidi" w:hAnsiTheme="majorBidi" w:cstheme="majorBidi"/>
                <w:noProof/>
                <w:sz w:val="24"/>
                <w:szCs w:val="24"/>
                <w:lang w:bidi="he-IL"/>
              </w:rPr>
              <w:t xml:space="preserve">  Phosphorylation activity of 4EBP1 remains 3</w:t>
            </w:r>
          </w:p>
        </w:tc>
        <w:tc>
          <w:tcPr>
            <w:tcW w:w="990" w:type="dxa"/>
            <w:vMerge/>
          </w:tcPr>
          <w:p w:rsidR="009D21C5" w:rsidRPr="008F7397" w:rsidRDefault="009D21C5" w:rsidP="00951716">
            <w:pPr>
              <w:jc w:val="center"/>
              <w:rPr>
                <w:rFonts w:asciiTheme="majorBidi" w:hAnsiTheme="majorBidi" w:cstheme="majorBidi"/>
                <w:sz w:val="24"/>
                <w:szCs w:val="24"/>
              </w:rPr>
            </w:pPr>
          </w:p>
        </w:tc>
      </w:tr>
      <w:tr w:rsidR="009D21C5" w:rsidRPr="008F7397" w:rsidTr="00951716">
        <w:trPr>
          <w:cantSplit/>
          <w:trHeight w:val="693"/>
        </w:trPr>
        <w:tc>
          <w:tcPr>
            <w:tcW w:w="957" w:type="dxa"/>
            <w:vMerge w:val="restart"/>
          </w:tcPr>
          <w:p w:rsidR="009D21C5" w:rsidRPr="008F7397" w:rsidRDefault="00760C56" w:rsidP="005D7A0D">
            <w:pPr>
              <w:jc w:val="center"/>
              <w:rPr>
                <w:rFonts w:asciiTheme="majorBidi" w:hAnsiTheme="majorBidi" w:cstheme="majorBidi"/>
                <w:sz w:val="24"/>
                <w:szCs w:val="24"/>
              </w:rPr>
            </w:pPr>
            <w:r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grdke6ls7","properties":{"formattedCitation":"[50]","plainCitation":"[50]"},"citationItems":[{"id":322,"uris":["http://zotero.org/users/2553926/items/C9C5WW4G"],"uri":["http://zotero.org/users/2553926/items/C9C5WW4G"],"itemData":{"id":322,"type":"article-journal","title":"PIM and AKT kinase inhibitors show synergistic cytotoxicity in acute myeloid leukaemia that is associated with convergence on mTOR and MCL1 pathways","container-title":"British Journal of Haematology","page":"69-79","volume":"167","issue":"1","source":"PubMed","abstract":"PIM kinases (PIM1, 2 and 3) are involved in cell proliferation and survival signalling and are emerging targets for the therapy of various malignancies. We found that a significant proportion of primary acute myeloid leukaemia (AML) samples showed PIM1 and PIM2 expression by quantitative reverse transcription polymerase chain reaction. Therefore, we investigated the effects of a novel ATP-competitive pan-PIM inhibitor, AZD1897, on AML cell growth and survival. PIM inhibition showed limited single agent activity in AML cell lines and primary AML cells, including those with or without FLT3-internal tandem duplication (ITD) mutation. However, significant synergy was seen when AZD1897 was combined with the Akt inhibitor AZD5363, a compound that is in early-phase clinical trials. AML cells from putative leukaemia stem cell subsets, including CD34+38- and CD34+38+ fractions, were equivalently affected by dual PIM/Akt inhibition when compared with bulk tumour cells. Analysis of downstream signalling pathways showed that combined PIM/Akt inhibition downregulated mTOR outputs (phosphorylation of 4EBP1 and S6) and markedly reduced levels of the anti-apoptotic protein MCL1. The combination of PIM and Akt inhibition holds promise for the treatment of AML.","DOI":"10.1111/bjh.13013","ISSN":"1365-2141","note":"PMID: 24975213","journalAbbreviation":"Br. J. Haematol.","language":"eng","author":[{"family":"Meja","given":"Koremu"},{"family":"Stengel","given":"Chloe"},{"family":"Sellar","given":"Rob"},{"family":"Huszar","given":"Dennis"},{"family":"Davies","given":"Barry R."},{"family":"Gale","given":"Rosemary E."},{"family":"Linch","given":"David C."},{"family":"Khwaja","given":"Asim"}],"issued":{"date-parts":[["2014",10]]}}}],"schema":"https://github.com/citation-style-language/schema/raw/master/csl-citation.json"} </w:instrText>
            </w:r>
            <w:r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[50]</w:t>
            </w:r>
            <w:r w:rsidRPr="008F7397">
              <w:rPr>
                <w:rFonts w:asciiTheme="majorBidi" w:hAnsiTheme="majorBidi" w:cstheme="majorBidi"/>
                <w:sz w:val="24"/>
                <w:szCs w:val="24"/>
              </w:rPr>
              <w:fldChar w:fldCharType="end"/>
            </w:r>
          </w:p>
        </w:tc>
        <w:tc>
          <w:tcPr>
            <w:tcW w:w="1276" w:type="dxa"/>
            <w:vMerge w:val="restart"/>
          </w:tcPr>
          <w:p w:rsidR="009D21C5" w:rsidRPr="008F7397" w:rsidRDefault="009D21C5" w:rsidP="00951716">
            <w:pPr>
              <w:rPr>
                <w:rFonts w:asciiTheme="majorBidi" w:hAnsiTheme="majorBidi" w:cstheme="majorBidi"/>
                <w:sz w:val="24"/>
                <w:szCs w:val="24"/>
              </w:rPr>
            </w:pPr>
            <w:r w:rsidRPr="008F7397">
              <w:rPr>
                <w:rFonts w:asciiTheme="majorBidi" w:hAnsiTheme="majorBidi" w:cstheme="majorBidi"/>
                <w:sz w:val="24"/>
                <w:szCs w:val="24"/>
              </w:rPr>
              <w:t>EOL1</w:t>
            </w:r>
          </w:p>
        </w:tc>
        <w:tc>
          <w:tcPr>
            <w:tcW w:w="1842" w:type="dxa"/>
            <w:vMerge w:val="restart"/>
          </w:tcPr>
          <w:p w:rsidR="009D21C5" w:rsidRPr="008F7397" w:rsidRDefault="009D21C5" w:rsidP="00951716">
            <w:pPr>
              <w:rPr>
                <w:rFonts w:asciiTheme="majorBidi" w:hAnsiTheme="majorBidi" w:cstheme="majorBidi"/>
                <w:sz w:val="24"/>
                <w:szCs w:val="24"/>
              </w:rPr>
            </w:pPr>
            <w:r w:rsidRPr="008F7397">
              <w:rPr>
                <w:rFonts w:asciiTheme="majorBidi" w:hAnsiTheme="majorBidi" w:cstheme="majorBidi"/>
                <w:sz w:val="24"/>
                <w:szCs w:val="24"/>
              </w:rPr>
              <w:t>PIM inhibitor</w:t>
            </w:r>
          </w:p>
        </w:tc>
        <w:tc>
          <w:tcPr>
            <w:tcW w:w="2268" w:type="dxa"/>
          </w:tcPr>
          <w:p w:rsidR="009D21C5" w:rsidRPr="008F7397" w:rsidRDefault="00D12BFF" w:rsidP="00951716">
            <w:pPr>
              <w:rPr>
                <w:rFonts w:asciiTheme="majorBidi" w:hAnsiTheme="majorBidi" w:cstheme="majorBidi"/>
                <w:sz w:val="24"/>
                <w:szCs w:val="24"/>
              </w:rPr>
            </w:pPr>
            <w:r>
              <w:rPr>
                <w:rFonts w:asciiTheme="majorBidi" w:hAnsiTheme="majorBidi" w:cstheme="majorBidi"/>
                <w:noProof/>
                <w:sz w:val="24"/>
                <w:szCs w:val="24"/>
                <w:lang w:val="en-GB" w:eastAsia="en-GB"/>
              </w:rPr>
              <mc:AlternateContent>
                <mc:Choice Requires="wps">
                  <w:drawing>
                    <wp:anchor distT="0" distB="0" distL="114300" distR="114300" simplePos="0" relativeHeight="251682816" behindDoc="0" locked="0" layoutInCell="1" allowOverlap="1">
                      <wp:simplePos x="0" y="0"/>
                      <wp:positionH relativeFrom="column">
                        <wp:posOffset>-45720</wp:posOffset>
                      </wp:positionH>
                      <wp:positionV relativeFrom="paragraph">
                        <wp:posOffset>44450</wp:posOffset>
                      </wp:positionV>
                      <wp:extent cx="143510" cy="136525"/>
                      <wp:effectExtent l="38100" t="0" r="27940" b="34925"/>
                      <wp:wrapNone/>
                      <wp:docPr id="31"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36525"/>
                              </a:xfrm>
                              <a:prstGeom prst="downArrow">
                                <a:avLst>
                                  <a:gd name="adj1" fmla="val 50000"/>
                                  <a:gd name="adj2" fmla="val 25000"/>
                                </a:avLst>
                              </a:prstGeom>
                              <a:solidFill>
                                <a:srgbClr val="FF0000">
                                  <a:alpha val="25000"/>
                                </a:srgbClr>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A07AE" id="AutoShape 87" o:spid="_x0000_s1026" type="#_x0000_t67" style="position:absolute;margin-left:-3.6pt;margin-top:3.5pt;width:11.3pt;height:1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" fillcolor="red" strokecolor="red">
                      <v:fill opacity="16448f"/>
                      <v:textbox style="layout-flow:vertical-ideographic"/>
                    </v:shape>
                  </w:pict>
                </mc:Fallback>
              </mc:AlternateContent>
            </w:r>
            <w:r w:rsidR="009D21C5" w:rsidRPr="008F7397">
              <w:rPr>
                <w:rFonts w:asciiTheme="majorBidi" w:hAnsiTheme="majorBidi" w:cstheme="majorBidi"/>
                <w:sz w:val="24"/>
                <w:szCs w:val="24"/>
              </w:rPr>
              <w:t xml:space="preserve">   4EBP1 is hardly effected </w:t>
            </w:r>
          </w:p>
        </w:tc>
        <w:tc>
          <w:tcPr>
            <w:tcW w:w="2129" w:type="dxa"/>
          </w:tcPr>
          <w:p w:rsidR="009D21C5" w:rsidRPr="008F7397" w:rsidRDefault="00D12BFF" w:rsidP="00951716">
            <w:pPr>
              <w:rPr>
                <w:rFonts w:asciiTheme="majorBidi" w:hAnsiTheme="majorBidi" w:cstheme="majorBidi"/>
                <w:sz w:val="24"/>
                <w:szCs w:val="24"/>
              </w:rPr>
            </w:pPr>
            <w:r>
              <w:rPr>
                <w:rFonts w:asciiTheme="majorBidi" w:hAnsiTheme="majorBidi" w:cstheme="majorBidi"/>
                <w:noProof/>
                <w:sz w:val="24"/>
                <w:szCs w:val="24"/>
                <w:lang w:val="en-GB" w:eastAsia="en-GB"/>
              </w:rPr>
              <mc:AlternateContent>
                <mc:Choice Requires="wps">
                  <w:drawing>
                    <wp:anchor distT="0" distB="0" distL="114300" distR="114300" simplePos="0" relativeHeight="251683840" behindDoc="0" locked="0" layoutInCell="1" allowOverlap="1">
                      <wp:simplePos x="0" y="0"/>
                      <wp:positionH relativeFrom="column">
                        <wp:posOffset>-33020</wp:posOffset>
                      </wp:positionH>
                      <wp:positionV relativeFrom="paragraph">
                        <wp:posOffset>44450</wp:posOffset>
                      </wp:positionV>
                      <wp:extent cx="143510" cy="136525"/>
                      <wp:effectExtent l="38100" t="0" r="27940" b="34925"/>
                      <wp:wrapNone/>
                      <wp:docPr id="30"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36525"/>
                              </a:xfrm>
                              <a:prstGeom prst="downArrow">
                                <a:avLst>
                                  <a:gd name="adj1" fmla="val 50000"/>
                                  <a:gd name="adj2" fmla="val 25000"/>
                                </a:avLst>
                              </a:prstGeom>
                              <a:solidFill>
                                <a:srgbClr val="FF0000">
                                  <a:alpha val="25000"/>
                                </a:srgbClr>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91F6D" id="AutoShape 90" o:spid="_x0000_s1026" type="#_x0000_t67" style="position:absolute;margin-left:-2.6pt;margin-top:3.5pt;width:11.3pt;height:1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" fillcolor="red" strokecolor="red">
                      <v:fill opacity="16448f"/>
                      <v:textbox style="layout-flow:vertical-ideographic"/>
                    </v:shape>
                  </w:pict>
                </mc:Fallback>
              </mc:AlternateContent>
            </w:r>
            <w:r w:rsidR="009D21C5" w:rsidRPr="008F7397">
              <w:rPr>
                <w:rFonts w:asciiTheme="majorBidi" w:hAnsiTheme="majorBidi" w:cstheme="majorBidi"/>
                <w:sz w:val="24"/>
                <w:szCs w:val="24"/>
              </w:rPr>
              <w:t xml:space="preserve">    4EBP1 slightly affected (3 -&gt; 2)</w:t>
            </w:r>
          </w:p>
        </w:tc>
        <w:tc>
          <w:tcPr>
            <w:tcW w:w="990" w:type="dxa"/>
            <w:vMerge w:val="restart"/>
          </w:tcPr>
          <w:p w:rsidR="009D21C5" w:rsidRPr="008F7397" w:rsidRDefault="009D21C5" w:rsidP="00951716">
            <w:pPr>
              <w:jc w:val="center"/>
              <w:rPr>
                <w:rFonts w:asciiTheme="majorBidi" w:hAnsiTheme="majorBidi" w:cstheme="majorBidi"/>
                <w:sz w:val="24"/>
                <w:szCs w:val="24"/>
              </w:rPr>
            </w:pPr>
            <w:r w:rsidRPr="008F7397">
              <w:rPr>
                <w:rFonts w:asciiTheme="majorBidi" w:hAnsiTheme="majorBidi" w:cstheme="majorBidi"/>
                <w:sz w:val="24"/>
                <w:szCs w:val="24"/>
              </w:rPr>
              <w:t>V</w:t>
            </w:r>
          </w:p>
        </w:tc>
      </w:tr>
      <w:tr w:rsidR="009D21C5" w:rsidRPr="008F7397" w:rsidTr="00951716">
        <w:trPr>
          <w:cantSplit/>
          <w:trHeight w:val="578"/>
        </w:trPr>
        <w:tc>
          <w:tcPr>
            <w:tcW w:w="957" w:type="dxa"/>
            <w:vMerge/>
          </w:tcPr>
          <w:p w:rsidR="009D21C5" w:rsidRPr="008F7397" w:rsidRDefault="009D21C5" w:rsidP="00951716">
            <w:pPr>
              <w:jc w:val="center"/>
              <w:rPr>
                <w:rFonts w:asciiTheme="majorBidi" w:hAnsiTheme="majorBidi" w:cstheme="majorBidi"/>
                <w:sz w:val="24"/>
                <w:szCs w:val="24"/>
              </w:rPr>
            </w:pPr>
          </w:p>
        </w:tc>
        <w:tc>
          <w:tcPr>
            <w:tcW w:w="1276" w:type="dxa"/>
            <w:vMerge/>
          </w:tcPr>
          <w:p w:rsidR="009D21C5" w:rsidRPr="008F7397" w:rsidRDefault="009D21C5" w:rsidP="00951716">
            <w:pPr>
              <w:rPr>
                <w:rFonts w:asciiTheme="majorBidi" w:hAnsiTheme="majorBidi" w:cstheme="majorBidi"/>
                <w:sz w:val="24"/>
                <w:szCs w:val="24"/>
              </w:rPr>
            </w:pPr>
          </w:p>
        </w:tc>
        <w:tc>
          <w:tcPr>
            <w:tcW w:w="1842" w:type="dxa"/>
            <w:vMerge/>
          </w:tcPr>
          <w:p w:rsidR="009D21C5" w:rsidRPr="008F7397" w:rsidRDefault="009D21C5" w:rsidP="00951716">
            <w:pPr>
              <w:rPr>
                <w:rFonts w:asciiTheme="majorBidi" w:hAnsiTheme="majorBidi" w:cstheme="majorBidi"/>
                <w:sz w:val="24"/>
                <w:szCs w:val="24"/>
              </w:rPr>
            </w:pPr>
          </w:p>
        </w:tc>
        <w:tc>
          <w:tcPr>
            <w:tcW w:w="2268" w:type="dxa"/>
          </w:tcPr>
          <w:p w:rsidR="009D21C5" w:rsidRPr="008F7397" w:rsidRDefault="00D12BFF" w:rsidP="00951716">
            <w:pPr>
              <w:rPr>
                <w:rFonts w:asciiTheme="majorBidi" w:hAnsiTheme="majorBidi" w:cstheme="majorBidi"/>
                <w:sz w:val="24"/>
                <w:szCs w:val="24"/>
              </w:rPr>
            </w:pPr>
            <w:r>
              <w:rPr>
                <w:rFonts w:asciiTheme="majorBidi" w:hAnsiTheme="majorBidi" w:cstheme="majorBidi"/>
                <w:noProof/>
                <w:sz w:val="24"/>
                <w:szCs w:val="24"/>
                <w:lang w:val="en-GB" w:eastAsia="en-GB"/>
              </w:rPr>
              <mc:AlternateContent>
                <mc:Choice Requires="wps">
                  <w:drawing>
                    <wp:anchor distT="0" distB="0" distL="114300" distR="114300" simplePos="0" relativeHeight="251684864" behindDoc="0" locked="0" layoutInCell="1" allowOverlap="1">
                      <wp:simplePos x="0" y="0"/>
                      <wp:positionH relativeFrom="column">
                        <wp:posOffset>-64135</wp:posOffset>
                      </wp:positionH>
                      <wp:positionV relativeFrom="paragraph">
                        <wp:posOffset>41910</wp:posOffset>
                      </wp:positionV>
                      <wp:extent cx="143510" cy="136525"/>
                      <wp:effectExtent l="38100" t="0" r="27940" b="34925"/>
                      <wp:wrapNone/>
                      <wp:docPr id="28"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36525"/>
                              </a:xfrm>
                              <a:prstGeom prst="downArrow">
                                <a:avLst>
                                  <a:gd name="adj1" fmla="val 50000"/>
                                  <a:gd name="adj2" fmla="val 25000"/>
                                </a:avLst>
                              </a:prstGeom>
                              <a:solidFill>
                                <a:srgbClr val="FF0000">
                                  <a:alpha val="25000"/>
                                </a:srgbClr>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1DEC0" id="AutoShape 88" o:spid="_x0000_s1026" type="#_x0000_t67" style="position:absolute;margin-left:-5.05pt;margin-top:3.3pt;width:11.3pt;height:1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" fillcolor="red" strokecolor="red">
                      <v:fill opacity="16448f"/>
                      <v:textbox style="layout-flow:vertical-ideographic"/>
                    </v:shape>
                  </w:pict>
                </mc:Fallback>
              </mc:AlternateContent>
            </w:r>
            <w:r w:rsidR="009D21C5" w:rsidRPr="008F7397">
              <w:rPr>
                <w:rFonts w:asciiTheme="majorBidi" w:hAnsiTheme="majorBidi" w:cstheme="majorBidi"/>
                <w:sz w:val="24"/>
                <w:szCs w:val="24"/>
              </w:rPr>
              <w:t xml:space="preserve">   S6 very slightly affected</w:t>
            </w:r>
          </w:p>
        </w:tc>
        <w:tc>
          <w:tcPr>
            <w:tcW w:w="2129" w:type="dxa"/>
          </w:tcPr>
          <w:p w:rsidR="009D21C5" w:rsidRPr="008F7397" w:rsidRDefault="00D12BFF" w:rsidP="00951716">
            <w:pPr>
              <w:rPr>
                <w:rFonts w:asciiTheme="majorBidi" w:hAnsiTheme="majorBidi" w:cstheme="majorBidi"/>
                <w:sz w:val="24"/>
                <w:szCs w:val="24"/>
              </w:rPr>
            </w:pPr>
            <w:r>
              <w:rPr>
                <w:rFonts w:asciiTheme="majorBidi" w:hAnsiTheme="majorBidi" w:cstheme="majorBidi"/>
                <w:noProof/>
                <w:sz w:val="24"/>
                <w:szCs w:val="24"/>
                <w:lang w:val="en-GB" w:eastAsia="en-GB"/>
              </w:rPr>
              <mc:AlternateContent>
                <mc:Choice Requires="wps">
                  <w:drawing>
                    <wp:anchor distT="0" distB="0" distL="114300" distR="114300" simplePos="0" relativeHeight="251685888" behindDoc="0" locked="0" layoutInCell="1" allowOverlap="1">
                      <wp:simplePos x="0" y="0"/>
                      <wp:positionH relativeFrom="column">
                        <wp:posOffset>-33020</wp:posOffset>
                      </wp:positionH>
                      <wp:positionV relativeFrom="paragraph">
                        <wp:posOffset>41910</wp:posOffset>
                      </wp:positionV>
                      <wp:extent cx="143510" cy="136525"/>
                      <wp:effectExtent l="38100" t="0" r="27940" b="34925"/>
                      <wp:wrapNone/>
                      <wp:docPr id="24"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36525"/>
                              </a:xfrm>
                              <a:prstGeom prst="downArrow">
                                <a:avLst>
                                  <a:gd name="adj1" fmla="val 50000"/>
                                  <a:gd name="adj2" fmla="val 25000"/>
                                </a:avLst>
                              </a:prstGeom>
                              <a:solidFill>
                                <a:srgbClr val="FF0000">
                                  <a:alpha val="25000"/>
                                </a:srgbClr>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1BA49" id="AutoShape 89" o:spid="_x0000_s1026" type="#_x0000_t67" style="position:absolute;margin-left:-2.6pt;margin-top:3.3pt;width:11.3pt;height:1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" fillcolor="red" strokecolor="red">
                      <v:fill opacity="16448f"/>
                      <v:textbox style="layout-flow:vertical-ideographic"/>
                    </v:shape>
                  </w:pict>
                </mc:Fallback>
              </mc:AlternateContent>
            </w:r>
            <w:r w:rsidR="009D21C5" w:rsidRPr="008F7397">
              <w:rPr>
                <w:rFonts w:asciiTheme="majorBidi" w:hAnsiTheme="majorBidi" w:cstheme="majorBidi"/>
                <w:sz w:val="24"/>
                <w:szCs w:val="24"/>
              </w:rPr>
              <w:t xml:space="preserve">     S6 slightly affected (3 -&gt; 2)</w:t>
            </w:r>
          </w:p>
        </w:tc>
        <w:tc>
          <w:tcPr>
            <w:tcW w:w="990" w:type="dxa"/>
            <w:vMerge/>
          </w:tcPr>
          <w:p w:rsidR="009D21C5" w:rsidRPr="008F7397" w:rsidRDefault="009D21C5" w:rsidP="00951716">
            <w:pPr>
              <w:jc w:val="center"/>
              <w:rPr>
                <w:rFonts w:asciiTheme="majorBidi" w:hAnsiTheme="majorBidi" w:cstheme="majorBidi"/>
                <w:sz w:val="24"/>
                <w:szCs w:val="24"/>
              </w:rPr>
            </w:pPr>
          </w:p>
        </w:tc>
      </w:tr>
      <w:tr w:rsidR="009D21C5" w:rsidRPr="008F7397" w:rsidTr="00951716">
        <w:trPr>
          <w:cantSplit/>
          <w:trHeight w:val="978"/>
        </w:trPr>
        <w:tc>
          <w:tcPr>
            <w:tcW w:w="957" w:type="dxa"/>
            <w:vMerge/>
          </w:tcPr>
          <w:p w:rsidR="009D21C5" w:rsidRPr="008F7397" w:rsidRDefault="009D21C5" w:rsidP="00951716">
            <w:pPr>
              <w:jc w:val="center"/>
              <w:rPr>
                <w:rFonts w:asciiTheme="majorBidi" w:hAnsiTheme="majorBidi" w:cstheme="majorBidi"/>
                <w:sz w:val="24"/>
                <w:szCs w:val="24"/>
              </w:rPr>
            </w:pPr>
          </w:p>
        </w:tc>
        <w:tc>
          <w:tcPr>
            <w:tcW w:w="1276" w:type="dxa"/>
            <w:vMerge/>
          </w:tcPr>
          <w:p w:rsidR="009D21C5" w:rsidRPr="008F7397" w:rsidRDefault="009D21C5" w:rsidP="00951716">
            <w:pPr>
              <w:rPr>
                <w:rFonts w:asciiTheme="majorBidi" w:hAnsiTheme="majorBidi" w:cstheme="majorBidi"/>
                <w:sz w:val="24"/>
                <w:szCs w:val="24"/>
              </w:rPr>
            </w:pPr>
          </w:p>
        </w:tc>
        <w:tc>
          <w:tcPr>
            <w:tcW w:w="1842" w:type="dxa"/>
            <w:vMerge/>
          </w:tcPr>
          <w:p w:rsidR="009D21C5" w:rsidRPr="008F7397" w:rsidRDefault="009D21C5" w:rsidP="00951716">
            <w:pPr>
              <w:rPr>
                <w:rFonts w:asciiTheme="majorBidi" w:hAnsiTheme="majorBidi" w:cstheme="majorBidi"/>
                <w:sz w:val="24"/>
                <w:szCs w:val="24"/>
              </w:rPr>
            </w:pPr>
          </w:p>
        </w:tc>
        <w:tc>
          <w:tcPr>
            <w:tcW w:w="2268" w:type="dxa"/>
          </w:tcPr>
          <w:p w:rsidR="009D21C5" w:rsidRPr="008F7397" w:rsidRDefault="00D12BFF" w:rsidP="00951716">
            <w:pPr>
              <w:rPr>
                <w:rFonts w:asciiTheme="majorBidi" w:hAnsiTheme="majorBidi" w:cstheme="majorBidi"/>
                <w:noProof/>
                <w:sz w:val="24"/>
                <w:szCs w:val="24"/>
                <w:lang w:bidi="he-IL"/>
              </w:rPr>
            </w:pPr>
            <w:r>
              <w:rPr>
                <w:rFonts w:asciiTheme="majorBidi" w:hAnsiTheme="majorBidi" w:cstheme="majorBidi"/>
                <w:noProof/>
                <w:sz w:val="24"/>
                <w:szCs w:val="24"/>
                <w:lang w:val="en-GB" w:eastAsia="en-GB"/>
              </w:rPr>
              <mc:AlternateContent>
                <mc:Choice Requires="wps">
                  <w:drawing>
                    <wp:anchor distT="0" distB="0" distL="114300" distR="114300" simplePos="0" relativeHeight="251686912" behindDoc="0" locked="0" layoutInCell="1" allowOverlap="1">
                      <wp:simplePos x="0" y="0"/>
                      <wp:positionH relativeFrom="column">
                        <wp:posOffset>-45720</wp:posOffset>
                      </wp:positionH>
                      <wp:positionV relativeFrom="paragraph">
                        <wp:posOffset>25400</wp:posOffset>
                      </wp:positionV>
                      <wp:extent cx="143510" cy="136525"/>
                      <wp:effectExtent l="38100" t="19050" r="27940" b="15875"/>
                      <wp:wrapNone/>
                      <wp:docPr id="23"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3510" cy="136525"/>
                              </a:xfrm>
                              <a:prstGeom prst="downArrow">
                                <a:avLst>
                                  <a:gd name="adj1" fmla="val 50000"/>
                                  <a:gd name="adj2" fmla="val 25000"/>
                                </a:avLst>
                              </a:prstGeom>
                              <a:solidFill>
                                <a:srgbClr val="00FF00">
                                  <a:alpha val="25000"/>
                                </a:srgbClr>
                              </a:solidFill>
                              <a:ln w="9525">
                                <a:solidFill>
                                  <a:srgbClr val="00B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540A3" id="AutoShape 92" o:spid="_x0000_s1026" type="#_x0000_t67" style="position:absolute;margin-left:-3.6pt;margin-top:2pt;width:11.3pt;height:10.75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" fillcolor="lime" strokecolor="#00b050">
                      <v:fill opacity="16448f"/>
                      <v:textbox style="layout-flow:vertical-ideographic"/>
                    </v:shape>
                  </w:pict>
                </mc:Fallback>
              </mc:AlternateContent>
            </w:r>
            <w:r w:rsidR="009D21C5" w:rsidRPr="008F7397">
              <w:rPr>
                <w:rFonts w:asciiTheme="majorBidi" w:hAnsiTheme="majorBidi" w:cstheme="majorBidi"/>
                <w:sz w:val="24"/>
                <w:szCs w:val="24"/>
              </w:rPr>
              <w:t xml:space="preserve">    Induced apoptosis</w:t>
            </w:r>
            <w:r w:rsidR="009D21C5" w:rsidRPr="008F7397">
              <w:rPr>
                <w:rFonts w:asciiTheme="majorBidi" w:hAnsiTheme="majorBidi" w:cstheme="majorBidi"/>
                <w:noProof/>
                <w:sz w:val="24"/>
                <w:szCs w:val="24"/>
                <w:lang w:bidi="he-IL"/>
              </w:rPr>
              <w:t xml:space="preserve">, yet </w:t>
            </w:r>
            <w:r w:rsidR="009D21C5" w:rsidRPr="008F7397">
              <w:rPr>
                <w:rFonts w:asciiTheme="majorBidi" w:hAnsiTheme="majorBidi" w:cstheme="majorBidi"/>
                <w:sz w:val="24"/>
                <w:szCs w:val="24"/>
              </w:rPr>
              <w:t>not as sensitively as MOLM16</w:t>
            </w:r>
          </w:p>
        </w:tc>
        <w:tc>
          <w:tcPr>
            <w:tcW w:w="2129" w:type="dxa"/>
          </w:tcPr>
          <w:p w:rsidR="009D21C5" w:rsidRPr="008F7397" w:rsidRDefault="00D12BFF" w:rsidP="00951716">
            <w:pPr>
              <w:rPr>
                <w:rFonts w:asciiTheme="majorBidi" w:hAnsiTheme="majorBidi" w:cstheme="majorBidi"/>
                <w:noProof/>
                <w:sz w:val="24"/>
                <w:szCs w:val="24"/>
                <w:lang w:bidi="he-IL"/>
              </w:rPr>
            </w:pPr>
            <w:r>
              <w:rPr>
                <w:rFonts w:asciiTheme="majorBidi" w:hAnsiTheme="majorBidi" w:cstheme="majorBidi"/>
                <w:noProof/>
                <w:sz w:val="24"/>
                <w:szCs w:val="24"/>
                <w:lang w:val="en-GB" w:eastAsia="en-GB"/>
              </w:rPr>
              <mc:AlternateContent>
                <mc:Choice Requires="wps">
                  <w:drawing>
                    <wp:anchor distT="0" distB="0" distL="114300" distR="114300" simplePos="0" relativeHeight="251687936" behindDoc="0" locked="0" layoutInCell="1" allowOverlap="1">
                      <wp:simplePos x="0" y="0"/>
                      <wp:positionH relativeFrom="column">
                        <wp:posOffset>-5080</wp:posOffset>
                      </wp:positionH>
                      <wp:positionV relativeFrom="paragraph">
                        <wp:posOffset>25400</wp:posOffset>
                      </wp:positionV>
                      <wp:extent cx="143510" cy="136525"/>
                      <wp:effectExtent l="38100" t="19050" r="27940" b="15875"/>
                      <wp:wrapNone/>
                      <wp:docPr id="22"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3510" cy="136525"/>
                              </a:xfrm>
                              <a:prstGeom prst="downArrow">
                                <a:avLst>
                                  <a:gd name="adj1" fmla="val 50000"/>
                                  <a:gd name="adj2" fmla="val 25000"/>
                                </a:avLst>
                              </a:prstGeom>
                              <a:solidFill>
                                <a:srgbClr val="00FF00">
                                  <a:alpha val="25000"/>
                                </a:srgbClr>
                              </a:solidFill>
                              <a:ln w="9525">
                                <a:solidFill>
                                  <a:srgbClr val="00B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2D25F" id="AutoShape 91" o:spid="_x0000_s1026" type="#_x0000_t67" style="position:absolute;margin-left:-.4pt;margin-top:2pt;width:11.3pt;height:10.75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" fillcolor="lime" strokecolor="#00b050">
                      <v:fill opacity="16448f"/>
                      <v:textbox style="layout-flow:vertical-ideographic"/>
                    </v:shape>
                  </w:pict>
                </mc:Fallback>
              </mc:AlternateContent>
            </w:r>
            <w:r w:rsidR="009D21C5" w:rsidRPr="008F7397">
              <w:rPr>
                <w:rFonts w:asciiTheme="majorBidi" w:hAnsiTheme="majorBidi" w:cstheme="majorBidi"/>
                <w:sz w:val="24"/>
                <w:szCs w:val="24"/>
              </w:rPr>
              <w:t xml:space="preserve">     Apoptosis induced (0 -&gt; 1), yet profoundly less senstitive than MOLM16</w:t>
            </w:r>
            <w:r w:rsidR="009D21C5" w:rsidRPr="008F7397">
              <w:rPr>
                <w:rFonts w:asciiTheme="majorBidi" w:hAnsiTheme="majorBidi" w:cstheme="majorBidi"/>
                <w:noProof/>
                <w:sz w:val="24"/>
                <w:szCs w:val="24"/>
                <w:lang w:bidi="he-IL"/>
              </w:rPr>
              <w:t xml:space="preserve"> (0 -&gt; 4)</w:t>
            </w:r>
          </w:p>
        </w:tc>
        <w:tc>
          <w:tcPr>
            <w:tcW w:w="990" w:type="dxa"/>
            <w:vMerge/>
          </w:tcPr>
          <w:p w:rsidR="009D21C5" w:rsidRPr="008F7397" w:rsidRDefault="009D21C5" w:rsidP="00951716">
            <w:pPr>
              <w:jc w:val="center"/>
              <w:rPr>
                <w:rFonts w:asciiTheme="majorBidi" w:hAnsiTheme="majorBidi" w:cstheme="majorBidi"/>
                <w:sz w:val="24"/>
                <w:szCs w:val="24"/>
              </w:rPr>
            </w:pPr>
          </w:p>
        </w:tc>
      </w:tr>
      <w:tr w:rsidR="009D21C5" w:rsidRPr="008F7397" w:rsidTr="00951716">
        <w:trPr>
          <w:cantSplit/>
          <w:trHeight w:val="983"/>
        </w:trPr>
        <w:tc>
          <w:tcPr>
            <w:tcW w:w="957" w:type="dxa"/>
            <w:vMerge w:val="restart"/>
          </w:tcPr>
          <w:p w:rsidR="009D21C5" w:rsidRPr="008F7397" w:rsidRDefault="00760C56" w:rsidP="005D7A0D">
            <w:pPr>
              <w:jc w:val="center"/>
              <w:rPr>
                <w:rFonts w:asciiTheme="majorBidi" w:hAnsiTheme="majorBidi" w:cstheme="majorBidi"/>
                <w:sz w:val="24"/>
                <w:szCs w:val="24"/>
              </w:rPr>
            </w:pPr>
            <w:r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V7nzUXWi","properties":{"formattedCitation":"[50]","plainCitation":"[50]"},"citationItems":[{"id":322,"uris":["http://zotero.org/users/2553926/items/C9C5WW4G"],"uri":["http://zotero.org/users/2553926/items/C9C5WW4G"],"itemData":{"id":322,"type":"article-journal","title":"PIM and AKT kinase inhibitors show synergistic cytotoxicity in acute myeloid leukaemia that is associated with convergence on mTOR and MCL1 pathways","container-title":"British Journal of Haematology","page":"69-79","volume":"167","issue":"1","source":"PubMed","abstract":"PIM kinases (PIM1, 2 and 3) are involved in cell proliferation and survival signalling and are emerging targets for the therapy of various malignancies. We found that a significant proportion of primary acute myeloid leukaemia (AML) samples showed PIM1 and PIM2 expression by quantitative reverse transcription polymerase chain reaction. Therefore, we investigated the effects of a novel ATP-competitive pan-PIM inhibitor, AZD1897, on AML cell growth and survival. PIM inhibition showed limited single agent activity in AML cell lines and primary AML cells, including those with or without FLT3-internal tandem duplication (ITD) mutation. However, significant synergy was seen when AZD1897 was combined with the Akt inhibitor AZD5363, a compound that is in early-phase clinical trials. AML cells from putative leukaemia stem cell subsets, including CD34+38- and CD34+38+ fractions, were equivalently affected by dual PIM/Akt inhibition when compared with bulk tumour cells. Analysis of downstream signalling pathways showed that combined PIM/Akt inhibition downregulated mTOR outputs (phosphorylation of 4EBP1 and S6) and markedly reduced levels of the anti-apoptotic protein MCL1. The combination of PIM and Akt inhibition holds promise for the treatment of AML.","DOI":"10.1111/bjh.13013","ISSN":"1365-2141","note":"PMID: 24975213","journalAbbreviation":"Br. J. Haematol.","language":"eng","author":[{"family":"Meja","given":"Koremu"},{"family":"Stengel","given":"Chloe"},{"family":"Sellar","given":"Rob"},{"family":"Huszar","given":"Dennis"},{"family":"Davies","given":"Barry R."},{"family":"Gale","given":"Rosemary E."},{"family":"Linch","given":"David C."},{"family":"Khwaja","given":"Asim"}],"issued":{"date-parts":[["2014",10]]}}}],"schema":"https://github.com/citation-style-language/schema/raw/master/csl-citation.json"} </w:instrText>
            </w:r>
            <w:r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[50]</w:t>
            </w:r>
            <w:r w:rsidRPr="008F7397">
              <w:rPr>
                <w:rFonts w:asciiTheme="majorBidi" w:hAnsiTheme="majorBidi" w:cstheme="majorBidi"/>
                <w:sz w:val="24"/>
                <w:szCs w:val="24"/>
              </w:rPr>
              <w:fldChar w:fldCharType="end"/>
            </w:r>
          </w:p>
        </w:tc>
        <w:tc>
          <w:tcPr>
            <w:tcW w:w="1276" w:type="dxa"/>
            <w:vMerge w:val="restart"/>
          </w:tcPr>
          <w:p w:rsidR="009D21C5" w:rsidRPr="008F7397" w:rsidRDefault="009D21C5" w:rsidP="00951716">
            <w:pPr>
              <w:rPr>
                <w:rFonts w:asciiTheme="majorBidi" w:hAnsiTheme="majorBidi" w:cstheme="majorBidi"/>
                <w:sz w:val="24"/>
                <w:szCs w:val="24"/>
              </w:rPr>
            </w:pPr>
          </w:p>
          <w:p w:rsidR="009D21C5" w:rsidRPr="008F7397" w:rsidRDefault="009D21C5" w:rsidP="00951716">
            <w:pPr>
              <w:rPr>
                <w:rFonts w:asciiTheme="majorBidi" w:hAnsiTheme="majorBidi" w:cstheme="majorBidi"/>
                <w:sz w:val="24"/>
                <w:szCs w:val="24"/>
              </w:rPr>
            </w:pPr>
            <w:r w:rsidRPr="008F7397">
              <w:rPr>
                <w:rFonts w:asciiTheme="majorBidi" w:hAnsiTheme="majorBidi" w:cstheme="majorBidi"/>
                <w:sz w:val="24"/>
                <w:szCs w:val="24"/>
              </w:rPr>
              <w:t>EOL1</w:t>
            </w:r>
          </w:p>
        </w:tc>
        <w:tc>
          <w:tcPr>
            <w:tcW w:w="1842" w:type="dxa"/>
            <w:vMerge w:val="restart"/>
          </w:tcPr>
          <w:p w:rsidR="009D21C5" w:rsidRPr="008F7397" w:rsidRDefault="009D21C5" w:rsidP="00951716">
            <w:pPr>
              <w:rPr>
                <w:rFonts w:asciiTheme="majorBidi" w:hAnsiTheme="majorBidi" w:cstheme="majorBidi"/>
                <w:sz w:val="24"/>
                <w:szCs w:val="24"/>
              </w:rPr>
            </w:pPr>
          </w:p>
          <w:p w:rsidR="009D21C5" w:rsidRPr="008F7397" w:rsidRDefault="009D21C5" w:rsidP="00951716">
            <w:pPr>
              <w:rPr>
                <w:rFonts w:asciiTheme="majorBidi" w:hAnsiTheme="majorBidi" w:cstheme="majorBidi"/>
                <w:sz w:val="24"/>
                <w:szCs w:val="24"/>
              </w:rPr>
            </w:pPr>
            <w:r w:rsidRPr="008F7397">
              <w:rPr>
                <w:rFonts w:asciiTheme="majorBidi" w:hAnsiTheme="majorBidi" w:cstheme="majorBidi"/>
                <w:sz w:val="24"/>
                <w:szCs w:val="24"/>
              </w:rPr>
              <w:t>AKT inhibitor</w:t>
            </w:r>
          </w:p>
        </w:tc>
        <w:tc>
          <w:tcPr>
            <w:tcW w:w="2268" w:type="dxa"/>
          </w:tcPr>
          <w:p w:rsidR="009D21C5" w:rsidRPr="008F7397" w:rsidRDefault="00D12BFF" w:rsidP="00951716">
            <w:pPr>
              <w:rPr>
                <w:rFonts w:asciiTheme="majorBidi" w:hAnsiTheme="majorBidi" w:cstheme="majorBidi"/>
                <w:sz w:val="24"/>
                <w:szCs w:val="24"/>
              </w:rPr>
            </w:pPr>
            <w:r>
              <w:rPr>
                <w:rFonts w:asciiTheme="majorBidi" w:hAnsiTheme="majorBidi" w:cstheme="majorBidi"/>
                <w:noProof/>
                <w:sz w:val="24"/>
                <w:szCs w:val="24"/>
                <w:lang w:val="en-GB" w:eastAsia="en-GB"/>
              </w:rPr>
              <mc:AlternateContent>
                <mc:Choice Requires="wps">
                  <w:drawing>
                    <wp:anchor distT="0" distB="0" distL="114300" distR="114300" simplePos="0" relativeHeight="251688960" behindDoc="0" locked="0" layoutInCell="1" allowOverlap="1">
                      <wp:simplePos x="0" y="0"/>
                      <wp:positionH relativeFrom="margin">
                        <wp:posOffset>-53975</wp:posOffset>
                      </wp:positionH>
                      <wp:positionV relativeFrom="paragraph">
                        <wp:posOffset>49530</wp:posOffset>
                      </wp:positionV>
                      <wp:extent cx="143510" cy="136525"/>
                      <wp:effectExtent l="38100" t="0" r="27940" b="34925"/>
                      <wp:wrapNone/>
                      <wp:docPr id="21"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36525"/>
                              </a:xfrm>
                              <a:prstGeom prst="down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ECDB1" id="AutoShape 96" o:spid="_x0000_s1026" type="#_x0000_t67" style="position:absolute;margin-left:-4.25pt;margin-top:3.9pt;width:11.3pt;height:10.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" fillcolor="red" strokecolor="red">
                      <v:textbox style="layout-flow:vertical-ideographic"/>
                      <w10:wrap anchorx="margin"/>
                    </v:shape>
                  </w:pict>
                </mc:Fallback>
              </mc:AlternateContent>
            </w:r>
            <w:r w:rsidR="009D21C5" w:rsidRPr="008F7397">
              <w:rPr>
                <w:rFonts w:asciiTheme="majorBidi" w:hAnsiTheme="majorBidi" w:cstheme="majorBidi"/>
                <w:sz w:val="24"/>
                <w:szCs w:val="24"/>
              </w:rPr>
              <w:t xml:space="preserve">     Effect on S6 in more profound than with PIM inhibition</w:t>
            </w:r>
          </w:p>
        </w:tc>
        <w:tc>
          <w:tcPr>
            <w:tcW w:w="2129" w:type="dxa"/>
          </w:tcPr>
          <w:p w:rsidR="009D21C5" w:rsidRPr="008F7397" w:rsidRDefault="00D12BFF" w:rsidP="00951716">
            <w:pPr>
              <w:rPr>
                <w:rFonts w:asciiTheme="majorBidi" w:hAnsiTheme="majorBidi" w:cstheme="majorBidi"/>
                <w:sz w:val="24"/>
                <w:szCs w:val="24"/>
              </w:rPr>
            </w:pPr>
            <w:r>
              <w:rPr>
                <w:rFonts w:asciiTheme="majorBidi" w:hAnsiTheme="majorBidi" w:cstheme="majorBidi"/>
                <w:noProof/>
                <w:sz w:val="24"/>
                <w:szCs w:val="24"/>
                <w:lang w:val="en-GB" w:eastAsia="en-GB"/>
              </w:rPr>
              <mc:AlternateContent>
                <mc:Choice Requires="wps">
                  <w:drawing>
                    <wp:anchor distT="0" distB="0" distL="114300" distR="114300" simplePos="0" relativeHeight="251689984" behindDoc="0" locked="0" layoutInCell="1" allowOverlap="1">
                      <wp:simplePos x="0" y="0"/>
                      <wp:positionH relativeFrom="column">
                        <wp:posOffset>-33020</wp:posOffset>
                      </wp:positionH>
                      <wp:positionV relativeFrom="paragraph">
                        <wp:posOffset>43815</wp:posOffset>
                      </wp:positionV>
                      <wp:extent cx="143510" cy="136525"/>
                      <wp:effectExtent l="38100" t="0" r="27940" b="34925"/>
                      <wp:wrapNone/>
                      <wp:docPr id="20"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36525"/>
                              </a:xfrm>
                              <a:prstGeom prst="down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E15BC" id="AutoShape 95" o:spid="_x0000_s1026" type="#_x0000_t67" style="position:absolute;margin-left:-2.6pt;margin-top:3.45pt;width:11.3pt;height:1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" fillcolor="red" strokecolor="red">
                      <v:textbox style="layout-flow:vertical-ideographic"/>
                    </v:shape>
                  </w:pict>
                </mc:Fallback>
              </mc:AlternateContent>
            </w:r>
            <w:r w:rsidR="009D21C5" w:rsidRPr="008F7397">
              <w:rPr>
                <w:rFonts w:asciiTheme="majorBidi" w:hAnsiTheme="majorBidi" w:cstheme="majorBidi"/>
                <w:sz w:val="24"/>
                <w:szCs w:val="24"/>
              </w:rPr>
              <w:t xml:space="preserve">    S6 (3 -&gt; 1)</w:t>
            </w:r>
          </w:p>
        </w:tc>
        <w:tc>
          <w:tcPr>
            <w:tcW w:w="990" w:type="dxa"/>
            <w:vMerge w:val="restart"/>
          </w:tcPr>
          <w:p w:rsidR="009D21C5" w:rsidRPr="008F7397" w:rsidRDefault="009D21C5" w:rsidP="00951716">
            <w:pPr>
              <w:jc w:val="center"/>
              <w:rPr>
                <w:rFonts w:asciiTheme="majorBidi" w:hAnsiTheme="majorBidi" w:cstheme="majorBidi"/>
                <w:sz w:val="24"/>
                <w:szCs w:val="24"/>
              </w:rPr>
            </w:pPr>
            <w:r w:rsidRPr="008F7397">
              <w:rPr>
                <w:rFonts w:asciiTheme="majorBidi" w:hAnsiTheme="majorBidi" w:cstheme="majorBidi"/>
                <w:sz w:val="24"/>
                <w:szCs w:val="24"/>
              </w:rPr>
              <w:t>~V</w:t>
            </w:r>
          </w:p>
        </w:tc>
      </w:tr>
      <w:tr w:rsidR="009D21C5" w:rsidRPr="008F7397" w:rsidTr="00951716">
        <w:trPr>
          <w:cantSplit/>
          <w:trHeight w:val="688"/>
        </w:trPr>
        <w:tc>
          <w:tcPr>
            <w:tcW w:w="957" w:type="dxa"/>
            <w:vMerge/>
          </w:tcPr>
          <w:p w:rsidR="009D21C5" w:rsidRPr="008F7397" w:rsidRDefault="009D21C5" w:rsidP="00951716">
            <w:pPr>
              <w:jc w:val="center"/>
              <w:rPr>
                <w:rFonts w:asciiTheme="majorBidi" w:hAnsiTheme="majorBidi" w:cstheme="majorBidi"/>
                <w:sz w:val="24"/>
                <w:szCs w:val="24"/>
              </w:rPr>
            </w:pPr>
          </w:p>
        </w:tc>
        <w:tc>
          <w:tcPr>
            <w:tcW w:w="1276" w:type="dxa"/>
            <w:vMerge/>
          </w:tcPr>
          <w:p w:rsidR="009D21C5" w:rsidRPr="008F7397" w:rsidRDefault="009D21C5" w:rsidP="00951716">
            <w:pPr>
              <w:rPr>
                <w:rFonts w:asciiTheme="majorBidi" w:hAnsiTheme="majorBidi" w:cstheme="majorBidi"/>
                <w:sz w:val="24"/>
                <w:szCs w:val="24"/>
              </w:rPr>
            </w:pPr>
          </w:p>
        </w:tc>
        <w:tc>
          <w:tcPr>
            <w:tcW w:w="1842" w:type="dxa"/>
            <w:vMerge/>
          </w:tcPr>
          <w:p w:rsidR="009D21C5" w:rsidRPr="008F7397" w:rsidRDefault="009D21C5" w:rsidP="00951716">
            <w:pPr>
              <w:rPr>
                <w:rFonts w:asciiTheme="majorBidi" w:hAnsiTheme="majorBidi" w:cstheme="majorBidi"/>
                <w:sz w:val="24"/>
                <w:szCs w:val="24"/>
              </w:rPr>
            </w:pPr>
          </w:p>
        </w:tc>
        <w:tc>
          <w:tcPr>
            <w:tcW w:w="2268" w:type="dxa"/>
          </w:tcPr>
          <w:p w:rsidR="009D21C5" w:rsidRPr="008F7397" w:rsidRDefault="00D12BFF" w:rsidP="00951716">
            <w:pPr>
              <w:rPr>
                <w:rFonts w:asciiTheme="majorBidi" w:hAnsiTheme="majorBidi" w:cstheme="majorBidi"/>
                <w:sz w:val="24"/>
                <w:szCs w:val="24"/>
              </w:rPr>
            </w:pPr>
            <w:r>
              <w:rPr>
                <w:rFonts w:asciiTheme="majorBidi" w:hAnsiTheme="majorBidi" w:cstheme="majorBidi"/>
                <w:noProof/>
                <w:sz w:val="24"/>
                <w:szCs w:val="24"/>
                <w:lang w:val="en-GB" w:eastAsia="en-GB"/>
              </w:rPr>
              <mc:AlternateContent>
                <mc:Choice Requires="wps">
                  <w:drawing>
                    <wp:anchor distT="0" distB="0" distL="114300" distR="114300" simplePos="0" relativeHeight="251691008" behindDoc="0" locked="0" layoutInCell="1" allowOverlap="1">
                      <wp:simplePos x="0" y="0"/>
                      <wp:positionH relativeFrom="margin">
                        <wp:posOffset>-62230</wp:posOffset>
                      </wp:positionH>
                      <wp:positionV relativeFrom="paragraph">
                        <wp:posOffset>29845</wp:posOffset>
                      </wp:positionV>
                      <wp:extent cx="143510" cy="136525"/>
                      <wp:effectExtent l="38100" t="0" r="27940" b="34925"/>
                      <wp:wrapNone/>
                      <wp:docPr id="19"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36525"/>
                              </a:xfrm>
                              <a:prstGeom prst="downArrow">
                                <a:avLst>
                                  <a:gd name="adj1" fmla="val 50000"/>
                                  <a:gd name="adj2" fmla="val 25000"/>
                                </a:avLst>
                              </a:prstGeom>
                              <a:solidFill>
                                <a:srgbClr val="FF0000">
                                  <a:alpha val="25000"/>
                                </a:srgbClr>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263CA" id="AutoShape 99" o:spid="_x0000_s1026" type="#_x0000_t67" style="position:absolute;margin-left:-4.9pt;margin-top:2.35pt;width:11.3pt;height:10.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" fillcolor="red" strokecolor="red">
                      <v:fill opacity="16448f"/>
                      <v:textbox style="layout-flow:vertical-ideographic"/>
                      <w10:wrap anchorx="margin"/>
                    </v:shape>
                  </w:pict>
                </mc:Fallback>
              </mc:AlternateContent>
            </w:r>
            <w:r w:rsidR="009D21C5" w:rsidRPr="008F7397">
              <w:rPr>
                <w:rFonts w:asciiTheme="majorBidi" w:hAnsiTheme="majorBidi" w:cstheme="majorBidi"/>
                <w:sz w:val="24"/>
                <w:szCs w:val="24"/>
              </w:rPr>
              <w:t xml:space="preserve">   Effect on 4EBP1 is as PIM inhibition</w:t>
            </w:r>
          </w:p>
        </w:tc>
        <w:tc>
          <w:tcPr>
            <w:tcW w:w="2129" w:type="dxa"/>
          </w:tcPr>
          <w:p w:rsidR="009D21C5" w:rsidRPr="008F7397" w:rsidRDefault="00D12BFF" w:rsidP="00951716">
            <w:pPr>
              <w:rPr>
                <w:rFonts w:asciiTheme="majorBidi" w:hAnsiTheme="majorBidi" w:cstheme="majorBidi"/>
                <w:b/>
                <w:bCs/>
                <w:sz w:val="24"/>
                <w:szCs w:val="24"/>
              </w:rPr>
            </w:pPr>
            <w:r>
              <w:rPr>
                <w:rFonts w:asciiTheme="majorBidi" w:hAnsiTheme="majorBidi" w:cstheme="majorBidi"/>
                <w:noProof/>
                <w:sz w:val="24"/>
                <w:szCs w:val="24"/>
                <w:lang w:val="en-GB" w:eastAsia="en-GB"/>
              </w:rPr>
              <mc:AlternateContent>
                <mc:Choice Requires="wps">
                  <w:drawing>
                    <wp:anchor distT="0" distB="0" distL="114300" distR="114300" simplePos="0" relativeHeight="251692032" behindDoc="0" locked="0" layoutInCell="1" allowOverlap="1">
                      <wp:simplePos x="0" y="0"/>
                      <wp:positionH relativeFrom="column">
                        <wp:posOffset>-60960</wp:posOffset>
                      </wp:positionH>
                      <wp:positionV relativeFrom="paragraph">
                        <wp:posOffset>24765</wp:posOffset>
                      </wp:positionV>
                      <wp:extent cx="143510" cy="136525"/>
                      <wp:effectExtent l="38100" t="0" r="27940" b="34925"/>
                      <wp:wrapNone/>
                      <wp:docPr id="1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36525"/>
                              </a:xfrm>
                              <a:prstGeom prst="downArrow">
                                <a:avLst>
                                  <a:gd name="adj1" fmla="val 50000"/>
                                  <a:gd name="adj2" fmla="val 25000"/>
                                </a:avLst>
                              </a:prstGeom>
                              <a:solidFill>
                                <a:srgbClr val="FF0000">
                                  <a:alpha val="70000"/>
                                </a:srgbClr>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AD0A5" id="AutoShape 100" o:spid="_x0000_s1026" type="#_x0000_t67" style="position:absolute;margin-left:-4.8pt;margin-top:1.95pt;width:11.3pt;height:1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" fillcolor="red" strokecolor="red">
                      <v:fill opacity="46003f"/>
                      <v:textbox style="layout-flow:vertical-ideographic"/>
                    </v:shape>
                  </w:pict>
                </mc:Fallback>
              </mc:AlternateContent>
            </w:r>
            <w:r w:rsidR="009D21C5" w:rsidRPr="008F7397">
              <w:rPr>
                <w:rFonts w:asciiTheme="majorBidi" w:hAnsiTheme="majorBidi" w:cstheme="majorBidi"/>
                <w:sz w:val="24"/>
                <w:szCs w:val="24"/>
              </w:rPr>
              <w:t xml:space="preserve">   Phosphorylatyion of 4EBP1 decreased (3 -&gt; 1)</w:t>
            </w:r>
          </w:p>
        </w:tc>
        <w:tc>
          <w:tcPr>
            <w:tcW w:w="990" w:type="dxa"/>
            <w:vMerge/>
          </w:tcPr>
          <w:p w:rsidR="009D21C5" w:rsidRPr="008F7397" w:rsidRDefault="009D21C5" w:rsidP="00951716">
            <w:pPr>
              <w:jc w:val="center"/>
              <w:rPr>
                <w:rFonts w:asciiTheme="majorBidi" w:hAnsiTheme="majorBidi" w:cstheme="majorBidi"/>
                <w:sz w:val="24"/>
                <w:szCs w:val="24"/>
              </w:rPr>
            </w:pPr>
          </w:p>
        </w:tc>
      </w:tr>
      <w:tr w:rsidR="009D21C5" w:rsidRPr="008F7397" w:rsidTr="00951716">
        <w:trPr>
          <w:cantSplit/>
          <w:trHeight w:val="709"/>
        </w:trPr>
        <w:tc>
          <w:tcPr>
            <w:tcW w:w="957" w:type="dxa"/>
            <w:vMerge/>
          </w:tcPr>
          <w:p w:rsidR="009D21C5" w:rsidRPr="008F7397" w:rsidRDefault="009D21C5" w:rsidP="00951716">
            <w:pPr>
              <w:jc w:val="center"/>
              <w:rPr>
                <w:rFonts w:asciiTheme="majorBidi" w:hAnsiTheme="majorBidi" w:cstheme="majorBidi"/>
                <w:sz w:val="24"/>
                <w:szCs w:val="24"/>
              </w:rPr>
            </w:pPr>
          </w:p>
        </w:tc>
        <w:tc>
          <w:tcPr>
            <w:tcW w:w="1276" w:type="dxa"/>
            <w:vMerge/>
          </w:tcPr>
          <w:p w:rsidR="009D21C5" w:rsidRPr="008F7397" w:rsidRDefault="009D21C5" w:rsidP="00951716">
            <w:pPr>
              <w:rPr>
                <w:rFonts w:asciiTheme="majorBidi" w:hAnsiTheme="majorBidi" w:cstheme="majorBidi"/>
                <w:sz w:val="24"/>
                <w:szCs w:val="24"/>
              </w:rPr>
            </w:pPr>
          </w:p>
        </w:tc>
        <w:tc>
          <w:tcPr>
            <w:tcW w:w="1842" w:type="dxa"/>
            <w:vMerge/>
          </w:tcPr>
          <w:p w:rsidR="009D21C5" w:rsidRPr="008F7397" w:rsidRDefault="009D21C5" w:rsidP="00951716">
            <w:pPr>
              <w:rPr>
                <w:rFonts w:asciiTheme="majorBidi" w:hAnsiTheme="majorBidi" w:cstheme="majorBidi"/>
                <w:sz w:val="24"/>
                <w:szCs w:val="24"/>
              </w:rPr>
            </w:pPr>
          </w:p>
        </w:tc>
        <w:tc>
          <w:tcPr>
            <w:tcW w:w="2268" w:type="dxa"/>
          </w:tcPr>
          <w:p w:rsidR="009D21C5" w:rsidRPr="008F7397" w:rsidRDefault="00D12BFF" w:rsidP="00951716">
            <w:pPr>
              <w:rPr>
                <w:rFonts w:asciiTheme="majorBidi" w:hAnsiTheme="majorBidi" w:cstheme="majorBidi"/>
                <w:sz w:val="24"/>
                <w:szCs w:val="24"/>
              </w:rPr>
            </w:pPr>
            <w:r>
              <w:rPr>
                <w:rFonts w:asciiTheme="majorBidi" w:hAnsiTheme="majorBidi" w:cstheme="majorBidi"/>
                <w:noProof/>
                <w:sz w:val="24"/>
                <w:szCs w:val="24"/>
                <w:lang w:val="en-GB" w:eastAsia="en-GB"/>
              </w:rPr>
              <mc:AlternateContent>
                <mc:Choice Requires="wps">
                  <w:drawing>
                    <wp:anchor distT="0" distB="0" distL="114300" distR="114300" simplePos="0" relativeHeight="251693056" behindDoc="0" locked="0" layoutInCell="1" allowOverlap="1">
                      <wp:simplePos x="0" y="0"/>
                      <wp:positionH relativeFrom="margin">
                        <wp:posOffset>-56515</wp:posOffset>
                      </wp:positionH>
                      <wp:positionV relativeFrom="margin">
                        <wp:posOffset>10160</wp:posOffset>
                      </wp:positionV>
                      <wp:extent cx="143510" cy="136525"/>
                      <wp:effectExtent l="38100" t="19050" r="27940" b="15875"/>
                      <wp:wrapNone/>
                      <wp:docPr id="17"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3510" cy="136525"/>
                              </a:xfrm>
                              <a:prstGeom prst="downArrow">
                                <a:avLst>
                                  <a:gd name="adj1" fmla="val 50000"/>
                                  <a:gd name="adj2" fmla="val 25000"/>
                                </a:avLst>
                              </a:prstGeom>
                              <a:solidFill>
                                <a:srgbClr val="00FF00">
                                  <a:alpha val="25000"/>
                                </a:srgbClr>
                              </a:solidFill>
                              <a:ln w="9525">
                                <a:solidFill>
                                  <a:srgbClr val="00B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5B629" id="AutoShape 98" o:spid="_x0000_s1026" type="#_x0000_t67" style="position:absolute;margin-left:-4.45pt;margin-top:.8pt;width:11.3pt;height:10.75pt;rotation:180;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" fillcolor="lime" strokecolor="#00b050">
                      <v:fill opacity="16448f"/>
                      <v:textbox style="layout-flow:vertical-ideographic"/>
                      <w10:wrap anchorx="margin" anchory="margin"/>
                    </v:shape>
                  </w:pict>
                </mc:Fallback>
              </mc:AlternateContent>
            </w:r>
            <w:r>
              <w:rPr>
                <w:rFonts w:asciiTheme="majorBidi" w:hAnsiTheme="majorBidi" w:cstheme="majorBidi"/>
                <w:noProof/>
                <w:sz w:val="24"/>
                <w:szCs w:val="24"/>
                <w:lang w:val="en-GB" w:eastAsia="en-GB"/>
              </w:rPr>
              <mc:AlternateContent>
                <mc:Choice Requires="wps">
                  <w:drawing>
                    <wp:anchor distT="0" distB="0" distL="114300" distR="114300" simplePos="0" relativeHeight="251694080" behindDoc="0" locked="0" layoutInCell="1" allowOverlap="1">
                      <wp:simplePos x="0" y="0"/>
                      <wp:positionH relativeFrom="column">
                        <wp:posOffset>1407160</wp:posOffset>
                      </wp:positionH>
                      <wp:positionV relativeFrom="margin">
                        <wp:align>top</wp:align>
                      </wp:positionV>
                      <wp:extent cx="143510" cy="136525"/>
                      <wp:effectExtent l="38100" t="19050" r="27940" b="15875"/>
                      <wp:wrapNone/>
                      <wp:docPr id="16"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3510" cy="136525"/>
                              </a:xfrm>
                              <a:prstGeom prst="downArrow">
                                <a:avLst>
                                  <a:gd name="adj1" fmla="val 50000"/>
                                  <a:gd name="adj2" fmla="val 25000"/>
                                </a:avLst>
                              </a:prstGeom>
                              <a:solidFill>
                                <a:srgbClr val="00FF00">
                                  <a:alpha val="75000"/>
                                </a:srgbClr>
                              </a:solidFill>
                              <a:ln w="9525">
                                <a:solidFill>
                                  <a:srgbClr val="00B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4083D" id="AutoShape 97" o:spid="_x0000_s1026" type="#_x0000_t67" style="position:absolute;margin-left:110.8pt;margin-top:0;width:11.3pt;height:10.75pt;rotation:180;z-index:251694080;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" fillcolor="lime" strokecolor="#00b050">
                      <v:fill opacity="49087f"/>
                      <v:textbox style="layout-flow:vertical-ideographic"/>
                      <w10:wrap anchory="margin"/>
                    </v:shape>
                  </w:pict>
                </mc:Fallback>
              </mc:AlternateContent>
            </w:r>
            <w:r w:rsidR="009D21C5" w:rsidRPr="008F7397">
              <w:rPr>
                <w:rFonts w:asciiTheme="majorBidi" w:hAnsiTheme="majorBidi" w:cstheme="majorBidi"/>
                <w:sz w:val="24"/>
                <w:szCs w:val="24"/>
              </w:rPr>
              <w:t xml:space="preserve">   Significant amount of inhibitor had induces apoptosis</w:t>
            </w:r>
          </w:p>
        </w:tc>
        <w:tc>
          <w:tcPr>
            <w:tcW w:w="2129" w:type="dxa"/>
          </w:tcPr>
          <w:p w:rsidR="009D21C5" w:rsidRPr="008F7397" w:rsidRDefault="009D21C5" w:rsidP="00951716">
            <w:pPr>
              <w:rPr>
                <w:rFonts w:asciiTheme="majorBidi" w:hAnsiTheme="majorBidi" w:cstheme="majorBidi"/>
                <w:b/>
                <w:bCs/>
                <w:sz w:val="24"/>
                <w:szCs w:val="24"/>
              </w:rPr>
            </w:pPr>
            <w:r w:rsidRPr="008F7397">
              <w:rPr>
                <w:rFonts w:asciiTheme="majorBidi" w:hAnsiTheme="majorBidi" w:cstheme="majorBidi"/>
                <w:sz w:val="24"/>
                <w:szCs w:val="24"/>
              </w:rPr>
              <w:t xml:space="preserve">    Apoptosis induced (0 -&gt; 3)</w:t>
            </w:r>
          </w:p>
        </w:tc>
        <w:tc>
          <w:tcPr>
            <w:tcW w:w="990" w:type="dxa"/>
            <w:vMerge/>
          </w:tcPr>
          <w:p w:rsidR="009D21C5" w:rsidRPr="008F7397" w:rsidRDefault="009D21C5" w:rsidP="00951716">
            <w:pPr>
              <w:jc w:val="center"/>
              <w:rPr>
                <w:rFonts w:asciiTheme="majorBidi" w:hAnsiTheme="majorBidi" w:cstheme="majorBidi"/>
                <w:sz w:val="24"/>
                <w:szCs w:val="24"/>
              </w:rPr>
            </w:pPr>
          </w:p>
        </w:tc>
      </w:tr>
      <w:tr w:rsidR="009D21C5" w:rsidRPr="008F7397" w:rsidTr="00951716">
        <w:trPr>
          <w:cantSplit/>
          <w:trHeight w:val="709"/>
        </w:trPr>
        <w:tc>
          <w:tcPr>
            <w:tcW w:w="957" w:type="dxa"/>
            <w:vMerge w:val="restart"/>
          </w:tcPr>
          <w:p w:rsidR="009D21C5" w:rsidRPr="008F7397" w:rsidRDefault="00760C56" w:rsidP="005D7A0D">
            <w:pPr>
              <w:jc w:val="center"/>
              <w:rPr>
                <w:rFonts w:asciiTheme="majorBidi" w:hAnsiTheme="majorBidi" w:cstheme="majorBidi"/>
                <w:sz w:val="24"/>
                <w:szCs w:val="24"/>
              </w:rPr>
            </w:pPr>
            <w:r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CgkO5d4M","properties":{"formattedCitation":"[50]","plainCitation":"[50]"},"citationItems":[{"id":322,"uris":["http://zotero.org/users/2553926/items/C9C5WW4G"],"uri":["http://zotero.org/users/2553926/items/C9C5WW4G"],"itemData":{"id":322,"type":"article-journal","title":"PIM and AKT kinase inhibitors show synergistic cytotoxicity in acute myeloid leukaemia that is associated with convergence on mTOR and MCL1 pathways","container-title":"British Journal of Haematology","page":"69-79","volume":"167","issue":"1","source":"PubMed","abstract":"PIM kinases (PIM1, 2 and 3) are involved in cell proliferation and survival signalling and are emerging targets for the therapy of various malignancies. We found that a significant proportion of primary acute myeloid leukaemia (AML) samples showed PIM1 and PIM2 expression by quantitative reverse transcription polymerase chain reaction. Therefore, we investigated the effects of a novel ATP-competitive pan-PIM inhibitor, AZD1897, on AML cell growth and survival. PIM inhibition showed limited single agent activity in AML cell lines and primary AML cells, including those with or without FLT3-internal tandem duplication (ITD) mutation. However, significant synergy was seen when AZD1897 was combined with the Akt inhibitor AZD5363, a compound that is in early-phase clinical trials. AML cells from putative leukaemia stem cell subsets, including CD34+38- and CD34+38+ fractions, were equivalently affected by dual PIM/Akt inhibition when compared with bulk tumour cells. Analysis of downstream signalling pathways showed that combined PIM/Akt inhibition downregulated mTOR outputs (phosphorylation of 4EBP1 and S6) and markedly reduced levels of the anti-apoptotic protein MCL1. The combination of PIM and Akt inhibition holds promise for the treatment of AML.","DOI":"10.1111/bjh.13013","ISSN":"1365-2141","note":"PMID: 24975213","journalAbbreviation":"Br. J. Haematol.","language":"eng","author":[{"family":"Meja","given":"Koremu"},{"family":"Stengel","given":"Chloe"},{"family":"Sellar","given":"Rob"},{"family":"Huszar","given":"Dennis"},{"family":"Davies","given":"Barry R."},{"family":"Gale","given":"Rosemary E."},{"family":"Linch","given":"David C."},{"family":"Khwaja","given":"Asim"}],"issued":{"date-parts":[["2014",10]]}}}],"schema":"https://github.com/citation-style-language/schema/raw/master/csl-citation.json"} </w:instrText>
            </w:r>
            <w:r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[50]</w:t>
            </w:r>
            <w:r w:rsidRPr="008F7397">
              <w:rPr>
                <w:rFonts w:asciiTheme="majorBidi" w:hAnsiTheme="majorBidi" w:cstheme="majorBidi"/>
                <w:sz w:val="24"/>
                <w:szCs w:val="24"/>
              </w:rPr>
              <w:fldChar w:fldCharType="end"/>
            </w:r>
          </w:p>
        </w:tc>
        <w:tc>
          <w:tcPr>
            <w:tcW w:w="1276" w:type="dxa"/>
            <w:vMerge w:val="restart"/>
          </w:tcPr>
          <w:p w:rsidR="009D21C5" w:rsidRPr="008F7397" w:rsidRDefault="009D21C5" w:rsidP="00951716">
            <w:pPr>
              <w:rPr>
                <w:rFonts w:asciiTheme="majorBidi" w:hAnsiTheme="majorBidi" w:cstheme="majorBidi"/>
                <w:sz w:val="24"/>
                <w:szCs w:val="24"/>
              </w:rPr>
            </w:pPr>
            <w:r w:rsidRPr="008F7397">
              <w:rPr>
                <w:rFonts w:asciiTheme="majorBidi" w:hAnsiTheme="majorBidi" w:cstheme="majorBidi"/>
                <w:sz w:val="24"/>
                <w:szCs w:val="24"/>
              </w:rPr>
              <w:t>EOL1</w:t>
            </w:r>
          </w:p>
        </w:tc>
        <w:tc>
          <w:tcPr>
            <w:tcW w:w="1842" w:type="dxa"/>
            <w:vMerge w:val="restart"/>
          </w:tcPr>
          <w:p w:rsidR="009D21C5" w:rsidRPr="008F7397" w:rsidRDefault="009D21C5" w:rsidP="00951716">
            <w:pPr>
              <w:rPr>
                <w:rFonts w:asciiTheme="majorBidi" w:hAnsiTheme="majorBidi" w:cstheme="majorBidi"/>
                <w:sz w:val="24"/>
                <w:szCs w:val="24"/>
              </w:rPr>
            </w:pPr>
            <w:r w:rsidRPr="008F7397">
              <w:rPr>
                <w:rFonts w:asciiTheme="majorBidi" w:hAnsiTheme="majorBidi" w:cstheme="majorBidi"/>
                <w:sz w:val="24"/>
                <w:szCs w:val="24"/>
              </w:rPr>
              <w:t>PIM and AKT inhibitors</w:t>
            </w:r>
          </w:p>
        </w:tc>
        <w:tc>
          <w:tcPr>
            <w:tcW w:w="2268" w:type="dxa"/>
          </w:tcPr>
          <w:p w:rsidR="009D21C5" w:rsidRPr="008F7397" w:rsidRDefault="00D12BFF" w:rsidP="00951716">
            <w:pPr>
              <w:rPr>
                <w:rFonts w:asciiTheme="majorBidi" w:hAnsiTheme="majorBidi" w:cstheme="majorBidi"/>
                <w:sz w:val="24"/>
                <w:szCs w:val="24"/>
              </w:rPr>
            </w:pPr>
            <w:r>
              <w:rPr>
                <w:rFonts w:asciiTheme="majorBidi" w:hAnsiTheme="majorBidi" w:cstheme="majorBidi"/>
                <w:noProof/>
                <w:sz w:val="24"/>
                <w:szCs w:val="24"/>
                <w:lang w:val="en-GB" w:eastAsia="en-GB"/>
              </w:rPr>
              <mc:AlternateContent>
                <mc:Choice Requires="wps">
                  <w:drawing>
                    <wp:anchor distT="0" distB="0" distL="114300" distR="114300" simplePos="0" relativeHeight="251695104" behindDoc="0" locked="0" layoutInCell="1" allowOverlap="1">
                      <wp:simplePos x="0" y="0"/>
                      <wp:positionH relativeFrom="margin">
                        <wp:posOffset>-50165</wp:posOffset>
                      </wp:positionH>
                      <wp:positionV relativeFrom="paragraph">
                        <wp:posOffset>34290</wp:posOffset>
                      </wp:positionV>
                      <wp:extent cx="143510" cy="136525"/>
                      <wp:effectExtent l="38100" t="0" r="27940" b="34925"/>
                      <wp:wrapNone/>
                      <wp:docPr id="15"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36525"/>
                              </a:xfrm>
                              <a:prstGeom prst="down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0304D" id="AutoShape 103" o:spid="_x0000_s1026" type="#_x0000_t67" style="position:absolute;margin-left:-3.95pt;margin-top:2.7pt;width:11.3pt;height:10.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" fillcolor="red" strokecolor="red">
                      <v:textbox style="layout-flow:vertical-ideographic"/>
                      <w10:wrap anchorx="margin"/>
                    </v:shape>
                  </w:pict>
                </mc:Fallback>
              </mc:AlternateContent>
            </w:r>
            <w:r w:rsidR="009D21C5" w:rsidRPr="008F7397">
              <w:rPr>
                <w:rFonts w:asciiTheme="majorBidi" w:hAnsiTheme="majorBidi" w:cstheme="majorBidi"/>
                <w:sz w:val="24"/>
                <w:szCs w:val="24"/>
              </w:rPr>
              <w:t xml:space="preserve">    S6 reflectes synergic effect</w:t>
            </w:r>
          </w:p>
        </w:tc>
        <w:tc>
          <w:tcPr>
            <w:tcW w:w="2129" w:type="dxa"/>
          </w:tcPr>
          <w:p w:rsidR="009D21C5" w:rsidRPr="008F7397" w:rsidRDefault="00D12BFF" w:rsidP="00951716">
            <w:pPr>
              <w:rPr>
                <w:rFonts w:asciiTheme="majorBidi" w:hAnsiTheme="majorBidi" w:cstheme="majorBidi"/>
                <w:sz w:val="24"/>
                <w:szCs w:val="24"/>
              </w:rPr>
            </w:pPr>
            <w:r>
              <w:rPr>
                <w:rFonts w:asciiTheme="majorBidi" w:hAnsiTheme="majorBidi" w:cstheme="majorBidi"/>
                <w:noProof/>
                <w:sz w:val="24"/>
                <w:szCs w:val="24"/>
                <w:lang w:val="en-GB" w:eastAsia="en-GB"/>
              </w:rPr>
              <mc:AlternateContent>
                <mc:Choice Requires="wps">
                  <w:drawing>
                    <wp:anchor distT="0" distB="0" distL="114300" distR="114300" simplePos="0" relativeHeight="251696128" behindDoc="0" locked="0" layoutInCell="1" allowOverlap="1">
                      <wp:simplePos x="0" y="0"/>
                      <wp:positionH relativeFrom="column">
                        <wp:posOffset>-65405</wp:posOffset>
                      </wp:positionH>
                      <wp:positionV relativeFrom="paragraph">
                        <wp:posOffset>20955</wp:posOffset>
                      </wp:positionV>
                      <wp:extent cx="143510" cy="136525"/>
                      <wp:effectExtent l="38100" t="0" r="27940" b="34925"/>
                      <wp:wrapNone/>
                      <wp:docPr id="14"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36525"/>
                              </a:xfrm>
                              <a:prstGeom prst="down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D3A8E" id="AutoShape 104" o:spid="_x0000_s1026" type="#_x0000_t67" style="position:absolute;margin-left:-5.15pt;margin-top:1.65pt;width:11.3pt;height:1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" fillcolor="red" strokecolor="red">
                      <v:textbox style="layout-flow:vertical-ideographic"/>
                    </v:shape>
                  </w:pict>
                </mc:Fallback>
              </mc:AlternateContent>
            </w:r>
            <w:r w:rsidR="009D21C5" w:rsidRPr="008F7397">
              <w:rPr>
                <w:rFonts w:asciiTheme="majorBidi" w:hAnsiTheme="majorBidi" w:cstheme="majorBidi"/>
                <w:sz w:val="24"/>
                <w:szCs w:val="24"/>
              </w:rPr>
              <w:t xml:space="preserve">    S6 reflectes synergic effect</w:t>
            </w:r>
          </w:p>
        </w:tc>
        <w:tc>
          <w:tcPr>
            <w:tcW w:w="990" w:type="dxa"/>
            <w:vMerge w:val="restart"/>
          </w:tcPr>
          <w:p w:rsidR="009D21C5" w:rsidRPr="008F7397" w:rsidRDefault="009D21C5" w:rsidP="00951716">
            <w:pPr>
              <w:jc w:val="center"/>
              <w:rPr>
                <w:rFonts w:asciiTheme="majorBidi" w:hAnsiTheme="majorBidi" w:cstheme="majorBidi"/>
                <w:sz w:val="24"/>
                <w:szCs w:val="24"/>
              </w:rPr>
            </w:pPr>
            <w:r w:rsidRPr="008F7397">
              <w:rPr>
                <w:rFonts w:asciiTheme="majorBidi" w:hAnsiTheme="majorBidi" w:cstheme="majorBidi"/>
                <w:sz w:val="24"/>
                <w:szCs w:val="24"/>
              </w:rPr>
              <w:t>V</w:t>
            </w:r>
          </w:p>
        </w:tc>
      </w:tr>
      <w:tr w:rsidR="009D21C5" w:rsidRPr="008F7397" w:rsidTr="00951716">
        <w:trPr>
          <w:cantSplit/>
          <w:trHeight w:val="709"/>
        </w:trPr>
        <w:tc>
          <w:tcPr>
            <w:tcW w:w="957" w:type="dxa"/>
            <w:vMerge/>
          </w:tcPr>
          <w:p w:rsidR="009D21C5" w:rsidRPr="008F7397" w:rsidRDefault="009D21C5" w:rsidP="00951716">
            <w:pPr>
              <w:jc w:val="center"/>
              <w:rPr>
                <w:rFonts w:asciiTheme="majorBidi" w:hAnsiTheme="majorBidi" w:cstheme="majorBidi"/>
                <w:sz w:val="24"/>
                <w:szCs w:val="24"/>
              </w:rPr>
            </w:pPr>
          </w:p>
        </w:tc>
        <w:tc>
          <w:tcPr>
            <w:tcW w:w="1276" w:type="dxa"/>
            <w:vMerge/>
          </w:tcPr>
          <w:p w:rsidR="009D21C5" w:rsidRPr="008F7397" w:rsidRDefault="009D21C5" w:rsidP="00951716">
            <w:pPr>
              <w:rPr>
                <w:rFonts w:asciiTheme="majorBidi" w:hAnsiTheme="majorBidi" w:cstheme="majorBidi"/>
                <w:sz w:val="24"/>
                <w:szCs w:val="24"/>
              </w:rPr>
            </w:pPr>
          </w:p>
        </w:tc>
        <w:tc>
          <w:tcPr>
            <w:tcW w:w="1842" w:type="dxa"/>
            <w:vMerge/>
          </w:tcPr>
          <w:p w:rsidR="009D21C5" w:rsidRPr="008F7397" w:rsidRDefault="009D21C5" w:rsidP="00951716">
            <w:pPr>
              <w:rPr>
                <w:rFonts w:asciiTheme="majorBidi" w:hAnsiTheme="majorBidi" w:cstheme="majorBidi"/>
                <w:sz w:val="24"/>
                <w:szCs w:val="24"/>
              </w:rPr>
            </w:pPr>
          </w:p>
        </w:tc>
        <w:tc>
          <w:tcPr>
            <w:tcW w:w="2268" w:type="dxa"/>
          </w:tcPr>
          <w:p w:rsidR="009D21C5" w:rsidRPr="008F7397" w:rsidRDefault="00D12BFF" w:rsidP="00951716">
            <w:pPr>
              <w:rPr>
                <w:rFonts w:asciiTheme="majorBidi" w:hAnsiTheme="majorBidi" w:cstheme="majorBidi"/>
                <w:sz w:val="24"/>
                <w:szCs w:val="24"/>
              </w:rPr>
            </w:pPr>
            <w:r>
              <w:rPr>
                <w:rFonts w:asciiTheme="majorBidi" w:hAnsiTheme="majorBidi" w:cstheme="majorBidi"/>
                <w:noProof/>
                <w:sz w:val="24"/>
                <w:szCs w:val="24"/>
                <w:lang w:val="en-GB" w:eastAsia="en-GB"/>
              </w:rPr>
              <mc:AlternateContent>
                <mc:Choice Requires="wps">
                  <w:drawing>
                    <wp:anchor distT="0" distB="0" distL="114300" distR="114300" simplePos="0" relativeHeight="251697152" behindDoc="0" locked="0" layoutInCell="1" allowOverlap="1">
                      <wp:simplePos x="0" y="0"/>
                      <wp:positionH relativeFrom="margin">
                        <wp:posOffset>-3810</wp:posOffset>
                      </wp:positionH>
                      <wp:positionV relativeFrom="margin">
                        <wp:posOffset>26035</wp:posOffset>
                      </wp:positionV>
                      <wp:extent cx="143510" cy="136525"/>
                      <wp:effectExtent l="38100" t="19050" r="27940" b="15875"/>
                      <wp:wrapNone/>
                      <wp:docPr id="13"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3510" cy="136525"/>
                              </a:xfrm>
                              <a:prstGeom prst="downArrow">
                                <a:avLst>
                                  <a:gd name="adj1" fmla="val 50000"/>
                                  <a:gd name="adj2" fmla="val 25000"/>
                                </a:avLst>
                              </a:prstGeom>
                              <a:solidFill>
                                <a:srgbClr val="00FF00"/>
                              </a:solidFill>
                              <a:ln w="9525">
                                <a:solidFill>
                                  <a:srgbClr val="00B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1B33A" id="AutoShape 102" o:spid="_x0000_s1026" type="#_x0000_t67" style="position:absolute;margin-left:-.3pt;margin-top:2.05pt;width:11.3pt;height:10.75pt;rotation:180;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" fillcolor="lime" strokecolor="#00b050">
                      <v:textbox style="layout-flow:vertical-ideographic"/>
                      <w10:wrap anchorx="margin" anchory="margin"/>
                    </v:shape>
                  </w:pict>
                </mc:Fallback>
              </mc:AlternateContent>
            </w:r>
            <w:r w:rsidR="009D21C5" w:rsidRPr="008F7397">
              <w:rPr>
                <w:rFonts w:asciiTheme="majorBidi" w:hAnsiTheme="majorBidi" w:cstheme="majorBidi"/>
                <w:sz w:val="24"/>
                <w:szCs w:val="24"/>
              </w:rPr>
              <w:t xml:space="preserve">     Significant effect on apoptosis</w:t>
            </w:r>
          </w:p>
        </w:tc>
        <w:tc>
          <w:tcPr>
            <w:tcW w:w="2129" w:type="dxa"/>
          </w:tcPr>
          <w:p w:rsidR="009D21C5" w:rsidRPr="008F7397" w:rsidRDefault="00D12BFF" w:rsidP="00951716">
            <w:pPr>
              <w:rPr>
                <w:rFonts w:asciiTheme="majorBidi" w:hAnsiTheme="majorBidi" w:cstheme="majorBidi"/>
                <w:sz w:val="24"/>
                <w:szCs w:val="24"/>
              </w:rPr>
            </w:pPr>
            <w:r>
              <w:rPr>
                <w:rFonts w:asciiTheme="majorBidi" w:hAnsiTheme="majorBidi" w:cstheme="majorBidi"/>
                <w:noProof/>
                <w:sz w:val="24"/>
                <w:szCs w:val="24"/>
                <w:lang w:val="en-GB" w:eastAsia="en-GB"/>
              </w:rPr>
              <mc:AlternateContent>
                <mc:Choice Requires="wps">
                  <w:drawing>
                    <wp:anchor distT="0" distB="0" distL="114300" distR="114300" simplePos="0" relativeHeight="251698176" behindDoc="0" locked="0" layoutInCell="1" allowOverlap="1">
                      <wp:simplePos x="0" y="0"/>
                      <wp:positionH relativeFrom="column">
                        <wp:posOffset>13335</wp:posOffset>
                      </wp:positionH>
                      <wp:positionV relativeFrom="margin">
                        <wp:posOffset>26670</wp:posOffset>
                      </wp:positionV>
                      <wp:extent cx="143510" cy="136525"/>
                      <wp:effectExtent l="38100" t="19050" r="27940" b="15875"/>
                      <wp:wrapNone/>
                      <wp:docPr id="12"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3510" cy="136525"/>
                              </a:xfrm>
                              <a:prstGeom prst="downArrow">
                                <a:avLst>
                                  <a:gd name="adj1" fmla="val 50000"/>
                                  <a:gd name="adj2" fmla="val 25000"/>
                                </a:avLst>
                              </a:prstGeom>
                              <a:solidFill>
                                <a:srgbClr val="00FF00"/>
                              </a:solidFill>
                              <a:ln w="9525">
                                <a:solidFill>
                                  <a:srgbClr val="00B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B282F" id="AutoShape 101" o:spid="_x0000_s1026" type="#_x0000_t67" style="position:absolute;margin-left:1.05pt;margin-top:2.1pt;width:11.3pt;height:10.75pt;rotation:18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" fillcolor="lime" strokecolor="#00b050">
                      <v:textbox style="layout-flow:vertical-ideographic"/>
                      <w10:wrap anchory="margin"/>
                    </v:shape>
                  </w:pict>
                </mc:Fallback>
              </mc:AlternateContent>
            </w:r>
            <w:r w:rsidR="009D21C5" w:rsidRPr="008F7397">
              <w:rPr>
                <w:rFonts w:asciiTheme="majorBidi" w:hAnsiTheme="majorBidi" w:cstheme="majorBidi"/>
                <w:sz w:val="24"/>
                <w:szCs w:val="24"/>
              </w:rPr>
              <w:t xml:space="preserve">     Significant effect on apoptosis (0 -&gt; 4)</w:t>
            </w:r>
          </w:p>
        </w:tc>
        <w:tc>
          <w:tcPr>
            <w:tcW w:w="990" w:type="dxa"/>
            <w:vMerge/>
          </w:tcPr>
          <w:p w:rsidR="009D21C5" w:rsidRPr="008F7397" w:rsidRDefault="009D21C5" w:rsidP="00951716">
            <w:pPr>
              <w:rPr>
                <w:rFonts w:asciiTheme="majorBidi" w:hAnsiTheme="majorBidi" w:cstheme="majorBidi"/>
                <w:sz w:val="24"/>
                <w:szCs w:val="24"/>
              </w:rPr>
            </w:pPr>
          </w:p>
        </w:tc>
      </w:tr>
    </w:tbl>
    <w:p w:rsidR="00F84FED" w:rsidRPr="008F7397" w:rsidRDefault="00F84FED" w:rsidP="0004568F">
      <w:pPr>
        <w:pageBreakBefore/>
        <w:spacing w:line="480" w:lineRule="auto"/>
        <w:jc w:val="both"/>
        <w:rPr>
          <w:rFonts w:asciiTheme="majorBidi" w:hAnsiTheme="majorBidi" w:cstheme="majorBidi"/>
          <w:sz w:val="24"/>
          <w:szCs w:val="24"/>
          <w:lang w:val="en-US"/>
        </w:rPr>
      </w:pPr>
      <w:r w:rsidRPr="008F7397">
        <w:rPr>
          <w:rFonts w:asciiTheme="majorBidi" w:hAnsiTheme="majorBidi" w:cstheme="majorBidi"/>
          <w:b/>
          <w:bCs/>
          <w:sz w:val="24"/>
          <w:szCs w:val="24"/>
        </w:rPr>
        <w:lastRenderedPageBreak/>
        <w:t>Table S</w:t>
      </w:r>
      <w:r w:rsidR="0004568F">
        <w:rPr>
          <w:rFonts w:asciiTheme="majorBidi" w:hAnsiTheme="majorBidi" w:cstheme="majorBidi"/>
          <w:b/>
          <w:bCs/>
          <w:sz w:val="24"/>
          <w:szCs w:val="24"/>
        </w:rPr>
        <w:t>12</w:t>
      </w:r>
      <w:r w:rsidRPr="008F7397">
        <w:rPr>
          <w:rFonts w:asciiTheme="majorBidi" w:hAnsiTheme="majorBidi" w:cstheme="majorBidi"/>
          <w:b/>
          <w:bCs/>
          <w:sz w:val="24"/>
          <w:szCs w:val="24"/>
        </w:rPr>
        <w:t xml:space="preserve">. </w:t>
      </w:r>
      <w:r w:rsidRPr="008F7397">
        <w:rPr>
          <w:rFonts w:asciiTheme="majorBidi" w:hAnsiTheme="majorBidi" w:cstheme="majorBidi"/>
          <w:b/>
          <w:bCs/>
          <w:sz w:val="24"/>
          <w:szCs w:val="24"/>
          <w:lang w:val="en-US"/>
        </w:rPr>
        <w:t>Combination</w:t>
      </w:r>
      <w:r w:rsidRPr="008F7397">
        <w:rPr>
          <w:rFonts w:asciiTheme="majorBidi" w:hAnsiTheme="majorBidi" w:cstheme="majorBidi"/>
          <w:sz w:val="24"/>
          <w:szCs w:val="24"/>
          <w:lang w:val="en-US"/>
        </w:rPr>
        <w:t xml:space="preserve"> </w:t>
      </w:r>
      <w:r w:rsidRPr="008F7397">
        <w:rPr>
          <w:rFonts w:asciiTheme="majorBidi" w:hAnsiTheme="majorBidi" w:cstheme="majorBidi"/>
          <w:b/>
          <w:bCs/>
          <w:sz w:val="24"/>
          <w:szCs w:val="24"/>
          <w:lang w:val="en-US"/>
        </w:rPr>
        <w:t>strategy</w:t>
      </w:r>
      <w:r w:rsidRPr="008F7397">
        <w:rPr>
          <w:rFonts w:asciiTheme="majorBidi" w:hAnsiTheme="majorBidi" w:cstheme="majorBidi"/>
          <w:sz w:val="24"/>
          <w:szCs w:val="24"/>
          <w:lang w:val="en-US"/>
        </w:rPr>
        <w:t xml:space="preserve"> showing predicted activity for combinations of PI3K inhibitor, AKT inhibitor, MEK inhibitor, and AKT inhibitor with the PIM inhibitor AZD1208 across the 4 AML cell lines. </w:t>
      </w:r>
    </w:p>
    <w:tbl>
      <w:tblPr>
        <w:tblStyle w:val="TableGrid"/>
        <w:tblW w:w="8755" w:type="dxa"/>
        <w:jc w:val="center"/>
        <w:tblLayout w:type="fixed"/>
        <w:tblLook w:val="04A0" w:firstRow="1" w:lastRow="0" w:firstColumn="1" w:lastColumn="0" w:noHBand="0" w:noVBand="1"/>
      </w:tblPr>
      <w:tblGrid>
        <w:gridCol w:w="1076"/>
        <w:gridCol w:w="308"/>
        <w:gridCol w:w="1102"/>
        <w:gridCol w:w="174"/>
        <w:gridCol w:w="142"/>
        <w:gridCol w:w="1392"/>
        <w:gridCol w:w="1603"/>
        <w:gridCol w:w="123"/>
        <w:gridCol w:w="1251"/>
        <w:gridCol w:w="25"/>
        <w:gridCol w:w="1559"/>
      </w:tblGrid>
      <w:tr w:rsidR="00F84FED" w:rsidRPr="008F7397" w:rsidTr="00303C4A">
        <w:trPr>
          <w:cantSplit/>
          <w:jc w:val="center"/>
        </w:trPr>
        <w:tc>
          <w:tcPr>
            <w:tcW w:w="1076" w:type="dxa"/>
            <w:vMerge w:val="restart"/>
          </w:tcPr>
          <w:p w:rsidR="00F84FED" w:rsidRPr="008F7397" w:rsidRDefault="00F84FED" w:rsidP="00017D03">
            <w:pPr>
              <w:rPr>
                <w:rFonts w:asciiTheme="majorBidi" w:hAnsiTheme="majorBidi" w:cstheme="majorBidi"/>
                <w:b/>
                <w:bCs/>
                <w:sz w:val="24"/>
                <w:szCs w:val="24"/>
              </w:rPr>
            </w:pPr>
            <w:r w:rsidRPr="008F7397">
              <w:rPr>
                <w:rFonts w:asciiTheme="majorBidi" w:hAnsiTheme="majorBidi" w:cstheme="majorBidi"/>
                <w:b/>
                <w:bCs/>
                <w:sz w:val="24"/>
                <w:szCs w:val="24"/>
              </w:rPr>
              <w:lastRenderedPageBreak/>
              <w:t>Cell line</w:t>
            </w:r>
          </w:p>
        </w:tc>
        <w:tc>
          <w:tcPr>
            <w:tcW w:w="1584" w:type="dxa"/>
            <w:gridSpan w:val="3"/>
            <w:vMerge w:val="restart"/>
          </w:tcPr>
          <w:p w:rsidR="00F84FED" w:rsidRPr="008F7397" w:rsidRDefault="00F84FED" w:rsidP="00017D03">
            <w:pPr>
              <w:rPr>
                <w:rFonts w:asciiTheme="majorBidi" w:hAnsiTheme="majorBidi" w:cstheme="majorBidi"/>
                <w:b/>
                <w:bCs/>
                <w:sz w:val="24"/>
                <w:szCs w:val="24"/>
              </w:rPr>
            </w:pPr>
            <w:r w:rsidRPr="008F7397">
              <w:rPr>
                <w:rFonts w:asciiTheme="majorBidi" w:hAnsiTheme="majorBidi" w:cstheme="majorBidi"/>
                <w:b/>
                <w:bCs/>
                <w:sz w:val="24"/>
                <w:szCs w:val="24"/>
              </w:rPr>
              <w:t>Inhibitors</w:t>
            </w:r>
          </w:p>
        </w:tc>
        <w:tc>
          <w:tcPr>
            <w:tcW w:w="4536" w:type="dxa"/>
            <w:gridSpan w:val="6"/>
          </w:tcPr>
          <w:p w:rsidR="00F84FED" w:rsidRPr="008F7397" w:rsidRDefault="00F84FED" w:rsidP="00017D03">
            <w:pPr>
              <w:jc w:val="center"/>
              <w:rPr>
                <w:rFonts w:asciiTheme="majorBidi" w:hAnsiTheme="majorBidi" w:cstheme="majorBidi"/>
                <w:b/>
                <w:bCs/>
                <w:sz w:val="24"/>
                <w:szCs w:val="24"/>
              </w:rPr>
            </w:pPr>
            <w:r w:rsidRPr="008F7397">
              <w:rPr>
                <w:rFonts w:asciiTheme="majorBidi" w:hAnsiTheme="majorBidi" w:cstheme="majorBidi"/>
                <w:b/>
                <w:bCs/>
                <w:sz w:val="24"/>
                <w:szCs w:val="24"/>
              </w:rPr>
              <w:t>In-Silico Predictions</w:t>
            </w:r>
          </w:p>
        </w:tc>
        <w:tc>
          <w:tcPr>
            <w:tcW w:w="1559" w:type="dxa"/>
            <w:vMerge w:val="restart"/>
          </w:tcPr>
          <w:p w:rsidR="00F84FED" w:rsidRPr="008F7397" w:rsidRDefault="00F84FED" w:rsidP="00017D03">
            <w:pPr>
              <w:jc w:val="center"/>
              <w:rPr>
                <w:rFonts w:asciiTheme="majorBidi" w:hAnsiTheme="majorBidi" w:cstheme="majorBidi"/>
                <w:b/>
                <w:bCs/>
                <w:sz w:val="24"/>
                <w:szCs w:val="24"/>
              </w:rPr>
            </w:pPr>
            <w:r w:rsidRPr="008F7397">
              <w:rPr>
                <w:rFonts w:asciiTheme="majorBidi" w:hAnsiTheme="majorBidi" w:cstheme="majorBidi"/>
                <w:b/>
                <w:bCs/>
                <w:sz w:val="24"/>
                <w:szCs w:val="24"/>
              </w:rPr>
              <w:t>Supporting Literature</w:t>
            </w:r>
          </w:p>
        </w:tc>
      </w:tr>
      <w:tr w:rsidR="00F84FED" w:rsidRPr="008F7397" w:rsidTr="00303C4A">
        <w:trPr>
          <w:tblHeader/>
          <w:jc w:val="center"/>
        </w:trPr>
        <w:tc>
          <w:tcPr>
            <w:tcW w:w="1076" w:type="dxa"/>
            <w:vMerge/>
          </w:tcPr>
          <w:p w:rsidR="00F84FED" w:rsidRPr="008F7397" w:rsidRDefault="00F84FED" w:rsidP="00017D03">
            <w:pPr>
              <w:rPr>
                <w:rFonts w:asciiTheme="majorBidi" w:hAnsiTheme="majorBidi" w:cstheme="majorBidi"/>
                <w:b/>
                <w:bCs/>
                <w:sz w:val="24"/>
                <w:szCs w:val="24"/>
              </w:rPr>
            </w:pPr>
          </w:p>
        </w:tc>
        <w:tc>
          <w:tcPr>
            <w:tcW w:w="1584" w:type="dxa"/>
            <w:gridSpan w:val="3"/>
            <w:vMerge/>
          </w:tcPr>
          <w:p w:rsidR="00F84FED" w:rsidRPr="008F7397" w:rsidRDefault="00F84FED" w:rsidP="00017D03">
            <w:pPr>
              <w:rPr>
                <w:rFonts w:asciiTheme="majorBidi" w:hAnsiTheme="majorBidi" w:cstheme="majorBidi"/>
                <w:b/>
                <w:bCs/>
                <w:sz w:val="24"/>
                <w:szCs w:val="24"/>
              </w:rPr>
            </w:pPr>
          </w:p>
        </w:tc>
        <w:tc>
          <w:tcPr>
            <w:tcW w:w="1534" w:type="dxa"/>
            <w:gridSpan w:val="2"/>
          </w:tcPr>
          <w:p w:rsidR="00F84FED" w:rsidRPr="008F7397" w:rsidRDefault="00F84FED" w:rsidP="00017D03">
            <w:pPr>
              <w:rPr>
                <w:rFonts w:asciiTheme="majorBidi" w:hAnsiTheme="majorBidi" w:cstheme="majorBidi"/>
                <w:b/>
                <w:bCs/>
                <w:sz w:val="24"/>
                <w:szCs w:val="24"/>
              </w:rPr>
            </w:pPr>
            <w:r w:rsidRPr="008F7397">
              <w:rPr>
                <w:rFonts w:asciiTheme="majorBidi" w:hAnsiTheme="majorBidi" w:cstheme="majorBidi"/>
                <w:b/>
                <w:bCs/>
                <w:sz w:val="24"/>
                <w:szCs w:val="24"/>
              </w:rPr>
              <w:t>Phosphorylation activity</w:t>
            </w:r>
          </w:p>
        </w:tc>
        <w:tc>
          <w:tcPr>
            <w:tcW w:w="1726" w:type="dxa"/>
            <w:gridSpan w:val="2"/>
          </w:tcPr>
          <w:p w:rsidR="00F84FED" w:rsidRPr="008F7397" w:rsidRDefault="00F84FED" w:rsidP="00017D03">
            <w:pPr>
              <w:rPr>
                <w:rFonts w:asciiTheme="majorBidi" w:hAnsiTheme="majorBidi" w:cstheme="majorBidi"/>
                <w:b/>
                <w:bCs/>
                <w:sz w:val="24"/>
                <w:szCs w:val="24"/>
              </w:rPr>
            </w:pPr>
            <w:r w:rsidRPr="008F7397">
              <w:rPr>
                <w:rFonts w:asciiTheme="majorBidi" w:hAnsiTheme="majorBidi" w:cstheme="majorBidi"/>
                <w:b/>
                <w:bCs/>
                <w:sz w:val="24"/>
                <w:szCs w:val="24"/>
              </w:rPr>
              <w:t>Proliferation</w:t>
            </w:r>
          </w:p>
        </w:tc>
        <w:tc>
          <w:tcPr>
            <w:tcW w:w="1276" w:type="dxa"/>
            <w:gridSpan w:val="2"/>
          </w:tcPr>
          <w:p w:rsidR="00F84FED" w:rsidRPr="008F7397" w:rsidRDefault="00F84FED" w:rsidP="00017D03">
            <w:pPr>
              <w:rPr>
                <w:rFonts w:asciiTheme="majorBidi" w:hAnsiTheme="majorBidi" w:cstheme="majorBidi"/>
                <w:b/>
                <w:bCs/>
                <w:sz w:val="24"/>
                <w:szCs w:val="24"/>
              </w:rPr>
            </w:pPr>
            <w:r w:rsidRPr="008F7397">
              <w:rPr>
                <w:rFonts w:asciiTheme="majorBidi" w:hAnsiTheme="majorBidi" w:cstheme="majorBidi"/>
                <w:b/>
                <w:bCs/>
                <w:sz w:val="24"/>
                <w:szCs w:val="24"/>
              </w:rPr>
              <w:t>Apoptosis</w:t>
            </w:r>
          </w:p>
        </w:tc>
        <w:tc>
          <w:tcPr>
            <w:tcW w:w="1559" w:type="dxa"/>
            <w:vMerge/>
          </w:tcPr>
          <w:p w:rsidR="00F84FED" w:rsidRPr="008F7397" w:rsidRDefault="00F84FED" w:rsidP="00017D03">
            <w:pPr>
              <w:rPr>
                <w:rFonts w:asciiTheme="majorBidi" w:hAnsiTheme="majorBidi" w:cstheme="majorBidi"/>
                <w:b/>
                <w:bCs/>
                <w:sz w:val="24"/>
                <w:szCs w:val="24"/>
              </w:rPr>
            </w:pPr>
          </w:p>
        </w:tc>
      </w:tr>
      <w:tr w:rsidR="00F84FED" w:rsidRPr="008F7397" w:rsidTr="00303C4A">
        <w:trPr>
          <w:jc w:val="center"/>
        </w:trPr>
        <w:tc>
          <w:tcPr>
            <w:tcW w:w="1076" w:type="dxa"/>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sz w:val="24"/>
                <w:szCs w:val="24"/>
              </w:rPr>
              <w:t>MV411</w:t>
            </w:r>
          </w:p>
        </w:tc>
        <w:tc>
          <w:tcPr>
            <w:tcW w:w="1584" w:type="dxa"/>
            <w:gridSpan w:val="3"/>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sz w:val="24"/>
                <w:szCs w:val="24"/>
              </w:rPr>
              <w:t>PI3K</w:t>
            </w:r>
          </w:p>
        </w:tc>
        <w:tc>
          <w:tcPr>
            <w:tcW w:w="1534" w:type="dxa"/>
            <w:gridSpan w:val="2"/>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sz w:val="24"/>
                <w:szCs w:val="24"/>
              </w:rPr>
              <w:t>AKT might show some decreased activity</w:t>
            </w:r>
          </w:p>
        </w:tc>
        <w:tc>
          <w:tcPr>
            <w:tcW w:w="1726" w:type="dxa"/>
            <w:gridSpan w:val="2"/>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sz w:val="24"/>
                <w:szCs w:val="24"/>
              </w:rPr>
              <w:t>Unchanged levels of proliferation</w:t>
            </w:r>
          </w:p>
        </w:tc>
        <w:tc>
          <w:tcPr>
            <w:tcW w:w="1276" w:type="dxa"/>
            <w:gridSpan w:val="2"/>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sz w:val="24"/>
                <w:szCs w:val="24"/>
              </w:rPr>
              <w:t>Unchanged levels of apoptosis</w:t>
            </w:r>
          </w:p>
        </w:tc>
        <w:tc>
          <w:tcPr>
            <w:tcW w:w="1559" w:type="dxa"/>
          </w:tcPr>
          <w:p w:rsidR="00F84FED" w:rsidRPr="008F7397" w:rsidRDefault="00760C56" w:rsidP="005D7A0D">
            <w:pPr>
              <w:rPr>
                <w:rFonts w:asciiTheme="majorBidi" w:hAnsiTheme="majorBidi" w:cstheme="majorBidi"/>
                <w:sz w:val="24"/>
                <w:szCs w:val="24"/>
              </w:rPr>
            </w:pPr>
            <w:r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nFCdd3mE","properties":{"formattedCitation":"[46]","plainCitation":"[46]"},"citationItems":[{"id":318,"uris":["http://zotero.org/users/2553926/items/MIVM9ATZ"],"uri":["http://zotero.org/users/2553926/items/MIVM9ATZ"],"itemData":{"id":318,"type":"article-journal","title":"Mechanisms of apoptosis induction by simultaneous inhibition of PI3K and FLT3-ITD in AML cells in the hypoxic bone marrow microenvironment","container-title":"Cancer Letters","page":"45-58","volume":"329","issue":"1","source":"PubMed","abstract":"We investigated the antileukemia effects and molecular mechanisms of apoptosis induction by simultaneous blockade of PI3K and mutant FLT3 in AML cells grown under hypoxia in co-cultures with bone marrow stromal cells. Combined treatment with selective class I PI3K inhibitor GDC-0941 and sorafenib reversed the protective effects of bone marrow stromal cells on FLT3-mutant AML cells in hypoxia, which was associated with downregulation of Pim-1 and Mcl-1 expression levels. These findings suggest that combined inhibition of PI3K and FLT3-ITD may constitute a targeted approach to eradicating chemoresistant AML cells sequestered in hypoxic bone marrow niches.","DOI":"10.1016/j.canlet.2012.09.020","ISSN":"1872-7980","note":"PMID: 23036488\nPMCID: PMC3572533","journalAbbreviation":"Cancer Lett.","language":"eng","author":[{"family":"Jin","given":"Linhua"},{"family":"Tabe","given":"Yoko"},{"family":"Lu","given":"Hongbo"},{"family":"Borthakur","given":"Gautam"},{"family":"Miida","given":"Takashi"},{"family":"Kantarjian","given":"Hagop"},{"family":"Andreeff","given":"Michael"},{"family":"Konopleva","given":"Marina"}],"issued":{"date-parts":[["2013",2,1]]}}}],"schema":"https://github.com/citation-style-language/schema/raw/master/csl-citation.json"} </w:instrText>
            </w:r>
            <w:r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[46]</w:t>
            </w:r>
            <w:r w:rsidRPr="008F7397">
              <w:rPr>
                <w:rFonts w:asciiTheme="majorBidi" w:hAnsiTheme="majorBidi" w:cstheme="majorBidi"/>
                <w:sz w:val="24"/>
                <w:szCs w:val="24"/>
              </w:rPr>
              <w:fldChar w:fldCharType="end"/>
            </w:r>
          </w:p>
        </w:tc>
      </w:tr>
      <w:tr w:rsidR="00F84FED" w:rsidRPr="008F7397" w:rsidTr="00303C4A">
        <w:trPr>
          <w:jc w:val="center"/>
        </w:trPr>
        <w:tc>
          <w:tcPr>
            <w:tcW w:w="1076" w:type="dxa"/>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sz w:val="24"/>
                <w:szCs w:val="24"/>
              </w:rPr>
              <w:t>MV411</w:t>
            </w:r>
          </w:p>
        </w:tc>
        <w:tc>
          <w:tcPr>
            <w:tcW w:w="1584" w:type="dxa"/>
            <w:gridSpan w:val="3"/>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sz w:val="24"/>
                <w:szCs w:val="24"/>
              </w:rPr>
              <w:t>PI3K+PIMs</w:t>
            </w:r>
          </w:p>
        </w:tc>
        <w:tc>
          <w:tcPr>
            <w:tcW w:w="1534" w:type="dxa"/>
            <w:gridSpan w:val="2"/>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sz w:val="24"/>
                <w:szCs w:val="24"/>
              </w:rPr>
              <w:t>AKT should show decreased activity</w:t>
            </w:r>
          </w:p>
        </w:tc>
        <w:tc>
          <w:tcPr>
            <w:tcW w:w="1726" w:type="dxa"/>
            <w:gridSpan w:val="2"/>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sz w:val="24"/>
                <w:szCs w:val="24"/>
              </w:rPr>
              <w:t>Decreased proliferation</w:t>
            </w:r>
          </w:p>
        </w:tc>
        <w:tc>
          <w:tcPr>
            <w:tcW w:w="1276" w:type="dxa"/>
            <w:gridSpan w:val="2"/>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sz w:val="24"/>
                <w:szCs w:val="24"/>
              </w:rPr>
              <w:t>Increased apoptosis (even with respect to PIMs as single agent)</w:t>
            </w:r>
          </w:p>
        </w:tc>
        <w:tc>
          <w:tcPr>
            <w:tcW w:w="1559" w:type="dxa"/>
          </w:tcPr>
          <w:p w:rsidR="00F84FED" w:rsidRPr="008F7397" w:rsidRDefault="00F84FED" w:rsidP="00017D03">
            <w:pPr>
              <w:jc w:val="center"/>
              <w:rPr>
                <w:rFonts w:asciiTheme="majorBidi" w:hAnsiTheme="majorBidi" w:cstheme="majorBidi"/>
                <w:sz w:val="24"/>
                <w:szCs w:val="24"/>
              </w:rPr>
            </w:pPr>
            <w:r w:rsidRPr="008F7397">
              <w:rPr>
                <w:rFonts w:asciiTheme="majorBidi" w:hAnsiTheme="majorBidi" w:cstheme="majorBidi"/>
                <w:sz w:val="24"/>
                <w:szCs w:val="24"/>
              </w:rPr>
              <w:t>No experimental data found in literature</w:t>
            </w:r>
          </w:p>
        </w:tc>
      </w:tr>
      <w:tr w:rsidR="00F84FED" w:rsidRPr="008F7397" w:rsidTr="00303C4A">
        <w:trPr>
          <w:jc w:val="center"/>
        </w:trPr>
        <w:tc>
          <w:tcPr>
            <w:tcW w:w="1076" w:type="dxa"/>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sz w:val="24"/>
                <w:szCs w:val="24"/>
              </w:rPr>
              <w:t>MV411</w:t>
            </w:r>
          </w:p>
        </w:tc>
        <w:tc>
          <w:tcPr>
            <w:tcW w:w="1584" w:type="dxa"/>
            <w:gridSpan w:val="3"/>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sz w:val="24"/>
                <w:szCs w:val="24"/>
              </w:rPr>
              <w:t xml:space="preserve">AKT </w:t>
            </w:r>
          </w:p>
        </w:tc>
        <w:tc>
          <w:tcPr>
            <w:tcW w:w="1534" w:type="dxa"/>
            <w:gridSpan w:val="2"/>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sz w:val="24"/>
                <w:szCs w:val="24"/>
              </w:rPr>
              <w:t>The model shows no change in PRAS40 and S6</w:t>
            </w:r>
          </w:p>
        </w:tc>
        <w:tc>
          <w:tcPr>
            <w:tcW w:w="1726" w:type="dxa"/>
            <w:gridSpan w:val="2"/>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sz w:val="24"/>
                <w:szCs w:val="24"/>
              </w:rPr>
              <w:t>Unchanged levels of proliferation</w:t>
            </w:r>
          </w:p>
        </w:tc>
        <w:tc>
          <w:tcPr>
            <w:tcW w:w="1276" w:type="dxa"/>
            <w:gridSpan w:val="2"/>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sz w:val="24"/>
                <w:szCs w:val="24"/>
              </w:rPr>
              <w:t>None to slight increased apoptosis, depending on S6 activity</w:t>
            </w:r>
          </w:p>
        </w:tc>
        <w:tc>
          <w:tcPr>
            <w:tcW w:w="1559" w:type="dxa"/>
          </w:tcPr>
          <w:p w:rsidR="00F84FED" w:rsidRPr="008F7397" w:rsidRDefault="00760C56" w:rsidP="005D7A0D">
            <w:pPr>
              <w:rPr>
                <w:rFonts w:asciiTheme="majorBidi" w:hAnsiTheme="majorBidi" w:cstheme="majorBidi"/>
                <w:sz w:val="24"/>
                <w:szCs w:val="24"/>
              </w:rPr>
            </w:pPr>
            <w:r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vDU4y6Tz","properties":{"formattedCitation":"[50]","plainCitation":"[50]"},"citationItems":[{"id":322,"uris":["http://zotero.org/users/2553926/items/C9C5WW4G"],"uri":["http://zotero.org/users/2553926/items/C9C5WW4G"],"itemData":{"id":322,"type":"article-journal","title":"PIM and AKT kinase inhibitors show synergistic cytotoxicity in acute myeloid leukaemia that is associated with convergence on mTOR and MCL1 pathways","container-title":"British Journal of Haematology","page":"69-79","volume":"167","issue":"1","source":"PubMed","abstract":"PIM kinases (PIM1, 2 and 3) are involved in cell proliferation and survival signalling and are emerging targets for the therapy of various malignancies. We found that a significant proportion of primary acute myeloid leukaemia (AML) samples showed PIM1 and PIM2 expression by quantitative reverse transcription polymerase chain reaction. Therefore, we investigated the effects of a novel ATP-competitive pan-PIM inhibitor, AZD1897, on AML cell growth and survival. PIM inhibition showed limited single agent activity in AML cell lines and primary AML cells, including those with or without FLT3-internal tandem duplication (ITD) mutation. However, significant synergy was seen when AZD1897 was combined with the Akt inhibitor AZD5363, a compound that is in early-phase clinical trials. AML cells from putative leukaemia stem cell subsets, including CD34+38- and CD34+38+ fractions, were equivalently affected by dual PIM/Akt inhibition when compared with bulk tumour cells. Analysis of downstream signalling pathways showed that combined PIM/Akt inhibition downregulated mTOR outputs (phosphorylation of 4EBP1 and S6) and markedly reduced levels of the anti-apoptotic protein MCL1. The combination of PIM and Akt inhibition holds promise for the treatment of AML.","DOI":"10.1111/bjh.13013","ISSN":"1365-2141","note":"PMID: 24975213","journalAbbreviation":"Br. J. Haematol.","language":"eng","author":[{"family":"Meja","given":"Koremu"},{"family":"Stengel","given":"Chloe"},{"family":"Sellar","given":"Rob"},{"family":"Huszar","given":"Dennis"},{"family":"Davies","given":"Barry R."},{"family":"Gale","given":"Rosemary E."},{"family":"Linch","given":"David C."},{"family":"Khwaja","given":"Asim"}],"issued":{"date-parts":[["2014",10]]}}}],"schema":"https://github.com/citation-style-language/schema/raw/master/csl-citation.json"} </w:instrText>
            </w:r>
            <w:r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[50]</w:t>
            </w:r>
            <w:r w:rsidRPr="008F7397">
              <w:rPr>
                <w:rFonts w:asciiTheme="majorBidi" w:hAnsiTheme="majorBidi" w:cstheme="majorBidi"/>
                <w:sz w:val="24"/>
                <w:szCs w:val="24"/>
              </w:rPr>
              <w:fldChar w:fldCharType="end"/>
            </w:r>
          </w:p>
        </w:tc>
      </w:tr>
      <w:tr w:rsidR="00F84FED" w:rsidRPr="008F7397" w:rsidTr="00303C4A">
        <w:trPr>
          <w:jc w:val="center"/>
        </w:trPr>
        <w:tc>
          <w:tcPr>
            <w:tcW w:w="1076" w:type="dxa"/>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sz w:val="24"/>
                <w:szCs w:val="24"/>
              </w:rPr>
              <w:t>MV411</w:t>
            </w:r>
          </w:p>
        </w:tc>
        <w:tc>
          <w:tcPr>
            <w:tcW w:w="1584" w:type="dxa"/>
            <w:gridSpan w:val="3"/>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sz w:val="24"/>
                <w:szCs w:val="24"/>
              </w:rPr>
              <w:t>AKT+PIMs</w:t>
            </w:r>
          </w:p>
        </w:tc>
        <w:tc>
          <w:tcPr>
            <w:tcW w:w="1534" w:type="dxa"/>
            <w:gridSpan w:val="2"/>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sz w:val="24"/>
                <w:szCs w:val="24"/>
              </w:rPr>
              <w:t>PRAS40 and S6 activity shut down</w:t>
            </w:r>
          </w:p>
        </w:tc>
        <w:tc>
          <w:tcPr>
            <w:tcW w:w="1726" w:type="dxa"/>
            <w:gridSpan w:val="2"/>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sz w:val="24"/>
                <w:szCs w:val="24"/>
              </w:rPr>
              <w:t>Decreased proliferation</w:t>
            </w:r>
          </w:p>
        </w:tc>
        <w:tc>
          <w:tcPr>
            <w:tcW w:w="1276" w:type="dxa"/>
            <w:gridSpan w:val="2"/>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sz w:val="24"/>
                <w:szCs w:val="24"/>
              </w:rPr>
              <w:t>Increased apoptosis</w:t>
            </w:r>
          </w:p>
        </w:tc>
        <w:tc>
          <w:tcPr>
            <w:tcW w:w="1559" w:type="dxa"/>
          </w:tcPr>
          <w:p w:rsidR="00F84FED" w:rsidRPr="008F7397" w:rsidRDefault="00760C56" w:rsidP="005D7A0D">
            <w:pPr>
              <w:rPr>
                <w:rFonts w:asciiTheme="majorBidi" w:hAnsiTheme="majorBidi" w:cstheme="majorBidi"/>
                <w:sz w:val="24"/>
                <w:szCs w:val="24"/>
              </w:rPr>
            </w:pPr>
            <w:r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PdcK0xOn","properties":{"formattedCitation":"[50]","plainCitation":"[50]"},"citationItems":[{"id":322,"uris":["http://zotero.org/users/2553926/items/C9C5WW4G"],"uri":["http://zotero.org/users/2553926/items/C9C5WW4G"],"itemData":{"id":322,"type":"article-journal","title":"PIM and AKT kinase inhibitors show synergistic cytotoxicity in acute myeloid leukaemia that is associated with convergence on mTOR and MCL1 pathways","container-title":"British Journal of Haematology","page":"69-79","volume":"167","issue":"1","source":"PubMed","abstract":"PIM kinases (PIM1, 2 and 3) are involved in cell proliferation and survival signalling and are emerging targets for the therapy of various malignancies. We found that a significant proportion of primary acute myeloid leukaemia (AML) samples showed PIM1 and PIM2 expression by quantitative reverse transcription polymerase chain reaction. Therefore, we investigated the effects of a novel ATP-competitive pan-PIM inhibitor, AZD1897, on AML cell growth and survival. PIM inhibition showed limited single agent activity in AML cell lines and primary AML cells, including those with or without FLT3-internal tandem duplication (ITD) mutation. However, significant synergy was seen when AZD1897 was combined with the Akt inhibitor AZD5363, a compound that is in early-phase clinical trials. AML cells from putative leukaemia stem cell subsets, including CD34+38- and CD34+38+ fractions, were equivalently affected by dual PIM/Akt inhibition when compared with bulk tumour cells. Analysis of downstream signalling pathways showed that combined PIM/Akt inhibition downregulated mTOR outputs (phosphorylation of 4EBP1 and S6) and markedly reduced levels of the anti-apoptotic protein MCL1. The combination of PIM and Akt inhibition holds promise for the treatment of AML.","DOI":"10.1111/bjh.13013","ISSN":"1365-2141","note":"PMID: 24975213","journalAbbreviation":"Br. J. Haematol.","language":"eng","author":[{"family":"Meja","given":"Koremu"},{"family":"Stengel","given":"Chloe"},{"family":"Sellar","given":"Rob"},{"family":"Huszar","given":"Dennis"},{"family":"Davies","given":"Barry R."},{"family":"Gale","given":"Rosemary E."},{"family":"Linch","given":"David C."},{"family":"Khwaja","given":"Asim"}],"issued":{"date-parts":[["2014",10]]}}}],"schema":"https://github.com/citation-style-language/schema/raw/master/csl-citation.json"} </w:instrText>
            </w:r>
            <w:r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[50]</w:t>
            </w:r>
            <w:r w:rsidRPr="008F7397">
              <w:rPr>
                <w:rFonts w:asciiTheme="majorBidi" w:hAnsiTheme="majorBidi" w:cstheme="majorBidi"/>
                <w:sz w:val="24"/>
                <w:szCs w:val="24"/>
              </w:rPr>
              <w:fldChar w:fldCharType="end"/>
            </w:r>
          </w:p>
        </w:tc>
      </w:tr>
      <w:tr w:rsidR="00F84FED" w:rsidRPr="008F7397" w:rsidTr="00303C4A">
        <w:trPr>
          <w:jc w:val="center"/>
        </w:trPr>
        <w:tc>
          <w:tcPr>
            <w:tcW w:w="1076" w:type="dxa"/>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sz w:val="24"/>
                <w:szCs w:val="24"/>
              </w:rPr>
              <w:t>MV411</w:t>
            </w:r>
          </w:p>
        </w:tc>
        <w:tc>
          <w:tcPr>
            <w:tcW w:w="1584" w:type="dxa"/>
            <w:gridSpan w:val="3"/>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sz w:val="24"/>
                <w:szCs w:val="24"/>
              </w:rPr>
              <w:t>MEK</w:t>
            </w:r>
          </w:p>
        </w:tc>
        <w:tc>
          <w:tcPr>
            <w:tcW w:w="1534" w:type="dxa"/>
            <w:gridSpan w:val="2"/>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sz w:val="24"/>
                <w:szCs w:val="24"/>
              </w:rPr>
              <w:t>Reduced ERK and RSK activity</w:t>
            </w:r>
          </w:p>
        </w:tc>
        <w:tc>
          <w:tcPr>
            <w:tcW w:w="1726" w:type="dxa"/>
            <w:gridSpan w:val="2"/>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sz w:val="24"/>
                <w:szCs w:val="24"/>
              </w:rPr>
              <w:t>Decreased proliferation</w:t>
            </w:r>
          </w:p>
        </w:tc>
        <w:tc>
          <w:tcPr>
            <w:tcW w:w="1276" w:type="dxa"/>
            <w:gridSpan w:val="2"/>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sz w:val="24"/>
                <w:szCs w:val="24"/>
              </w:rPr>
              <w:t>Unable to induce apoptosis</w:t>
            </w:r>
          </w:p>
        </w:tc>
        <w:tc>
          <w:tcPr>
            <w:tcW w:w="1559" w:type="dxa"/>
          </w:tcPr>
          <w:p w:rsidR="00F84FED" w:rsidRPr="008F7397" w:rsidRDefault="00F84FED" w:rsidP="005D7A0D">
            <w:pPr>
              <w:rPr>
                <w:rFonts w:asciiTheme="majorBidi" w:hAnsiTheme="majorBidi" w:cstheme="majorBidi"/>
                <w:sz w:val="24"/>
                <w:szCs w:val="24"/>
              </w:rPr>
            </w:pPr>
            <w:r w:rsidRPr="008F7397">
              <w:rPr>
                <w:rFonts w:asciiTheme="majorBidi" w:hAnsiTheme="majorBidi" w:cstheme="majorBidi"/>
                <w:sz w:val="24"/>
                <w:szCs w:val="24"/>
              </w:rPr>
              <w:t>No experimental data found in literature,</w:t>
            </w:r>
            <w:r w:rsidR="002E15BB" w:rsidRPr="008F7397">
              <w:rPr>
                <w:rFonts w:asciiTheme="majorBidi" w:hAnsiTheme="majorBidi" w:cstheme="majorBidi"/>
                <w:sz w:val="24"/>
                <w:szCs w:val="24"/>
              </w:rPr>
              <w:t xml:space="preserve">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cDP9oqDs","properties":{"formattedCitation":"[49]","plainCitation":"[49]"},"citationItems":[{"id":467,"uris":["http://zotero.org/users/2553926/items/GUJAB348"],"uri":["http://zotero.org/users/2553926/items/GUJAB348"],"itemData":{"id":467,"type":"article-journal","title":"Inhibition of MEK/ERK signaling induces apoptosis of acute myelogenous leukemia cells via inhibition of eukaryotic initiation factor 4E-binding protein 1 and down-regulation of Mcl-1","container-title":"Apoptosis: An International Journal on Programmed Cell Death","page":"795-804","volume":"15","issue":"7","source":"PubMed","abstract":"We previously showed that the MEK inhibitor AZD6244 induced apoptosis in acute myelogenous leukemia (AML) HL60 cells. However, the mechanisms of AZD6244 to induce apoptosis remain to be fully elucidated. This study found that exposure of HL60 cells to AZD6244 down-regulated the levels of phosphor (p)-4E-binding protein 1 (4E-BP1), a substrate of mammalian target of rapamycin complex 1 (mTORC1), and anti-apoptotic protein Mcl-1. On the other hand, exposure of EOL-1 and MOLM13 cells to AZD6244 failed to induce apoptosis and levels of p-4E-BP1 and Mcl-1 were not down-regulated in these cells. These observations prompted us to hypothesize that down-regulation od 4E-BP1 and Mcl-1 might play an important role in AZD6244-mediated apoptosis. As expected, down-regulation of 4E-BP1 by an siRNA sensitized EOL-1 cells to AZD6244-mediated apoptosis in parallel with down-regulation of Mcl-1. Moreover, we found that blockade of mTORC1 by RAD001 synergistically enhanced the action of AZD6244 in leukemia cells.","DOI":"10.1007/s10495-010-0483-y","ISSN":"1573-675X","note":"PMID: 20221697","journalAbbreviation":"Apoptosis","language":"eng","author":[{"family":"Nishioka","given":"Chie"},{"family":"Ikezoe","given":"Takayuki"},{"family":"Yang","given":"Jing"},{"family":"Yokoyama","given":"Akihito"}],"issued":{"date-parts":[["2010",7]]}}}],"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[49]</w:t>
            </w:r>
            <w:r w:rsidR="00760C56" w:rsidRPr="008F7397">
              <w:rPr>
                <w:rFonts w:asciiTheme="majorBidi" w:hAnsiTheme="majorBidi" w:cstheme="majorBidi"/>
                <w:sz w:val="24"/>
                <w:szCs w:val="24"/>
              </w:rPr>
              <w:fldChar w:fldCharType="end"/>
            </w:r>
            <w:r w:rsidR="00163C82" w:rsidRPr="008F7397">
              <w:rPr>
                <w:rFonts w:asciiTheme="majorBidi" w:hAnsiTheme="majorBidi" w:cstheme="majorBidi"/>
                <w:sz w:val="24"/>
                <w:szCs w:val="24"/>
              </w:rPr>
              <w:t xml:space="preserve"> </w:t>
            </w:r>
            <w:r w:rsidRPr="008F7397">
              <w:rPr>
                <w:rFonts w:asciiTheme="majorBidi" w:hAnsiTheme="majorBidi" w:cstheme="majorBidi"/>
                <w:sz w:val="24"/>
                <w:szCs w:val="24"/>
              </w:rPr>
              <w:t>supports the claim for MOLM13, also harbouring FLT-ITD</w:t>
            </w:r>
          </w:p>
        </w:tc>
      </w:tr>
      <w:tr w:rsidR="00F84FED" w:rsidRPr="008F7397" w:rsidTr="00303C4A">
        <w:trPr>
          <w:trHeight w:val="2629"/>
          <w:jc w:val="center"/>
        </w:trPr>
        <w:tc>
          <w:tcPr>
            <w:tcW w:w="1076" w:type="dxa"/>
            <w:tcBorders>
              <w:bottom w:val="nil"/>
            </w:tcBorders>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sz w:val="24"/>
                <w:szCs w:val="24"/>
              </w:rPr>
              <w:t>MV411</w:t>
            </w:r>
          </w:p>
        </w:tc>
        <w:tc>
          <w:tcPr>
            <w:tcW w:w="1584" w:type="dxa"/>
            <w:gridSpan w:val="3"/>
            <w:tcBorders>
              <w:bottom w:val="nil"/>
            </w:tcBorders>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sz w:val="24"/>
                <w:szCs w:val="24"/>
              </w:rPr>
              <w:t>MEK + PIMs</w:t>
            </w:r>
          </w:p>
        </w:tc>
        <w:tc>
          <w:tcPr>
            <w:tcW w:w="1534" w:type="dxa"/>
            <w:gridSpan w:val="2"/>
            <w:tcBorders>
              <w:bottom w:val="nil"/>
            </w:tcBorders>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sz w:val="24"/>
                <w:szCs w:val="24"/>
              </w:rPr>
              <w:t>Decreased BAD and S6 activity</w:t>
            </w:r>
          </w:p>
        </w:tc>
        <w:tc>
          <w:tcPr>
            <w:tcW w:w="1726" w:type="dxa"/>
            <w:gridSpan w:val="2"/>
            <w:tcBorders>
              <w:bottom w:val="nil"/>
            </w:tcBorders>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sz w:val="24"/>
                <w:szCs w:val="24"/>
              </w:rPr>
              <w:t>Decreased proliferation</w:t>
            </w:r>
          </w:p>
        </w:tc>
        <w:tc>
          <w:tcPr>
            <w:tcW w:w="1276" w:type="dxa"/>
            <w:gridSpan w:val="2"/>
            <w:tcBorders>
              <w:bottom w:val="nil"/>
            </w:tcBorders>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sz w:val="24"/>
                <w:szCs w:val="24"/>
              </w:rPr>
              <w:t>Moderately increased apoptosis</w:t>
            </w:r>
          </w:p>
        </w:tc>
        <w:tc>
          <w:tcPr>
            <w:tcW w:w="1559" w:type="dxa"/>
            <w:tcBorders>
              <w:bottom w:val="nil"/>
            </w:tcBorders>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sz w:val="24"/>
                <w:szCs w:val="24"/>
              </w:rPr>
              <w:t>No experimental data found in literature</w:t>
            </w:r>
          </w:p>
          <w:p w:rsidR="00F84FED" w:rsidRPr="008F7397" w:rsidRDefault="00F84FED" w:rsidP="00017D03">
            <w:pPr>
              <w:rPr>
                <w:rFonts w:asciiTheme="majorBidi" w:hAnsiTheme="majorBidi" w:cstheme="majorBidi"/>
                <w:sz w:val="24"/>
                <w:szCs w:val="24"/>
              </w:rPr>
            </w:pPr>
          </w:p>
          <w:p w:rsidR="00F84FED" w:rsidRPr="008F7397" w:rsidRDefault="00F84FED" w:rsidP="00017D03">
            <w:pPr>
              <w:rPr>
                <w:rFonts w:asciiTheme="majorBidi" w:hAnsiTheme="majorBidi" w:cstheme="majorBidi"/>
                <w:sz w:val="24"/>
                <w:szCs w:val="24"/>
              </w:rPr>
            </w:pPr>
          </w:p>
        </w:tc>
      </w:tr>
      <w:tr w:rsidR="0000655E" w:rsidRPr="008F7397" w:rsidTr="00303C4A">
        <w:trPr>
          <w:trHeight w:hRule="exact" w:val="20"/>
          <w:jc w:val="center"/>
        </w:trPr>
        <w:tc>
          <w:tcPr>
            <w:tcW w:w="1076" w:type="dxa"/>
            <w:tcBorders>
              <w:bottom w:val="nil"/>
            </w:tcBorders>
          </w:tcPr>
          <w:p w:rsidR="0000655E" w:rsidRPr="008F7397" w:rsidRDefault="0000655E" w:rsidP="00017D03">
            <w:pPr>
              <w:rPr>
                <w:rFonts w:asciiTheme="majorBidi" w:hAnsiTheme="majorBidi" w:cstheme="majorBidi"/>
                <w:sz w:val="24"/>
                <w:szCs w:val="24"/>
              </w:rPr>
            </w:pPr>
          </w:p>
        </w:tc>
        <w:tc>
          <w:tcPr>
            <w:tcW w:w="1584" w:type="dxa"/>
            <w:gridSpan w:val="3"/>
            <w:tcBorders>
              <w:bottom w:val="nil"/>
            </w:tcBorders>
          </w:tcPr>
          <w:p w:rsidR="0000655E" w:rsidRPr="008F7397" w:rsidRDefault="0000655E" w:rsidP="00017D03">
            <w:pPr>
              <w:rPr>
                <w:rFonts w:asciiTheme="majorBidi" w:hAnsiTheme="majorBidi" w:cstheme="majorBidi"/>
                <w:sz w:val="24"/>
                <w:szCs w:val="24"/>
              </w:rPr>
            </w:pPr>
          </w:p>
        </w:tc>
        <w:tc>
          <w:tcPr>
            <w:tcW w:w="1534" w:type="dxa"/>
            <w:gridSpan w:val="2"/>
            <w:tcBorders>
              <w:bottom w:val="nil"/>
            </w:tcBorders>
          </w:tcPr>
          <w:p w:rsidR="0000655E" w:rsidRPr="008F7397" w:rsidRDefault="0000655E" w:rsidP="00017D03">
            <w:pPr>
              <w:rPr>
                <w:rFonts w:asciiTheme="majorBidi" w:hAnsiTheme="majorBidi" w:cstheme="majorBidi"/>
                <w:sz w:val="24"/>
                <w:szCs w:val="24"/>
              </w:rPr>
            </w:pPr>
          </w:p>
        </w:tc>
        <w:tc>
          <w:tcPr>
            <w:tcW w:w="1726" w:type="dxa"/>
            <w:gridSpan w:val="2"/>
            <w:tcBorders>
              <w:bottom w:val="nil"/>
            </w:tcBorders>
          </w:tcPr>
          <w:p w:rsidR="0000655E" w:rsidRPr="008F7397" w:rsidRDefault="0000655E" w:rsidP="00017D03">
            <w:pPr>
              <w:rPr>
                <w:rFonts w:asciiTheme="majorBidi" w:hAnsiTheme="majorBidi" w:cstheme="majorBidi"/>
                <w:sz w:val="24"/>
                <w:szCs w:val="24"/>
              </w:rPr>
            </w:pPr>
          </w:p>
        </w:tc>
        <w:tc>
          <w:tcPr>
            <w:tcW w:w="1276" w:type="dxa"/>
            <w:gridSpan w:val="2"/>
            <w:tcBorders>
              <w:bottom w:val="nil"/>
            </w:tcBorders>
          </w:tcPr>
          <w:p w:rsidR="0000655E" w:rsidRPr="008F7397" w:rsidRDefault="0000655E" w:rsidP="00017D03">
            <w:pPr>
              <w:rPr>
                <w:rFonts w:asciiTheme="majorBidi" w:hAnsiTheme="majorBidi" w:cstheme="majorBidi"/>
                <w:sz w:val="24"/>
                <w:szCs w:val="24"/>
              </w:rPr>
            </w:pPr>
          </w:p>
        </w:tc>
        <w:tc>
          <w:tcPr>
            <w:tcW w:w="1559" w:type="dxa"/>
            <w:tcBorders>
              <w:bottom w:val="nil"/>
            </w:tcBorders>
          </w:tcPr>
          <w:p w:rsidR="0000655E" w:rsidRPr="008F7397" w:rsidRDefault="0000655E" w:rsidP="00017D03">
            <w:pPr>
              <w:rPr>
                <w:rFonts w:asciiTheme="majorBidi" w:hAnsiTheme="majorBidi" w:cstheme="majorBidi"/>
                <w:sz w:val="24"/>
                <w:szCs w:val="24"/>
              </w:rPr>
            </w:pPr>
          </w:p>
        </w:tc>
      </w:tr>
      <w:tr w:rsidR="00F84FED" w:rsidRPr="008F7397" w:rsidTr="00DA0399">
        <w:trPr>
          <w:cantSplit/>
          <w:jc w:val="center"/>
        </w:trPr>
        <w:tc>
          <w:tcPr>
            <w:tcW w:w="8755" w:type="dxa"/>
            <w:gridSpan w:val="11"/>
            <w:tcBorders>
              <w:top w:val="nil"/>
              <w:left w:val="nil"/>
              <w:right w:val="nil"/>
            </w:tcBorders>
          </w:tcPr>
          <w:p w:rsidR="00F84FED" w:rsidRPr="008F7397" w:rsidRDefault="0004568F" w:rsidP="00017D03">
            <w:pPr>
              <w:rPr>
                <w:rFonts w:asciiTheme="majorBidi" w:hAnsiTheme="majorBidi" w:cstheme="majorBidi"/>
                <w:sz w:val="24"/>
                <w:szCs w:val="24"/>
              </w:rPr>
            </w:pPr>
            <w:r>
              <w:rPr>
                <w:rFonts w:asciiTheme="majorBidi" w:hAnsiTheme="majorBidi" w:cstheme="majorBidi"/>
                <w:b/>
                <w:bCs/>
                <w:sz w:val="24"/>
                <w:szCs w:val="24"/>
              </w:rPr>
              <w:t>Table S12</w:t>
            </w:r>
            <w:r w:rsidR="00F84FED" w:rsidRPr="008F7397">
              <w:rPr>
                <w:rFonts w:asciiTheme="majorBidi" w:hAnsiTheme="majorBidi" w:cstheme="majorBidi"/>
                <w:b/>
                <w:bCs/>
                <w:sz w:val="24"/>
                <w:szCs w:val="24"/>
              </w:rPr>
              <w:t xml:space="preserve"> Continue. </w:t>
            </w:r>
            <w:r w:rsidR="00F84FED" w:rsidRPr="008F7397">
              <w:rPr>
                <w:rFonts w:asciiTheme="majorBidi" w:hAnsiTheme="majorBidi" w:cstheme="majorBidi"/>
                <w:b/>
                <w:bCs/>
                <w:sz w:val="24"/>
                <w:szCs w:val="24"/>
                <w:lang w:val="en-US"/>
              </w:rPr>
              <w:t>Combination</w:t>
            </w:r>
            <w:r w:rsidR="00F84FED" w:rsidRPr="008F7397">
              <w:rPr>
                <w:rFonts w:asciiTheme="majorBidi" w:hAnsiTheme="majorBidi" w:cstheme="majorBidi"/>
                <w:sz w:val="24"/>
                <w:szCs w:val="24"/>
                <w:lang w:val="en-US"/>
              </w:rPr>
              <w:t xml:space="preserve"> </w:t>
            </w:r>
            <w:r w:rsidR="00F84FED" w:rsidRPr="008F7397">
              <w:rPr>
                <w:rFonts w:asciiTheme="majorBidi" w:hAnsiTheme="majorBidi" w:cstheme="majorBidi"/>
                <w:b/>
                <w:bCs/>
                <w:sz w:val="24"/>
                <w:szCs w:val="24"/>
                <w:lang w:val="en-US"/>
              </w:rPr>
              <w:t>strategy</w:t>
            </w:r>
          </w:p>
        </w:tc>
      </w:tr>
      <w:tr w:rsidR="00F84FED" w:rsidRPr="008F7397" w:rsidTr="00303C4A">
        <w:trPr>
          <w:cantSplit/>
          <w:jc w:val="center"/>
        </w:trPr>
        <w:tc>
          <w:tcPr>
            <w:tcW w:w="1384" w:type="dxa"/>
            <w:gridSpan w:val="2"/>
            <w:vMerge w:val="restart"/>
          </w:tcPr>
          <w:p w:rsidR="00F84FED" w:rsidRPr="008F7397" w:rsidRDefault="00F84FED" w:rsidP="00017D03">
            <w:pPr>
              <w:rPr>
                <w:rFonts w:asciiTheme="majorBidi" w:hAnsiTheme="majorBidi" w:cstheme="majorBidi"/>
                <w:b/>
                <w:bCs/>
                <w:sz w:val="24"/>
                <w:szCs w:val="24"/>
              </w:rPr>
            </w:pPr>
            <w:r w:rsidRPr="008F7397">
              <w:rPr>
                <w:rFonts w:asciiTheme="majorBidi" w:hAnsiTheme="majorBidi" w:cstheme="majorBidi"/>
                <w:b/>
                <w:bCs/>
                <w:sz w:val="24"/>
                <w:szCs w:val="24"/>
              </w:rPr>
              <w:t>Cell line</w:t>
            </w:r>
          </w:p>
        </w:tc>
        <w:tc>
          <w:tcPr>
            <w:tcW w:w="1418" w:type="dxa"/>
            <w:gridSpan w:val="3"/>
            <w:vMerge w:val="restart"/>
          </w:tcPr>
          <w:p w:rsidR="00F84FED" w:rsidRPr="008F7397" w:rsidRDefault="00F84FED" w:rsidP="00017D03">
            <w:pPr>
              <w:rPr>
                <w:rFonts w:asciiTheme="majorBidi" w:hAnsiTheme="majorBidi" w:cstheme="majorBidi"/>
                <w:b/>
                <w:bCs/>
                <w:sz w:val="24"/>
                <w:szCs w:val="24"/>
              </w:rPr>
            </w:pPr>
            <w:r w:rsidRPr="008F7397">
              <w:rPr>
                <w:rFonts w:asciiTheme="majorBidi" w:hAnsiTheme="majorBidi" w:cstheme="majorBidi"/>
                <w:b/>
                <w:bCs/>
                <w:sz w:val="24"/>
                <w:szCs w:val="24"/>
              </w:rPr>
              <w:t>Inhibitors</w:t>
            </w:r>
          </w:p>
        </w:tc>
        <w:tc>
          <w:tcPr>
            <w:tcW w:w="4369" w:type="dxa"/>
            <w:gridSpan w:val="4"/>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b/>
                <w:bCs/>
                <w:sz w:val="24"/>
                <w:szCs w:val="24"/>
              </w:rPr>
              <w:t>In-Silico Predictions</w:t>
            </w:r>
          </w:p>
        </w:tc>
        <w:tc>
          <w:tcPr>
            <w:tcW w:w="1584" w:type="dxa"/>
            <w:gridSpan w:val="2"/>
            <w:vMerge w:val="restart"/>
          </w:tcPr>
          <w:p w:rsidR="00F84FED" w:rsidRPr="008F7397" w:rsidRDefault="00F84FED" w:rsidP="00017D03">
            <w:pPr>
              <w:rPr>
                <w:rFonts w:asciiTheme="majorBidi" w:hAnsiTheme="majorBidi" w:cstheme="majorBidi"/>
                <w:sz w:val="24"/>
                <w:szCs w:val="24"/>
              </w:rPr>
            </w:pPr>
            <w:r w:rsidRPr="008F7397">
              <w:rPr>
                <w:rFonts w:asciiTheme="majorBidi" w:hAnsiTheme="majorBidi" w:cstheme="majorBidi"/>
                <w:b/>
                <w:bCs/>
                <w:sz w:val="24"/>
                <w:szCs w:val="24"/>
              </w:rPr>
              <w:t>Supporting Literature</w:t>
            </w:r>
          </w:p>
        </w:tc>
      </w:tr>
      <w:tr w:rsidR="00F84FED" w:rsidRPr="008F7397" w:rsidTr="00303C4A">
        <w:trPr>
          <w:cantSplit/>
          <w:jc w:val="center"/>
        </w:trPr>
        <w:tc>
          <w:tcPr>
            <w:tcW w:w="1384" w:type="dxa"/>
            <w:gridSpan w:val="2"/>
            <w:vMerge/>
          </w:tcPr>
          <w:p w:rsidR="00F84FED" w:rsidRPr="008F7397" w:rsidRDefault="00F84FED" w:rsidP="00017D03">
            <w:pPr>
              <w:rPr>
                <w:rFonts w:asciiTheme="majorBidi" w:hAnsiTheme="majorBidi" w:cstheme="majorBidi"/>
                <w:b/>
                <w:bCs/>
                <w:sz w:val="24"/>
                <w:szCs w:val="24"/>
              </w:rPr>
            </w:pPr>
          </w:p>
        </w:tc>
        <w:tc>
          <w:tcPr>
            <w:tcW w:w="1418" w:type="dxa"/>
            <w:gridSpan w:val="3"/>
            <w:vMerge/>
          </w:tcPr>
          <w:p w:rsidR="00F84FED" w:rsidRPr="008F7397" w:rsidRDefault="00F84FED" w:rsidP="00017D03">
            <w:pPr>
              <w:rPr>
                <w:rFonts w:asciiTheme="majorBidi" w:hAnsiTheme="majorBidi" w:cstheme="majorBidi"/>
                <w:b/>
                <w:bCs/>
                <w:sz w:val="24"/>
                <w:szCs w:val="24"/>
              </w:rPr>
            </w:pPr>
          </w:p>
        </w:tc>
        <w:tc>
          <w:tcPr>
            <w:tcW w:w="1392" w:type="dxa"/>
          </w:tcPr>
          <w:p w:rsidR="00F84FED" w:rsidRPr="008F7397" w:rsidRDefault="00F84FED" w:rsidP="00017D03">
            <w:pPr>
              <w:rPr>
                <w:rFonts w:asciiTheme="majorBidi" w:hAnsiTheme="majorBidi" w:cstheme="majorBidi"/>
                <w:b/>
                <w:bCs/>
                <w:sz w:val="24"/>
                <w:szCs w:val="24"/>
              </w:rPr>
            </w:pPr>
            <w:r w:rsidRPr="008F7397">
              <w:rPr>
                <w:rFonts w:asciiTheme="majorBidi" w:hAnsiTheme="majorBidi" w:cstheme="majorBidi"/>
                <w:b/>
                <w:bCs/>
                <w:sz w:val="24"/>
                <w:szCs w:val="24"/>
              </w:rPr>
              <w:t>Phosphorylation activity</w:t>
            </w:r>
          </w:p>
        </w:tc>
        <w:tc>
          <w:tcPr>
            <w:tcW w:w="1726" w:type="dxa"/>
            <w:gridSpan w:val="2"/>
          </w:tcPr>
          <w:p w:rsidR="00F84FED" w:rsidRPr="008F7397" w:rsidRDefault="00F84FED" w:rsidP="00017D03">
            <w:pPr>
              <w:rPr>
                <w:rFonts w:asciiTheme="majorBidi" w:hAnsiTheme="majorBidi" w:cstheme="majorBidi"/>
                <w:b/>
                <w:bCs/>
                <w:sz w:val="24"/>
                <w:szCs w:val="24"/>
              </w:rPr>
            </w:pPr>
            <w:r w:rsidRPr="008F7397">
              <w:rPr>
                <w:rFonts w:asciiTheme="majorBidi" w:hAnsiTheme="majorBidi" w:cstheme="majorBidi"/>
                <w:b/>
                <w:bCs/>
                <w:sz w:val="24"/>
                <w:szCs w:val="24"/>
              </w:rPr>
              <w:t>Proliferation</w:t>
            </w:r>
          </w:p>
        </w:tc>
        <w:tc>
          <w:tcPr>
            <w:tcW w:w="1251" w:type="dxa"/>
          </w:tcPr>
          <w:p w:rsidR="00F84FED" w:rsidRPr="008F7397" w:rsidRDefault="00F84FED" w:rsidP="00017D03">
            <w:pPr>
              <w:rPr>
                <w:rFonts w:asciiTheme="majorBidi" w:hAnsiTheme="majorBidi" w:cstheme="majorBidi"/>
                <w:b/>
                <w:bCs/>
                <w:sz w:val="24"/>
                <w:szCs w:val="24"/>
              </w:rPr>
            </w:pPr>
            <w:r w:rsidRPr="008F7397">
              <w:rPr>
                <w:rFonts w:asciiTheme="majorBidi" w:hAnsiTheme="majorBidi" w:cstheme="majorBidi"/>
                <w:b/>
                <w:bCs/>
                <w:sz w:val="24"/>
                <w:szCs w:val="24"/>
              </w:rPr>
              <w:t>Apoptosis</w:t>
            </w:r>
          </w:p>
        </w:tc>
        <w:tc>
          <w:tcPr>
            <w:tcW w:w="1584" w:type="dxa"/>
            <w:gridSpan w:val="2"/>
            <w:vMerge/>
          </w:tcPr>
          <w:p w:rsidR="00F84FED" w:rsidRPr="008F7397" w:rsidRDefault="00F84FED" w:rsidP="00017D03">
            <w:pPr>
              <w:rPr>
                <w:rFonts w:asciiTheme="majorBidi" w:hAnsiTheme="majorBidi" w:cstheme="majorBidi"/>
                <w:b/>
                <w:bCs/>
                <w:sz w:val="24"/>
                <w:szCs w:val="24"/>
              </w:rPr>
            </w:pPr>
          </w:p>
        </w:tc>
      </w:tr>
      <w:tr w:rsidR="002E15BB" w:rsidRPr="008F7397" w:rsidTr="00303C4A">
        <w:trPr>
          <w:cantSplit/>
          <w:jc w:val="center"/>
        </w:trPr>
        <w:tc>
          <w:tcPr>
            <w:tcW w:w="1384" w:type="dxa"/>
            <w:gridSpan w:val="2"/>
          </w:tcPr>
          <w:p w:rsidR="002E15BB" w:rsidRPr="008F7397" w:rsidRDefault="002E15BB" w:rsidP="00017D03">
            <w:pPr>
              <w:jc w:val="center"/>
              <w:rPr>
                <w:rFonts w:asciiTheme="majorBidi" w:hAnsiTheme="majorBidi" w:cstheme="majorBidi"/>
                <w:sz w:val="24"/>
                <w:szCs w:val="24"/>
              </w:rPr>
            </w:pPr>
            <w:r w:rsidRPr="008F7397">
              <w:rPr>
                <w:rFonts w:asciiTheme="majorBidi" w:hAnsiTheme="majorBidi" w:cstheme="majorBidi"/>
                <w:sz w:val="24"/>
                <w:szCs w:val="24"/>
              </w:rPr>
              <w:lastRenderedPageBreak/>
              <w:t>MOLM16</w:t>
            </w:r>
          </w:p>
        </w:tc>
        <w:tc>
          <w:tcPr>
            <w:tcW w:w="1418" w:type="dxa"/>
            <w:gridSpan w:val="3"/>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PIMs</w:t>
            </w:r>
          </w:p>
        </w:tc>
        <w:tc>
          <w:tcPr>
            <w:tcW w:w="1392" w:type="dxa"/>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Decreased BAD activity</w:t>
            </w:r>
          </w:p>
        </w:tc>
        <w:tc>
          <w:tcPr>
            <w:tcW w:w="1726"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significant effect on proliferation</w:t>
            </w:r>
          </w:p>
        </w:tc>
        <w:tc>
          <w:tcPr>
            <w:tcW w:w="1251" w:type="dxa"/>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significant effect on apoptosis</w:t>
            </w:r>
          </w:p>
        </w:tc>
        <w:tc>
          <w:tcPr>
            <w:tcW w:w="1584" w:type="dxa"/>
            <w:gridSpan w:val="2"/>
          </w:tcPr>
          <w:p w:rsidR="002E15BB" w:rsidRPr="008F7397" w:rsidRDefault="00760C56" w:rsidP="005D7A0D">
            <w:pPr>
              <w:rPr>
                <w:rFonts w:asciiTheme="majorBidi" w:hAnsiTheme="majorBidi" w:cstheme="majorBidi"/>
                <w:sz w:val="24"/>
                <w:szCs w:val="24"/>
              </w:rPr>
            </w:pPr>
            <w:r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8UUQ67cU","properties":{"formattedCitation":"[50]","plainCitation":"[50]"},"citationItems":[{"id":322,"uris":["http://zotero.org/users/2553926/items/C9C5WW4G"],"uri":["http://zotero.org/users/2553926/items/C9C5WW4G"],"itemData":{"id":322,"type":"article-journal","title":"PIM and AKT kinase inhibitors show synergistic cytotoxicity in acute myeloid leukaemia that is associated with convergence on mTOR and MCL1 pathways","container-title":"British Journal of Haematology","page":"69-79","volume":"167","issue":"1","source":"PubMed","abstract":"PIM kinases (PIM1, 2 and 3) are involved in cell proliferation and survival signalling and are emerging targets for the therapy of various malignancies. We found that a significant proportion of primary acute myeloid leukaemia (AML) samples showed PIM1 and PIM2 expression by quantitative reverse transcription polymerase chain reaction. Therefore, we investigated the effects of a novel ATP-competitive pan-PIM inhibitor, AZD1897, on AML cell growth and survival. PIM inhibition showed limited single agent activity in AML cell lines and primary AML cells, including those with or without FLT3-internal tandem duplication (ITD) mutation. However, significant synergy was seen when AZD1897 was combined with the Akt inhibitor AZD5363, a compound that is in early-phase clinical trials. AML cells from putative leukaemia stem cell subsets, including CD34+38- and CD34+38+ fractions, were equivalently affected by dual PIM/Akt inhibition when compared with bulk tumour cells. Analysis of downstream signalling pathways showed that combined PIM/Akt inhibition downregulated mTOR outputs (phosphorylation of 4EBP1 and S6) and markedly reduced levels of the anti-apoptotic protein MCL1. The combination of PIM and Akt inhibition holds promise for the treatment of AML.","DOI":"10.1111/bjh.13013","ISSN":"1365-2141","note":"PMID: 24975213","journalAbbreviation":"Br. J. Haematol.","language":"eng","author":[{"family":"Meja","given":"Koremu"},{"family":"Stengel","given":"Chloe"},{"family":"Sellar","given":"Rob"},{"family":"Huszar","given":"Dennis"},{"family":"Davies","given":"Barry R."},{"family":"Gale","given":"Rosemary E."},{"family":"Linch","given":"David C."},{"family":"Khwaja","given":"Asim"}],"issued":{"date-parts":[["2014",10]]}}}],"schema":"https://github.com/citation-style-language/schema/raw/master/csl-citation.json"} </w:instrText>
            </w:r>
            <w:r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[50]</w:t>
            </w:r>
            <w:r w:rsidRPr="008F7397">
              <w:rPr>
                <w:rFonts w:asciiTheme="majorBidi" w:hAnsiTheme="majorBidi" w:cstheme="majorBidi"/>
                <w:sz w:val="24"/>
                <w:szCs w:val="24"/>
              </w:rPr>
              <w:fldChar w:fldCharType="end"/>
            </w:r>
          </w:p>
        </w:tc>
      </w:tr>
      <w:tr w:rsidR="002E15BB" w:rsidRPr="008F7397" w:rsidTr="00303C4A">
        <w:trPr>
          <w:jc w:val="center"/>
        </w:trPr>
        <w:tc>
          <w:tcPr>
            <w:tcW w:w="1384" w:type="dxa"/>
            <w:gridSpan w:val="2"/>
          </w:tcPr>
          <w:p w:rsidR="002E15BB" w:rsidRPr="008F7397" w:rsidRDefault="002E15BB" w:rsidP="00017D03">
            <w:pPr>
              <w:jc w:val="center"/>
              <w:rPr>
                <w:rFonts w:asciiTheme="majorBidi" w:hAnsiTheme="majorBidi" w:cstheme="majorBidi"/>
                <w:sz w:val="24"/>
                <w:szCs w:val="24"/>
              </w:rPr>
            </w:pPr>
            <w:r w:rsidRPr="008F7397">
              <w:rPr>
                <w:rFonts w:asciiTheme="majorBidi" w:hAnsiTheme="majorBidi" w:cstheme="majorBidi"/>
                <w:sz w:val="24"/>
                <w:szCs w:val="24"/>
              </w:rPr>
              <w:t>MOLM16</w:t>
            </w:r>
          </w:p>
        </w:tc>
        <w:tc>
          <w:tcPr>
            <w:tcW w:w="1418" w:type="dxa"/>
            <w:gridSpan w:val="3"/>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PI3K</w:t>
            </w:r>
          </w:p>
        </w:tc>
        <w:tc>
          <w:tcPr>
            <w:tcW w:w="1392" w:type="dxa"/>
          </w:tcPr>
          <w:p w:rsidR="002E15BB" w:rsidRPr="008F7397" w:rsidRDefault="002E15BB" w:rsidP="00017D03">
            <w:pPr>
              <w:rPr>
                <w:rFonts w:asciiTheme="majorBidi" w:hAnsiTheme="majorBidi" w:cstheme="majorBidi"/>
                <w:sz w:val="24"/>
                <w:szCs w:val="24"/>
              </w:rPr>
            </w:pPr>
          </w:p>
        </w:tc>
        <w:tc>
          <w:tcPr>
            <w:tcW w:w="1726"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Unchanged levels of proliferation</w:t>
            </w:r>
          </w:p>
        </w:tc>
        <w:tc>
          <w:tcPr>
            <w:tcW w:w="1251" w:type="dxa"/>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Unchanged levels of apoptosis</w:t>
            </w:r>
          </w:p>
        </w:tc>
        <w:tc>
          <w:tcPr>
            <w:tcW w:w="158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No experimental data found in literature</w:t>
            </w:r>
          </w:p>
        </w:tc>
      </w:tr>
      <w:tr w:rsidR="002E15BB" w:rsidRPr="008F7397" w:rsidTr="00303C4A">
        <w:trPr>
          <w:jc w:val="center"/>
        </w:trPr>
        <w:tc>
          <w:tcPr>
            <w:tcW w:w="138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MOLM16</w:t>
            </w:r>
          </w:p>
        </w:tc>
        <w:tc>
          <w:tcPr>
            <w:tcW w:w="1418" w:type="dxa"/>
            <w:gridSpan w:val="3"/>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PI3K+PIMs</w:t>
            </w:r>
          </w:p>
        </w:tc>
        <w:tc>
          <w:tcPr>
            <w:tcW w:w="1392" w:type="dxa"/>
          </w:tcPr>
          <w:p w:rsidR="002E15BB" w:rsidRPr="008F7397" w:rsidRDefault="002E15BB" w:rsidP="00017D03">
            <w:pPr>
              <w:rPr>
                <w:rFonts w:asciiTheme="majorBidi" w:hAnsiTheme="majorBidi" w:cstheme="majorBidi"/>
                <w:sz w:val="24"/>
                <w:szCs w:val="24"/>
              </w:rPr>
            </w:pPr>
          </w:p>
        </w:tc>
        <w:tc>
          <w:tcPr>
            <w:tcW w:w="1726"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Decreased proliferation</w:t>
            </w:r>
          </w:p>
        </w:tc>
        <w:tc>
          <w:tcPr>
            <w:tcW w:w="1251" w:type="dxa"/>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Increased apoptosis</w:t>
            </w:r>
          </w:p>
        </w:tc>
        <w:tc>
          <w:tcPr>
            <w:tcW w:w="158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No experimental data found in literature</w:t>
            </w:r>
          </w:p>
        </w:tc>
      </w:tr>
      <w:tr w:rsidR="002E15BB" w:rsidRPr="008F7397" w:rsidTr="00303C4A">
        <w:trPr>
          <w:jc w:val="center"/>
        </w:trPr>
        <w:tc>
          <w:tcPr>
            <w:tcW w:w="138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MOLM16</w:t>
            </w:r>
          </w:p>
        </w:tc>
        <w:tc>
          <w:tcPr>
            <w:tcW w:w="1418" w:type="dxa"/>
            <w:gridSpan w:val="3"/>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 xml:space="preserve">AKT </w:t>
            </w:r>
          </w:p>
        </w:tc>
        <w:tc>
          <w:tcPr>
            <w:tcW w:w="1392" w:type="dxa"/>
          </w:tcPr>
          <w:p w:rsidR="002E15BB" w:rsidRPr="008F7397" w:rsidRDefault="002E15BB" w:rsidP="00017D03">
            <w:pPr>
              <w:rPr>
                <w:rFonts w:asciiTheme="majorBidi" w:hAnsiTheme="majorBidi" w:cstheme="majorBidi"/>
                <w:sz w:val="24"/>
                <w:szCs w:val="24"/>
              </w:rPr>
            </w:pPr>
          </w:p>
        </w:tc>
        <w:tc>
          <w:tcPr>
            <w:tcW w:w="1726"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Unchanged levels of proliferation</w:t>
            </w:r>
          </w:p>
        </w:tc>
        <w:tc>
          <w:tcPr>
            <w:tcW w:w="1251" w:type="dxa"/>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Unchanged levels of apoptosis</w:t>
            </w:r>
          </w:p>
        </w:tc>
        <w:tc>
          <w:tcPr>
            <w:tcW w:w="1584" w:type="dxa"/>
            <w:gridSpan w:val="2"/>
          </w:tcPr>
          <w:p w:rsidR="002E15BB" w:rsidRPr="008F7397" w:rsidRDefault="00760C56" w:rsidP="005D7A0D">
            <w:pPr>
              <w:rPr>
                <w:rFonts w:asciiTheme="majorBidi" w:hAnsiTheme="majorBidi" w:cstheme="majorBidi"/>
                <w:sz w:val="24"/>
                <w:szCs w:val="24"/>
              </w:rPr>
            </w:pPr>
            <w:r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TEJ8cdHH","properties":{"formattedCitation":"[50]","plainCitation":"[50]"},"citationItems":[{"id":322,"uris":["http://zotero.org/users/2553926/items/C9C5WW4G"],"uri":["http://zotero.org/users/2553926/items/C9C5WW4G"],"itemData":{"id":322,"type":"article-journal","title":"PIM and AKT kinase inhibitors show synergistic cytotoxicity in acute myeloid leukaemia that is associated with convergence on mTOR and MCL1 pathways","container-title":"British Journal of Haematology","page":"69-79","volume":"167","issue":"1","source":"PubMed","abstract":"PIM kinases (PIM1, 2 and 3) are involved in cell proliferation and survival signalling and are emerging targets for the therapy of various malignancies. We found that a significant proportion of primary acute myeloid leukaemia (AML) samples showed PIM1 and PIM2 expression by quantitative reverse transcription polymerase chain reaction. Therefore, we investigated the effects of a novel ATP-competitive pan-PIM inhibitor, AZD1897, on AML cell growth and survival. PIM inhibition showed limited single agent activity in AML cell lines and primary AML cells, including those with or without FLT3-internal tandem duplication (ITD) mutation. However, significant synergy was seen when AZD1897 was combined with the Akt inhibitor AZD5363, a compound that is in early-phase clinical trials. AML cells from putative leukaemia stem cell subsets, including CD34+38- and CD34+38+ fractions, were equivalently affected by dual PIM/Akt inhibition when compared with bulk tumour cells. Analysis of downstream signalling pathways showed that combined PIM/Akt inhibition downregulated mTOR outputs (phosphorylation of 4EBP1 and S6) and markedly reduced levels of the anti-apoptotic protein MCL1. The combination of PIM and Akt inhibition holds promise for the treatment of AML.","DOI":"10.1111/bjh.13013","ISSN":"1365-2141","note":"PMID: 24975213","journalAbbreviation":"Br. J. Haematol.","language":"eng","author":[{"family":"Meja","given":"Koremu"},{"family":"Stengel","given":"Chloe"},{"family":"Sellar","given":"Rob"},{"family":"Huszar","given":"Dennis"},{"family":"Davies","given":"Barry R."},{"family":"Gale","given":"Rosemary E."},{"family":"Linch","given":"David C."},{"family":"Khwaja","given":"Asim"}],"issued":{"date-parts":[["2014",10]]}}}],"schema":"https://github.com/citation-style-language/schema/raw/master/csl-citation.json"} </w:instrText>
            </w:r>
            <w:r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[50]</w:t>
            </w:r>
            <w:r w:rsidRPr="008F7397">
              <w:rPr>
                <w:rFonts w:asciiTheme="majorBidi" w:hAnsiTheme="majorBidi" w:cstheme="majorBidi"/>
                <w:sz w:val="24"/>
                <w:szCs w:val="24"/>
              </w:rPr>
              <w:fldChar w:fldCharType="end"/>
            </w:r>
          </w:p>
        </w:tc>
      </w:tr>
      <w:tr w:rsidR="002E15BB" w:rsidRPr="008F7397" w:rsidTr="00303C4A">
        <w:trPr>
          <w:jc w:val="center"/>
        </w:trPr>
        <w:tc>
          <w:tcPr>
            <w:tcW w:w="138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MOLM16</w:t>
            </w:r>
          </w:p>
        </w:tc>
        <w:tc>
          <w:tcPr>
            <w:tcW w:w="1418" w:type="dxa"/>
            <w:gridSpan w:val="3"/>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AKT+PIMs</w:t>
            </w:r>
          </w:p>
        </w:tc>
        <w:tc>
          <w:tcPr>
            <w:tcW w:w="1392" w:type="dxa"/>
          </w:tcPr>
          <w:p w:rsidR="002E15BB" w:rsidRPr="008F7397" w:rsidRDefault="002E15BB" w:rsidP="00017D03">
            <w:pPr>
              <w:rPr>
                <w:rFonts w:asciiTheme="majorBidi" w:hAnsiTheme="majorBidi" w:cstheme="majorBidi"/>
                <w:sz w:val="24"/>
                <w:szCs w:val="24"/>
              </w:rPr>
            </w:pPr>
          </w:p>
        </w:tc>
        <w:tc>
          <w:tcPr>
            <w:tcW w:w="1726"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Decreased proliferation</w:t>
            </w:r>
          </w:p>
        </w:tc>
        <w:tc>
          <w:tcPr>
            <w:tcW w:w="1251" w:type="dxa"/>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Increased apoptosis</w:t>
            </w:r>
          </w:p>
        </w:tc>
        <w:tc>
          <w:tcPr>
            <w:tcW w:w="1584" w:type="dxa"/>
            <w:gridSpan w:val="2"/>
          </w:tcPr>
          <w:p w:rsidR="002E15BB" w:rsidRPr="008F7397" w:rsidRDefault="00760C56" w:rsidP="005D7A0D">
            <w:pPr>
              <w:rPr>
                <w:rFonts w:asciiTheme="majorBidi" w:hAnsiTheme="majorBidi" w:cstheme="majorBidi"/>
                <w:sz w:val="24"/>
                <w:szCs w:val="24"/>
              </w:rPr>
            </w:pPr>
            <w:r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fM1tVUfe","properties":{"formattedCitation":"[50]","plainCitation":"[50]"},"citationItems":[{"id":322,"uris":["http://zotero.org/users/2553926/items/C9C5WW4G"],"uri":["http://zotero.org/users/2553926/items/C9C5WW4G"],"itemData":{"id":322,"type":"article-journal","title":"PIM and AKT kinase inhibitors show synergistic cytotoxicity in acute myeloid leukaemia that is associated with convergence on mTOR and MCL1 pathways","container-title":"British Journal of Haematology","page":"69-79","volume":"167","issue":"1","source":"PubMed","abstract":"PIM kinases (PIM1, 2 and 3) are involved in cell proliferation and survival signalling and are emerging targets for the therapy of various malignancies. We found that a significant proportion of primary acute myeloid leukaemia (AML) samples showed PIM1 and PIM2 expression by quantitative reverse transcription polymerase chain reaction. Therefore, we investigated the effects of a novel ATP-competitive pan-PIM inhibitor, AZD1897, on AML cell growth and survival. PIM inhibition showed limited single agent activity in AML cell lines and primary AML cells, including those with or without FLT3-internal tandem duplication (ITD) mutation. However, significant synergy was seen when AZD1897 was combined with the Akt inhibitor AZD5363, a compound that is in early-phase clinical trials. AML cells from putative leukaemia stem cell subsets, including CD34+38- and CD34+38+ fractions, were equivalently affected by dual PIM/Akt inhibition when compared with bulk tumour cells. Analysis of downstream signalling pathways showed that combined PIM/Akt inhibition downregulated mTOR outputs (phosphorylation of 4EBP1 and S6) and markedly reduced levels of the anti-apoptotic protein MCL1. The combination of PIM and Akt inhibition holds promise for the treatment of AML.","DOI":"10.1111/bjh.13013","ISSN":"1365-2141","note":"PMID: 24975213","journalAbbreviation":"Br. J. Haematol.","language":"eng","author":[{"family":"Meja","given":"Koremu"},{"family":"Stengel","given":"Chloe"},{"family":"Sellar","given":"Rob"},{"family":"Huszar","given":"Dennis"},{"family":"Davies","given":"Barry R."},{"family":"Gale","given":"Rosemary E."},{"family":"Linch","given":"David C."},{"family":"Khwaja","given":"Asim"}],"issued":{"date-parts":[["2014",10]]}}}],"schema":"https://github.com/citation-style-language/schema/raw/master/csl-citation.json"} </w:instrText>
            </w:r>
            <w:r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[50]</w:t>
            </w:r>
            <w:r w:rsidRPr="008F7397">
              <w:rPr>
                <w:rFonts w:asciiTheme="majorBidi" w:hAnsiTheme="majorBidi" w:cstheme="majorBidi"/>
                <w:sz w:val="24"/>
                <w:szCs w:val="24"/>
              </w:rPr>
              <w:fldChar w:fldCharType="end"/>
            </w:r>
          </w:p>
        </w:tc>
      </w:tr>
      <w:tr w:rsidR="002E15BB" w:rsidRPr="008F7397" w:rsidTr="00303C4A">
        <w:trPr>
          <w:jc w:val="center"/>
        </w:trPr>
        <w:tc>
          <w:tcPr>
            <w:tcW w:w="138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MOLM16</w:t>
            </w:r>
          </w:p>
        </w:tc>
        <w:tc>
          <w:tcPr>
            <w:tcW w:w="1418" w:type="dxa"/>
            <w:gridSpan w:val="3"/>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MEK</w:t>
            </w:r>
          </w:p>
        </w:tc>
        <w:tc>
          <w:tcPr>
            <w:tcW w:w="1392" w:type="dxa"/>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Reduced ERK and RSK activity</w:t>
            </w:r>
          </w:p>
        </w:tc>
        <w:tc>
          <w:tcPr>
            <w:tcW w:w="1726"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Decreased proliferation</w:t>
            </w:r>
          </w:p>
        </w:tc>
        <w:tc>
          <w:tcPr>
            <w:tcW w:w="1251" w:type="dxa"/>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Unable to induce apoptosis</w:t>
            </w:r>
          </w:p>
        </w:tc>
        <w:tc>
          <w:tcPr>
            <w:tcW w:w="158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No experimental data found in literature</w:t>
            </w:r>
          </w:p>
        </w:tc>
      </w:tr>
      <w:tr w:rsidR="002E15BB" w:rsidRPr="008F7397" w:rsidTr="00303C4A">
        <w:trPr>
          <w:jc w:val="center"/>
        </w:trPr>
        <w:tc>
          <w:tcPr>
            <w:tcW w:w="138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MOLM16</w:t>
            </w:r>
          </w:p>
        </w:tc>
        <w:tc>
          <w:tcPr>
            <w:tcW w:w="1418" w:type="dxa"/>
            <w:gridSpan w:val="3"/>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MEK + PIMs</w:t>
            </w:r>
          </w:p>
        </w:tc>
        <w:tc>
          <w:tcPr>
            <w:tcW w:w="1392" w:type="dxa"/>
          </w:tcPr>
          <w:p w:rsidR="002E15BB" w:rsidRPr="008F7397" w:rsidRDefault="002E15BB" w:rsidP="00017D03">
            <w:pPr>
              <w:rPr>
                <w:rFonts w:asciiTheme="majorBidi" w:hAnsiTheme="majorBidi" w:cstheme="majorBidi"/>
                <w:sz w:val="24"/>
                <w:szCs w:val="24"/>
              </w:rPr>
            </w:pPr>
          </w:p>
        </w:tc>
        <w:tc>
          <w:tcPr>
            <w:tcW w:w="1726"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Decreased proliferation</w:t>
            </w:r>
          </w:p>
        </w:tc>
        <w:tc>
          <w:tcPr>
            <w:tcW w:w="1251" w:type="dxa"/>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Increased apoptosis</w:t>
            </w:r>
          </w:p>
        </w:tc>
        <w:tc>
          <w:tcPr>
            <w:tcW w:w="158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No experimental data found in literature</w:t>
            </w:r>
          </w:p>
        </w:tc>
      </w:tr>
      <w:tr w:rsidR="002E15BB" w:rsidRPr="008F7397" w:rsidTr="00303C4A">
        <w:trPr>
          <w:jc w:val="center"/>
        </w:trPr>
        <w:tc>
          <w:tcPr>
            <w:tcW w:w="138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EOL1</w:t>
            </w:r>
          </w:p>
        </w:tc>
        <w:tc>
          <w:tcPr>
            <w:tcW w:w="1418" w:type="dxa"/>
            <w:gridSpan w:val="3"/>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PIMs</w:t>
            </w:r>
          </w:p>
        </w:tc>
        <w:tc>
          <w:tcPr>
            <w:tcW w:w="1392" w:type="dxa"/>
          </w:tcPr>
          <w:p w:rsidR="002E15BB" w:rsidRPr="008F7397" w:rsidRDefault="002E15BB" w:rsidP="00017D03">
            <w:pPr>
              <w:rPr>
                <w:rFonts w:asciiTheme="majorBidi" w:hAnsiTheme="majorBidi" w:cstheme="majorBidi"/>
                <w:sz w:val="24"/>
                <w:szCs w:val="24"/>
              </w:rPr>
            </w:pPr>
          </w:p>
        </w:tc>
        <w:tc>
          <w:tcPr>
            <w:tcW w:w="1726"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Decreased proliferation</w:t>
            </w:r>
          </w:p>
        </w:tc>
        <w:tc>
          <w:tcPr>
            <w:tcW w:w="1251" w:type="dxa"/>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Very slightly increased apoptosis</w:t>
            </w:r>
          </w:p>
        </w:tc>
        <w:tc>
          <w:tcPr>
            <w:tcW w:w="1584" w:type="dxa"/>
            <w:gridSpan w:val="2"/>
          </w:tcPr>
          <w:p w:rsidR="002E15BB" w:rsidRPr="008F7397" w:rsidRDefault="00760C56" w:rsidP="005D7A0D">
            <w:pPr>
              <w:rPr>
                <w:rFonts w:asciiTheme="majorBidi" w:hAnsiTheme="majorBidi" w:cstheme="majorBidi"/>
                <w:sz w:val="24"/>
                <w:szCs w:val="24"/>
              </w:rPr>
            </w:pPr>
            <w:r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YFlgAxXB","properties":{"formattedCitation":"[50]","plainCitation":"[50]"},"citationItems":[{"id":322,"uris":["http://zotero.org/users/2553926/items/C9C5WW4G"],"uri":["http://zotero.org/users/2553926/items/C9C5WW4G"],"itemData":{"id":322,"type":"article-journal","title":"PIM and AKT kinase inhibitors show synergistic cytotoxicity in acute myeloid leukaemia that is associated with convergence on mTOR and MCL1 pathways","container-title":"British Journal of Haematology","page":"69-79","volume":"167","issue":"1","source":"PubMed","abstract":"PIM kinases (PIM1, 2 and 3) are involved in cell proliferation and survival signalling and are emerging targets for the therapy of various malignancies. We found that a significant proportion of primary acute myeloid leukaemia (AML) samples showed PIM1 and PIM2 expression by quantitative reverse transcription polymerase chain reaction. Therefore, we investigated the effects of a novel ATP-competitive pan-PIM inhibitor, AZD1897, on AML cell growth and survival. PIM inhibition showed limited single agent activity in AML cell lines and primary AML cells, including those with or without FLT3-internal tandem duplication (ITD) mutation. However, significant synergy was seen when AZD1897 was combined with the Akt inhibitor AZD5363, a compound that is in early-phase clinical trials. AML cells from putative leukaemia stem cell subsets, including CD34+38- and CD34+38+ fractions, were equivalently affected by dual PIM/Akt inhibition when compared with bulk tumour cells. Analysis of downstream signalling pathways showed that combined PIM/Akt inhibition downregulated mTOR outputs (phosphorylation of 4EBP1 and S6) and markedly reduced levels of the anti-apoptotic protein MCL1. The combination of PIM and Akt inhibition holds promise for the treatment of AML.","DOI":"10.1111/bjh.13013","ISSN":"1365-2141","note":"PMID: 24975213","journalAbbreviation":"Br. J. Haematol.","language":"eng","author":[{"family":"Meja","given":"Koremu"},{"family":"Stengel","given":"Chloe"},{"family":"Sellar","given":"Rob"},{"family":"Huszar","given":"Dennis"},{"family":"Davies","given":"Barry R."},{"family":"Gale","given":"Rosemary E."},{"family":"Linch","given":"David C."},{"family":"Khwaja","given":"Asim"}],"issued":{"date-parts":[["2014",10]]}}}],"schema":"https://github.com/citation-style-language/schema/raw/master/csl-citation.json"} </w:instrText>
            </w:r>
            <w:r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[50]</w:t>
            </w:r>
            <w:r w:rsidRPr="008F7397">
              <w:rPr>
                <w:rFonts w:asciiTheme="majorBidi" w:hAnsiTheme="majorBidi" w:cstheme="majorBidi"/>
                <w:sz w:val="24"/>
                <w:szCs w:val="24"/>
              </w:rPr>
              <w:fldChar w:fldCharType="end"/>
            </w:r>
          </w:p>
        </w:tc>
      </w:tr>
      <w:tr w:rsidR="002E15BB" w:rsidRPr="008F7397" w:rsidTr="00303C4A">
        <w:trPr>
          <w:jc w:val="center"/>
        </w:trPr>
        <w:tc>
          <w:tcPr>
            <w:tcW w:w="138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EOL1</w:t>
            </w:r>
          </w:p>
        </w:tc>
        <w:tc>
          <w:tcPr>
            <w:tcW w:w="1418" w:type="dxa"/>
            <w:gridSpan w:val="3"/>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PI3K</w:t>
            </w:r>
          </w:p>
        </w:tc>
        <w:tc>
          <w:tcPr>
            <w:tcW w:w="1392" w:type="dxa"/>
          </w:tcPr>
          <w:p w:rsidR="002E15BB" w:rsidRPr="008F7397" w:rsidRDefault="002E15BB" w:rsidP="00017D03">
            <w:pPr>
              <w:rPr>
                <w:rFonts w:asciiTheme="majorBidi" w:hAnsiTheme="majorBidi" w:cstheme="majorBidi"/>
                <w:sz w:val="24"/>
                <w:szCs w:val="24"/>
              </w:rPr>
            </w:pPr>
          </w:p>
        </w:tc>
        <w:tc>
          <w:tcPr>
            <w:tcW w:w="1726"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Unchanged levels of proliferation</w:t>
            </w:r>
          </w:p>
        </w:tc>
        <w:tc>
          <w:tcPr>
            <w:tcW w:w="1251" w:type="dxa"/>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Increased apoptosis</w:t>
            </w:r>
          </w:p>
        </w:tc>
        <w:tc>
          <w:tcPr>
            <w:tcW w:w="158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No experimental data found in literature</w:t>
            </w:r>
          </w:p>
        </w:tc>
      </w:tr>
      <w:tr w:rsidR="002E15BB" w:rsidRPr="008F7397" w:rsidTr="00303C4A">
        <w:trPr>
          <w:jc w:val="center"/>
        </w:trPr>
        <w:tc>
          <w:tcPr>
            <w:tcW w:w="138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EOL1</w:t>
            </w:r>
          </w:p>
        </w:tc>
        <w:tc>
          <w:tcPr>
            <w:tcW w:w="1418" w:type="dxa"/>
            <w:gridSpan w:val="3"/>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PI3K+PIMs</w:t>
            </w:r>
          </w:p>
        </w:tc>
        <w:tc>
          <w:tcPr>
            <w:tcW w:w="1392" w:type="dxa"/>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Phosphorylation of S6 decreased</w:t>
            </w:r>
          </w:p>
        </w:tc>
        <w:tc>
          <w:tcPr>
            <w:tcW w:w="1726"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Decreased proliferation</w:t>
            </w:r>
          </w:p>
        </w:tc>
        <w:tc>
          <w:tcPr>
            <w:tcW w:w="1251" w:type="dxa"/>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Increased apoptosis</w:t>
            </w:r>
          </w:p>
        </w:tc>
        <w:tc>
          <w:tcPr>
            <w:tcW w:w="158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No experimental data found in literature</w:t>
            </w:r>
          </w:p>
        </w:tc>
      </w:tr>
      <w:tr w:rsidR="002E15BB" w:rsidRPr="008F7397" w:rsidTr="00303C4A">
        <w:trPr>
          <w:trHeight w:val="2400"/>
          <w:jc w:val="center"/>
        </w:trPr>
        <w:tc>
          <w:tcPr>
            <w:tcW w:w="1384" w:type="dxa"/>
            <w:gridSpan w:val="2"/>
            <w:tcBorders>
              <w:bottom w:val="nil"/>
            </w:tcBorders>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EOL1</w:t>
            </w:r>
          </w:p>
        </w:tc>
        <w:tc>
          <w:tcPr>
            <w:tcW w:w="1418" w:type="dxa"/>
            <w:gridSpan w:val="3"/>
            <w:tcBorders>
              <w:bottom w:val="nil"/>
            </w:tcBorders>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 xml:space="preserve">AKT </w:t>
            </w:r>
          </w:p>
        </w:tc>
        <w:tc>
          <w:tcPr>
            <w:tcW w:w="1392" w:type="dxa"/>
            <w:tcBorders>
              <w:bottom w:val="nil"/>
            </w:tcBorders>
          </w:tcPr>
          <w:p w:rsidR="002E15BB" w:rsidRPr="008F7397" w:rsidRDefault="002E15BB" w:rsidP="00017D03">
            <w:pPr>
              <w:rPr>
                <w:rFonts w:asciiTheme="majorBidi" w:hAnsiTheme="majorBidi" w:cstheme="majorBidi"/>
                <w:sz w:val="24"/>
                <w:szCs w:val="24"/>
              </w:rPr>
            </w:pPr>
          </w:p>
        </w:tc>
        <w:tc>
          <w:tcPr>
            <w:tcW w:w="1726" w:type="dxa"/>
            <w:gridSpan w:val="2"/>
            <w:tcBorders>
              <w:bottom w:val="nil"/>
            </w:tcBorders>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Unchanged levels of proliferation</w:t>
            </w:r>
          </w:p>
        </w:tc>
        <w:tc>
          <w:tcPr>
            <w:tcW w:w="1251" w:type="dxa"/>
            <w:tcBorders>
              <w:bottom w:val="nil"/>
            </w:tcBorders>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Increased apoptosis</w:t>
            </w:r>
          </w:p>
        </w:tc>
        <w:tc>
          <w:tcPr>
            <w:tcW w:w="1584" w:type="dxa"/>
            <w:gridSpan w:val="2"/>
            <w:tcBorders>
              <w:bottom w:val="nil"/>
            </w:tcBorders>
          </w:tcPr>
          <w:p w:rsidR="002E15BB" w:rsidRPr="008F7397" w:rsidRDefault="00760C56" w:rsidP="005D7A0D">
            <w:pPr>
              <w:rPr>
                <w:rFonts w:asciiTheme="majorBidi" w:hAnsiTheme="majorBidi" w:cstheme="majorBidi"/>
                <w:sz w:val="24"/>
                <w:szCs w:val="24"/>
              </w:rPr>
            </w:pPr>
            <w:r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ZKfV7afv","properties":{"formattedCitation":"[50]","plainCitation":"[50]"},"citationItems":[{"id":322,"uris":["http://zotero.org/users/2553926/items/C9C5WW4G"],"uri":["http://zotero.org/users/2553926/items/C9C5WW4G"],"itemData":{"id":322,"type":"article-journal","title":"PIM and AKT kinase inhibitors show synergistic cytotoxicity in acute myeloid leukaemia that is associated with convergence on mTOR and MCL1 pathways","container-title":"British Journal of Haematology","page":"69-79","volume":"167","issue":"1","source":"PubMed","abstract":"PIM kinases (PIM1, 2 and 3) are involved in cell proliferation and survival signalling and are emerging targets for the therapy of various malignancies. We found that a significant proportion of primary acute myeloid leukaemia (AML) samples showed PIM1 and PIM2 expression by quantitative reverse transcription polymerase chain reaction. Therefore, we investigated the effects of a novel ATP-competitive pan-PIM inhibitor, AZD1897, on AML cell growth and survival. PIM inhibition showed limited single agent activity in AML cell lines and primary AML cells, including those with or without FLT3-internal tandem duplication (ITD) mutation. However, significant synergy was seen when AZD1897 was combined with the Akt inhibitor AZD5363, a compound that is in early-phase clinical trials. AML cells from putative leukaemia stem cell subsets, including CD34+38- and CD34+38+ fractions, were equivalently affected by dual PIM/Akt inhibition when compared with bulk tumour cells. Analysis of downstream signalling pathways showed that combined PIM/Akt inhibition downregulated mTOR outputs (phosphorylation of 4EBP1 and S6) and markedly reduced levels of the anti-apoptotic protein MCL1. The combination of PIM and Akt inhibition holds promise for the treatment of AML.","DOI":"10.1111/bjh.13013","ISSN":"1365-2141","note":"PMID: 24975213","journalAbbreviation":"Br. J. Haematol.","language":"eng","author":[{"family":"Meja","given":"Koremu"},{"family":"Stengel","given":"Chloe"},{"family":"Sellar","given":"Rob"},{"family":"Huszar","given":"Dennis"},{"family":"Davies","given":"Barry R."},{"family":"Gale","given":"Rosemary E."},{"family":"Linch","given":"David C."},{"family":"Khwaja","given":"Asim"}],"issued":{"date-parts":[["2014",10]]}}}],"schema":"https://github.com/citation-style-language/schema/raw/master/csl-citation.json"} </w:instrText>
            </w:r>
            <w:r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[50]</w:t>
            </w:r>
            <w:r w:rsidRPr="008F7397">
              <w:rPr>
                <w:rFonts w:asciiTheme="majorBidi" w:hAnsiTheme="majorBidi" w:cstheme="majorBidi"/>
                <w:sz w:val="24"/>
                <w:szCs w:val="24"/>
              </w:rPr>
              <w:fldChar w:fldCharType="end"/>
            </w:r>
          </w:p>
        </w:tc>
      </w:tr>
      <w:tr w:rsidR="002E15BB" w:rsidRPr="008F7397" w:rsidTr="00303C4A">
        <w:trPr>
          <w:trHeight w:hRule="exact" w:val="20"/>
          <w:jc w:val="center"/>
        </w:trPr>
        <w:tc>
          <w:tcPr>
            <w:tcW w:w="1384" w:type="dxa"/>
            <w:gridSpan w:val="2"/>
            <w:tcBorders>
              <w:bottom w:val="nil"/>
            </w:tcBorders>
          </w:tcPr>
          <w:p w:rsidR="002E15BB" w:rsidRPr="008F7397" w:rsidRDefault="002E15BB" w:rsidP="00017D03">
            <w:pPr>
              <w:rPr>
                <w:rFonts w:asciiTheme="majorBidi" w:hAnsiTheme="majorBidi" w:cstheme="majorBidi"/>
                <w:sz w:val="24"/>
                <w:szCs w:val="24"/>
              </w:rPr>
            </w:pPr>
          </w:p>
        </w:tc>
        <w:tc>
          <w:tcPr>
            <w:tcW w:w="1418" w:type="dxa"/>
            <w:gridSpan w:val="3"/>
            <w:tcBorders>
              <w:bottom w:val="nil"/>
            </w:tcBorders>
          </w:tcPr>
          <w:p w:rsidR="002E15BB" w:rsidRPr="008F7397" w:rsidRDefault="002E15BB" w:rsidP="00017D03">
            <w:pPr>
              <w:rPr>
                <w:rFonts w:asciiTheme="majorBidi" w:hAnsiTheme="majorBidi" w:cstheme="majorBidi"/>
                <w:sz w:val="24"/>
                <w:szCs w:val="24"/>
              </w:rPr>
            </w:pPr>
          </w:p>
        </w:tc>
        <w:tc>
          <w:tcPr>
            <w:tcW w:w="1392" w:type="dxa"/>
            <w:tcBorders>
              <w:bottom w:val="nil"/>
            </w:tcBorders>
          </w:tcPr>
          <w:p w:rsidR="002E15BB" w:rsidRPr="008F7397" w:rsidRDefault="002E15BB" w:rsidP="00017D03">
            <w:pPr>
              <w:rPr>
                <w:rFonts w:asciiTheme="majorBidi" w:hAnsiTheme="majorBidi" w:cstheme="majorBidi"/>
                <w:sz w:val="24"/>
                <w:szCs w:val="24"/>
              </w:rPr>
            </w:pPr>
          </w:p>
        </w:tc>
        <w:tc>
          <w:tcPr>
            <w:tcW w:w="1726" w:type="dxa"/>
            <w:gridSpan w:val="2"/>
            <w:tcBorders>
              <w:bottom w:val="nil"/>
            </w:tcBorders>
          </w:tcPr>
          <w:p w:rsidR="002E15BB" w:rsidRPr="008F7397" w:rsidRDefault="002E15BB" w:rsidP="00017D03">
            <w:pPr>
              <w:rPr>
                <w:rFonts w:asciiTheme="majorBidi" w:hAnsiTheme="majorBidi" w:cstheme="majorBidi"/>
                <w:sz w:val="24"/>
                <w:szCs w:val="24"/>
              </w:rPr>
            </w:pPr>
          </w:p>
        </w:tc>
        <w:tc>
          <w:tcPr>
            <w:tcW w:w="1251" w:type="dxa"/>
            <w:tcBorders>
              <w:bottom w:val="nil"/>
            </w:tcBorders>
          </w:tcPr>
          <w:p w:rsidR="002E15BB" w:rsidRPr="008F7397" w:rsidRDefault="002E15BB" w:rsidP="00017D03">
            <w:pPr>
              <w:rPr>
                <w:rFonts w:asciiTheme="majorBidi" w:hAnsiTheme="majorBidi" w:cstheme="majorBidi"/>
                <w:sz w:val="24"/>
                <w:szCs w:val="24"/>
              </w:rPr>
            </w:pPr>
          </w:p>
        </w:tc>
        <w:tc>
          <w:tcPr>
            <w:tcW w:w="1584" w:type="dxa"/>
            <w:gridSpan w:val="2"/>
            <w:tcBorders>
              <w:bottom w:val="nil"/>
            </w:tcBorders>
          </w:tcPr>
          <w:p w:rsidR="002E15BB" w:rsidRPr="008F7397" w:rsidRDefault="002E15BB" w:rsidP="00017D03">
            <w:pPr>
              <w:rPr>
                <w:rFonts w:asciiTheme="majorBidi" w:hAnsiTheme="majorBidi" w:cstheme="majorBidi"/>
                <w:sz w:val="24"/>
                <w:szCs w:val="24"/>
              </w:rPr>
            </w:pPr>
          </w:p>
        </w:tc>
      </w:tr>
      <w:tr w:rsidR="002E15BB" w:rsidRPr="008F7397" w:rsidTr="00DA0399">
        <w:trPr>
          <w:cantSplit/>
          <w:trHeight w:val="45"/>
          <w:jc w:val="center"/>
        </w:trPr>
        <w:tc>
          <w:tcPr>
            <w:tcW w:w="8755" w:type="dxa"/>
            <w:gridSpan w:val="11"/>
            <w:tcBorders>
              <w:top w:val="nil"/>
              <w:left w:val="nil"/>
              <w:right w:val="nil"/>
            </w:tcBorders>
          </w:tcPr>
          <w:p w:rsidR="002E15BB" w:rsidRPr="008F7397" w:rsidRDefault="0004568F" w:rsidP="00017D03">
            <w:pPr>
              <w:rPr>
                <w:rFonts w:asciiTheme="majorBidi" w:hAnsiTheme="majorBidi" w:cstheme="majorBidi"/>
                <w:sz w:val="24"/>
                <w:szCs w:val="24"/>
              </w:rPr>
            </w:pPr>
            <w:r>
              <w:rPr>
                <w:rFonts w:asciiTheme="majorBidi" w:hAnsiTheme="majorBidi" w:cstheme="majorBidi"/>
                <w:b/>
                <w:bCs/>
                <w:sz w:val="24"/>
                <w:szCs w:val="24"/>
              </w:rPr>
              <w:t>Table S12</w:t>
            </w:r>
            <w:r w:rsidR="002E15BB" w:rsidRPr="008F7397">
              <w:rPr>
                <w:rFonts w:asciiTheme="majorBidi" w:hAnsiTheme="majorBidi" w:cstheme="majorBidi"/>
                <w:b/>
                <w:bCs/>
                <w:sz w:val="24"/>
                <w:szCs w:val="24"/>
              </w:rPr>
              <w:t xml:space="preserve"> Continue. </w:t>
            </w:r>
            <w:r w:rsidR="002E15BB" w:rsidRPr="008F7397">
              <w:rPr>
                <w:rFonts w:asciiTheme="majorBidi" w:hAnsiTheme="majorBidi" w:cstheme="majorBidi"/>
                <w:b/>
                <w:bCs/>
                <w:sz w:val="24"/>
                <w:szCs w:val="24"/>
                <w:lang w:val="en-US"/>
              </w:rPr>
              <w:t>Combination</w:t>
            </w:r>
            <w:r w:rsidR="002E15BB" w:rsidRPr="008F7397">
              <w:rPr>
                <w:rFonts w:asciiTheme="majorBidi" w:hAnsiTheme="majorBidi" w:cstheme="majorBidi"/>
                <w:sz w:val="24"/>
                <w:szCs w:val="24"/>
                <w:lang w:val="en-US"/>
              </w:rPr>
              <w:t xml:space="preserve"> </w:t>
            </w:r>
            <w:r w:rsidR="002E15BB" w:rsidRPr="008F7397">
              <w:rPr>
                <w:rFonts w:asciiTheme="majorBidi" w:hAnsiTheme="majorBidi" w:cstheme="majorBidi"/>
                <w:b/>
                <w:bCs/>
                <w:sz w:val="24"/>
                <w:szCs w:val="24"/>
                <w:lang w:val="en-US"/>
              </w:rPr>
              <w:t>strategy</w:t>
            </w:r>
          </w:p>
        </w:tc>
      </w:tr>
      <w:tr w:rsidR="002E15BB" w:rsidRPr="008F7397" w:rsidTr="00303C4A">
        <w:trPr>
          <w:cantSplit/>
          <w:trHeight w:val="45"/>
          <w:jc w:val="center"/>
        </w:trPr>
        <w:tc>
          <w:tcPr>
            <w:tcW w:w="1076" w:type="dxa"/>
            <w:vMerge w:val="restart"/>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b/>
                <w:bCs/>
                <w:sz w:val="24"/>
                <w:szCs w:val="24"/>
              </w:rPr>
              <w:t>Cell line</w:t>
            </w:r>
          </w:p>
        </w:tc>
        <w:tc>
          <w:tcPr>
            <w:tcW w:w="1584" w:type="dxa"/>
            <w:gridSpan w:val="3"/>
            <w:vMerge w:val="restart"/>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b/>
                <w:bCs/>
                <w:sz w:val="24"/>
                <w:szCs w:val="24"/>
              </w:rPr>
              <w:t>Inhibitors</w:t>
            </w:r>
          </w:p>
        </w:tc>
        <w:tc>
          <w:tcPr>
            <w:tcW w:w="4511" w:type="dxa"/>
            <w:gridSpan w:val="5"/>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b/>
                <w:bCs/>
                <w:sz w:val="24"/>
                <w:szCs w:val="24"/>
              </w:rPr>
              <w:t>In-Silico Predictions</w:t>
            </w:r>
          </w:p>
        </w:tc>
        <w:tc>
          <w:tcPr>
            <w:tcW w:w="1584" w:type="dxa"/>
            <w:gridSpan w:val="2"/>
            <w:vMerge w:val="restart"/>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b/>
                <w:bCs/>
                <w:sz w:val="24"/>
                <w:szCs w:val="24"/>
              </w:rPr>
              <w:t>Supporting Literature</w:t>
            </w:r>
          </w:p>
        </w:tc>
      </w:tr>
      <w:tr w:rsidR="002E15BB" w:rsidRPr="008F7397" w:rsidTr="00303C4A">
        <w:trPr>
          <w:cantSplit/>
          <w:trHeight w:val="45"/>
          <w:jc w:val="center"/>
        </w:trPr>
        <w:tc>
          <w:tcPr>
            <w:tcW w:w="1076" w:type="dxa"/>
            <w:vMerge/>
          </w:tcPr>
          <w:p w:rsidR="002E15BB" w:rsidRPr="008F7397" w:rsidRDefault="002E15BB" w:rsidP="00017D03">
            <w:pPr>
              <w:rPr>
                <w:rFonts w:asciiTheme="majorBidi" w:hAnsiTheme="majorBidi" w:cstheme="majorBidi"/>
                <w:sz w:val="24"/>
                <w:szCs w:val="24"/>
              </w:rPr>
            </w:pPr>
          </w:p>
        </w:tc>
        <w:tc>
          <w:tcPr>
            <w:tcW w:w="1584" w:type="dxa"/>
            <w:gridSpan w:val="3"/>
            <w:vMerge/>
          </w:tcPr>
          <w:p w:rsidR="002E15BB" w:rsidRPr="008F7397" w:rsidRDefault="002E15BB" w:rsidP="00017D03">
            <w:pPr>
              <w:rPr>
                <w:rFonts w:asciiTheme="majorBidi" w:hAnsiTheme="majorBidi" w:cstheme="majorBidi"/>
                <w:sz w:val="24"/>
                <w:szCs w:val="24"/>
              </w:rPr>
            </w:pPr>
          </w:p>
        </w:tc>
        <w:tc>
          <w:tcPr>
            <w:tcW w:w="153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b/>
                <w:bCs/>
                <w:sz w:val="24"/>
                <w:szCs w:val="24"/>
              </w:rPr>
              <w:t>Phosphorylation activity</w:t>
            </w:r>
          </w:p>
        </w:tc>
        <w:tc>
          <w:tcPr>
            <w:tcW w:w="1603" w:type="dxa"/>
          </w:tcPr>
          <w:p w:rsidR="002E15BB" w:rsidRPr="008F7397" w:rsidRDefault="002E15BB" w:rsidP="00017D03">
            <w:pPr>
              <w:rPr>
                <w:rFonts w:asciiTheme="majorBidi" w:hAnsiTheme="majorBidi" w:cstheme="majorBidi"/>
                <w:b/>
                <w:bCs/>
                <w:sz w:val="24"/>
                <w:szCs w:val="24"/>
              </w:rPr>
            </w:pPr>
            <w:r w:rsidRPr="008F7397">
              <w:rPr>
                <w:rFonts w:asciiTheme="majorBidi" w:hAnsiTheme="majorBidi" w:cstheme="majorBidi"/>
                <w:b/>
                <w:bCs/>
                <w:sz w:val="24"/>
                <w:szCs w:val="24"/>
              </w:rPr>
              <w:t>Proliferation</w:t>
            </w:r>
          </w:p>
        </w:tc>
        <w:tc>
          <w:tcPr>
            <w:tcW w:w="137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b/>
                <w:bCs/>
                <w:sz w:val="24"/>
                <w:szCs w:val="24"/>
              </w:rPr>
              <w:t>Apoptosis</w:t>
            </w:r>
          </w:p>
        </w:tc>
        <w:tc>
          <w:tcPr>
            <w:tcW w:w="1584" w:type="dxa"/>
            <w:gridSpan w:val="2"/>
            <w:vMerge/>
          </w:tcPr>
          <w:p w:rsidR="002E15BB" w:rsidRPr="008F7397" w:rsidRDefault="002E15BB" w:rsidP="00017D03">
            <w:pPr>
              <w:rPr>
                <w:rFonts w:asciiTheme="majorBidi" w:hAnsiTheme="majorBidi" w:cstheme="majorBidi"/>
                <w:sz w:val="24"/>
                <w:szCs w:val="24"/>
              </w:rPr>
            </w:pPr>
          </w:p>
        </w:tc>
      </w:tr>
      <w:tr w:rsidR="002E15BB" w:rsidRPr="008F7397" w:rsidTr="00303C4A">
        <w:trPr>
          <w:cantSplit/>
          <w:trHeight w:val="45"/>
          <w:jc w:val="center"/>
        </w:trPr>
        <w:tc>
          <w:tcPr>
            <w:tcW w:w="1076" w:type="dxa"/>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lastRenderedPageBreak/>
              <w:t>EOL1</w:t>
            </w:r>
          </w:p>
        </w:tc>
        <w:tc>
          <w:tcPr>
            <w:tcW w:w="1584" w:type="dxa"/>
            <w:gridSpan w:val="3"/>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AKT+PIMs</w:t>
            </w:r>
          </w:p>
        </w:tc>
        <w:tc>
          <w:tcPr>
            <w:tcW w:w="153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Phosphorylation of Bad slightly  decreased, S6 decreased</w:t>
            </w:r>
          </w:p>
        </w:tc>
        <w:tc>
          <w:tcPr>
            <w:tcW w:w="1603" w:type="dxa"/>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Decreased proliferation</w:t>
            </w:r>
          </w:p>
        </w:tc>
        <w:tc>
          <w:tcPr>
            <w:tcW w:w="137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Increased apoptosis</w:t>
            </w:r>
          </w:p>
        </w:tc>
        <w:tc>
          <w:tcPr>
            <w:tcW w:w="1584" w:type="dxa"/>
            <w:gridSpan w:val="2"/>
          </w:tcPr>
          <w:p w:rsidR="002E15BB" w:rsidRPr="008F7397" w:rsidRDefault="00760C56" w:rsidP="005D7A0D">
            <w:pPr>
              <w:rPr>
                <w:rFonts w:asciiTheme="majorBidi" w:hAnsiTheme="majorBidi" w:cstheme="majorBidi"/>
                <w:sz w:val="24"/>
                <w:szCs w:val="24"/>
              </w:rPr>
            </w:pPr>
            <w:r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jNdyBRGO","properties":{"formattedCitation":"[50]","plainCitation":"[50]"},"citationItems":[{"id":322,"uris":["http://zotero.org/users/2553926/items/C9C5WW4G"],"uri":["http://zotero.org/users/2553926/items/C9C5WW4G"],"itemData":{"id":322,"type":"article-journal","title":"PIM and AKT kinase inhibitors show synergistic cytotoxicity in acute myeloid leukaemia that is associated with convergence on mTOR and MCL1 pathways","container-title":"British Journal of Haematology","page":"69-79","volume":"167","issue":"1","source":"PubMed","abstract":"PIM kinases (PIM1, 2 and 3) are involved in cell proliferation and survival signalling and are emerging targets for the therapy of various malignancies. We found that a significant proportion of primary acute myeloid leukaemia (AML) samples showed PIM1 and PIM2 expression by quantitative reverse transcription polymerase chain reaction. Therefore, we investigated the effects of a novel ATP-competitive pan-PIM inhibitor, AZD1897, on AML cell growth and survival. PIM inhibition showed limited single agent activity in AML cell lines and primary AML cells, including those with or without FLT3-internal tandem duplication (ITD) mutation. However, significant synergy was seen when AZD1897 was combined with the Akt inhibitor AZD5363, a compound that is in early-phase clinical trials. AML cells from putative leukaemia stem cell subsets, including CD34+38- and CD34+38+ fractions, were equivalently affected by dual PIM/Akt inhibition when compared with bulk tumour cells. Analysis of downstream signalling pathways showed that combined PIM/Akt inhibition downregulated mTOR outputs (phosphorylation of 4EBP1 and S6) and markedly reduced levels of the anti-apoptotic protein MCL1. The combination of PIM and Akt inhibition holds promise for the treatment of AML.","DOI":"10.1111/bjh.13013","ISSN":"1365-2141","note":"PMID: 24975213","journalAbbreviation":"Br. J. Haematol.","language":"eng","author":[{"family":"Meja","given":"Koremu"},{"family":"Stengel","given":"Chloe"},{"family":"Sellar","given":"Rob"},{"family":"Huszar","given":"Dennis"},{"family":"Davies","given":"Barry R."},{"family":"Gale","given":"Rosemary E."},{"family":"Linch","given":"David C."},{"family":"Khwaja","given":"Asim"}],"issued":{"date-parts":[["2014",10]]}}}],"schema":"https://github.com/citation-style-language/schema/raw/master/csl-citation.json"} </w:instrText>
            </w:r>
            <w:r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[50]</w:t>
            </w:r>
            <w:r w:rsidRPr="008F7397">
              <w:rPr>
                <w:rFonts w:asciiTheme="majorBidi" w:hAnsiTheme="majorBidi" w:cstheme="majorBidi"/>
                <w:sz w:val="24"/>
                <w:szCs w:val="24"/>
              </w:rPr>
              <w:fldChar w:fldCharType="end"/>
            </w:r>
          </w:p>
        </w:tc>
      </w:tr>
      <w:tr w:rsidR="002E15BB" w:rsidRPr="008F7397" w:rsidTr="00303C4A">
        <w:trPr>
          <w:jc w:val="center"/>
        </w:trPr>
        <w:tc>
          <w:tcPr>
            <w:tcW w:w="1076" w:type="dxa"/>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EOL1</w:t>
            </w:r>
          </w:p>
        </w:tc>
        <w:tc>
          <w:tcPr>
            <w:tcW w:w="1584" w:type="dxa"/>
            <w:gridSpan w:val="3"/>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MEK</w:t>
            </w:r>
          </w:p>
        </w:tc>
        <w:tc>
          <w:tcPr>
            <w:tcW w:w="1534" w:type="dxa"/>
            <w:gridSpan w:val="2"/>
          </w:tcPr>
          <w:p w:rsidR="002E15BB" w:rsidRPr="008F7397" w:rsidRDefault="002E15BB" w:rsidP="00017D03">
            <w:pPr>
              <w:rPr>
                <w:rFonts w:asciiTheme="majorBidi" w:hAnsiTheme="majorBidi" w:cstheme="majorBidi"/>
                <w:sz w:val="24"/>
                <w:szCs w:val="24"/>
              </w:rPr>
            </w:pPr>
          </w:p>
        </w:tc>
        <w:tc>
          <w:tcPr>
            <w:tcW w:w="1603" w:type="dxa"/>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No change</w:t>
            </w:r>
          </w:p>
        </w:tc>
        <w:tc>
          <w:tcPr>
            <w:tcW w:w="137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Unchanged levels of apoptosis</w:t>
            </w:r>
          </w:p>
        </w:tc>
        <w:tc>
          <w:tcPr>
            <w:tcW w:w="1584" w:type="dxa"/>
            <w:gridSpan w:val="2"/>
          </w:tcPr>
          <w:p w:rsidR="002E15BB" w:rsidRPr="008F7397" w:rsidRDefault="002E15BB" w:rsidP="005D7A0D">
            <w:pPr>
              <w:rPr>
                <w:rFonts w:asciiTheme="majorBidi" w:hAnsiTheme="majorBidi" w:cstheme="majorBidi"/>
                <w:sz w:val="24"/>
                <w:szCs w:val="24"/>
              </w:rPr>
            </w:pPr>
            <w:r w:rsidRPr="008F7397">
              <w:rPr>
                <w:rFonts w:asciiTheme="majorBidi" w:hAnsiTheme="majorBidi" w:cstheme="majorBidi"/>
                <w:sz w:val="24"/>
                <w:szCs w:val="24"/>
              </w:rPr>
              <w:t xml:space="preserve">Apoptosis was concurred with </w:t>
            </w:r>
            <w:r w:rsidR="00760C56" w:rsidRPr="008F7397">
              <w:rPr>
                <w:rFonts w:asciiTheme="majorBidi" w:hAnsiTheme="majorBidi" w:cstheme="majorBidi"/>
                <w:sz w:val="24"/>
                <w:szCs w:val="24"/>
              </w:rPr>
              <w:fldChar w:fldCharType="begin"/>
            </w:r>
            <w:r w:rsidR="005D7A0D" w:rsidRPr="008F7397">
              <w:rPr>
                <w:rFonts w:asciiTheme="majorBidi" w:hAnsiTheme="majorBidi" w:cstheme="majorBidi"/>
                <w:sz w:val="24"/>
                <w:szCs w:val="24"/>
              </w:rPr>
              <w:instrText xml:space="preserve"> ADDIN ZOTERO_ITEM CSL_CITATION {"citationID":"3SYtiCNJ","properties":{"formattedCitation":"[49]","plainCitation":"[49]"},"citationItems":[{"id":467,"uris":["http://zotero.org/users/2553926/items/GUJAB348"],"uri":["http://zotero.org/users/2553926/items/GUJAB348"],"itemData":{"id":467,"type":"article-journal","title":"Inhibition of MEK/ERK signaling induces apoptosis of acute myelogenous leukemia cells via inhibition of eukaryotic initiation factor 4E-binding protein 1 and down-regulation of Mcl-1","container-title":"Apoptosis: An International Journal on Programmed Cell Death","page":"795-804","volume":"15","issue":"7","source":"PubMed","abstract":"We previously showed that the MEK inhibitor AZD6244 induced apoptosis in acute myelogenous leukemia (AML) HL60 cells. However, the mechanisms of AZD6244 to induce apoptosis remain to be fully elucidated. This study found that exposure of HL60 cells to AZD6244 down-regulated the levels of phosphor (p)-4E-binding protein 1 (4E-BP1), a substrate of mammalian target of rapamycin complex 1 (mTORC1), and anti-apoptotic protein Mcl-1. On the other hand, exposure of EOL-1 and MOLM13 cells to AZD6244 failed to induce apoptosis and levels of p-4E-BP1 and Mcl-1 were not down-regulated in these cells. These observations prompted us to hypothesize that down-regulation od 4E-BP1 and Mcl-1 might play an important role in AZD6244-mediated apoptosis. As expected, down-regulation of 4E-BP1 by an siRNA sensitized EOL-1 cells to AZD6244-mediated apoptosis in parallel with down-regulation of Mcl-1. Moreover, we found that blockade of mTORC1 by RAD001 synergistically enhanced the action of AZD6244 in leukemia cells.","DOI":"10.1007/s10495-010-0483-y","ISSN":"1573-675X","note":"PMID: 20221697","journalAbbreviation":"Apoptosis","language":"eng","author":[{"family":"Nishioka","given":"Chie"},{"family":"Ikezoe","given":"Takayuki"},{"family":"Yang","given":"Jing"},{"family":"Yokoyama","given":"Akihito"}],"issued":{"date-parts":[["2010",7]]}}}],"schema":"https://github.com/citation-style-language/schema/raw/master/csl-citation.json"} </w:instrText>
            </w:r>
            <w:r w:rsidR="00760C56" w:rsidRPr="008F7397">
              <w:rPr>
                <w:rFonts w:asciiTheme="majorBidi" w:hAnsiTheme="majorBidi" w:cstheme="majorBidi"/>
                <w:sz w:val="24"/>
                <w:szCs w:val="24"/>
              </w:rPr>
              <w:fldChar w:fldCharType="separate"/>
            </w:r>
            <w:r w:rsidR="005D7A0D" w:rsidRPr="008F7397">
              <w:rPr>
                <w:rFonts w:ascii="Times New Roman" w:hAnsi="Times New Roman" w:cs="Times New Roman"/>
                <w:sz w:val="24"/>
              </w:rPr>
              <w:t>[49]</w:t>
            </w:r>
            <w:r w:rsidR="00760C56" w:rsidRPr="008F7397">
              <w:rPr>
                <w:rFonts w:asciiTheme="majorBidi" w:hAnsiTheme="majorBidi" w:cstheme="majorBidi"/>
                <w:sz w:val="24"/>
                <w:szCs w:val="24"/>
              </w:rPr>
              <w:fldChar w:fldCharType="end"/>
            </w:r>
            <w:r w:rsidRPr="008F7397">
              <w:rPr>
                <w:rFonts w:asciiTheme="majorBidi" w:hAnsiTheme="majorBidi" w:cstheme="majorBidi"/>
                <w:sz w:val="24"/>
                <w:szCs w:val="24"/>
              </w:rPr>
              <w:t>, proliferation verification was not found</w:t>
            </w:r>
          </w:p>
        </w:tc>
      </w:tr>
      <w:tr w:rsidR="002E15BB" w:rsidRPr="008F7397" w:rsidTr="00303C4A">
        <w:trPr>
          <w:jc w:val="center"/>
        </w:trPr>
        <w:tc>
          <w:tcPr>
            <w:tcW w:w="1076" w:type="dxa"/>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EOL1</w:t>
            </w:r>
          </w:p>
        </w:tc>
        <w:tc>
          <w:tcPr>
            <w:tcW w:w="1584" w:type="dxa"/>
            <w:gridSpan w:val="3"/>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MEK + PIMs</w:t>
            </w:r>
          </w:p>
        </w:tc>
        <w:tc>
          <w:tcPr>
            <w:tcW w:w="1534" w:type="dxa"/>
            <w:gridSpan w:val="2"/>
          </w:tcPr>
          <w:p w:rsidR="002E15BB" w:rsidRPr="008F7397" w:rsidRDefault="002E15BB" w:rsidP="00017D03">
            <w:pPr>
              <w:rPr>
                <w:rFonts w:asciiTheme="majorBidi" w:hAnsiTheme="majorBidi" w:cstheme="majorBidi"/>
                <w:sz w:val="24"/>
                <w:szCs w:val="24"/>
              </w:rPr>
            </w:pPr>
          </w:p>
        </w:tc>
        <w:tc>
          <w:tcPr>
            <w:tcW w:w="1603" w:type="dxa"/>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Decreased proliferation</w:t>
            </w:r>
          </w:p>
        </w:tc>
        <w:tc>
          <w:tcPr>
            <w:tcW w:w="137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Very slightly increased apoptosis</w:t>
            </w:r>
          </w:p>
        </w:tc>
        <w:tc>
          <w:tcPr>
            <w:tcW w:w="158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No experimental data found in literature</w:t>
            </w:r>
          </w:p>
        </w:tc>
      </w:tr>
      <w:tr w:rsidR="002E15BB" w:rsidRPr="008F7397" w:rsidTr="00303C4A">
        <w:trPr>
          <w:jc w:val="center"/>
        </w:trPr>
        <w:tc>
          <w:tcPr>
            <w:tcW w:w="1076" w:type="dxa"/>
          </w:tcPr>
          <w:p w:rsidR="002E15BB" w:rsidRPr="008F7397" w:rsidRDefault="002E15BB" w:rsidP="009D21C5">
            <w:pPr>
              <w:rPr>
                <w:rFonts w:asciiTheme="majorBidi" w:hAnsiTheme="majorBidi" w:cstheme="majorBidi"/>
                <w:sz w:val="24"/>
                <w:szCs w:val="24"/>
              </w:rPr>
            </w:pPr>
            <w:r w:rsidRPr="008F7397">
              <w:rPr>
                <w:rFonts w:asciiTheme="majorBidi" w:hAnsiTheme="majorBidi" w:cstheme="majorBidi"/>
                <w:sz w:val="24"/>
                <w:szCs w:val="24"/>
              </w:rPr>
              <w:t xml:space="preserve">KG1a </w:t>
            </w:r>
          </w:p>
        </w:tc>
        <w:tc>
          <w:tcPr>
            <w:tcW w:w="1584" w:type="dxa"/>
            <w:gridSpan w:val="3"/>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PIMs</w:t>
            </w:r>
          </w:p>
        </w:tc>
        <w:tc>
          <w:tcPr>
            <w:tcW w:w="153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Phosphorylation of Bad decreased, S6 slightly decreased</w:t>
            </w:r>
          </w:p>
        </w:tc>
        <w:tc>
          <w:tcPr>
            <w:tcW w:w="1603" w:type="dxa"/>
          </w:tcPr>
          <w:p w:rsidR="002E15BB" w:rsidRPr="008F7397" w:rsidRDefault="002E15BB" w:rsidP="00017D03">
            <w:pPr>
              <w:jc w:val="center"/>
              <w:rPr>
                <w:rFonts w:asciiTheme="majorBidi" w:hAnsiTheme="majorBidi" w:cstheme="majorBidi"/>
                <w:sz w:val="24"/>
                <w:szCs w:val="24"/>
              </w:rPr>
            </w:pPr>
            <w:r w:rsidRPr="008F7397">
              <w:rPr>
                <w:rFonts w:asciiTheme="majorBidi" w:hAnsiTheme="majorBidi" w:cstheme="majorBidi"/>
                <w:sz w:val="24"/>
                <w:szCs w:val="24"/>
              </w:rPr>
              <w:t>Moderately decreased proliferation</w:t>
            </w:r>
          </w:p>
        </w:tc>
        <w:tc>
          <w:tcPr>
            <w:tcW w:w="137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Very slightly increased apoptosis</w:t>
            </w:r>
          </w:p>
        </w:tc>
        <w:tc>
          <w:tcPr>
            <w:tcW w:w="158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Internal experiments conducted verified response (Fig 5C)</w:t>
            </w:r>
          </w:p>
        </w:tc>
      </w:tr>
      <w:tr w:rsidR="002E15BB" w:rsidRPr="008F7397" w:rsidTr="00303C4A">
        <w:trPr>
          <w:trHeight w:val="1826"/>
          <w:jc w:val="center"/>
        </w:trPr>
        <w:tc>
          <w:tcPr>
            <w:tcW w:w="1076" w:type="dxa"/>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KG1a</w:t>
            </w:r>
          </w:p>
        </w:tc>
        <w:tc>
          <w:tcPr>
            <w:tcW w:w="1584" w:type="dxa"/>
            <w:gridSpan w:val="3"/>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PI3K</w:t>
            </w:r>
          </w:p>
        </w:tc>
        <w:tc>
          <w:tcPr>
            <w:tcW w:w="153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Phosphorylation of Bad unchanged, S6 decreased</w:t>
            </w:r>
          </w:p>
        </w:tc>
        <w:tc>
          <w:tcPr>
            <w:tcW w:w="1603" w:type="dxa"/>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Unchanged levels of proliferation</w:t>
            </w:r>
          </w:p>
        </w:tc>
        <w:tc>
          <w:tcPr>
            <w:tcW w:w="137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Moderately increased apoptosis</w:t>
            </w:r>
          </w:p>
        </w:tc>
        <w:tc>
          <w:tcPr>
            <w:tcW w:w="1584" w:type="dxa"/>
            <w:gridSpan w:val="2"/>
          </w:tcPr>
          <w:p w:rsidR="002E15BB" w:rsidRPr="008F7397" w:rsidRDefault="00760C56" w:rsidP="005D7A0D">
            <w:pPr>
              <w:rPr>
                <w:rFonts w:asciiTheme="majorBidi" w:hAnsiTheme="majorBidi" w:cstheme="majorBidi"/>
              </w:rPr>
            </w:pPr>
            <w:r w:rsidRPr="008F7397">
              <w:rPr>
                <w:rFonts w:asciiTheme="majorBidi" w:hAnsiTheme="majorBidi" w:cstheme="majorBidi"/>
              </w:rPr>
              <w:fldChar w:fldCharType="begin"/>
            </w:r>
            <w:r w:rsidR="005D7A0D" w:rsidRPr="008F7397">
              <w:rPr>
                <w:rFonts w:asciiTheme="majorBidi" w:hAnsiTheme="majorBidi" w:cstheme="majorBidi"/>
              </w:rPr>
              <w:instrText xml:space="preserve"> ADDIN ZOTERO_ITEM CSL_CITATION {"citationID":"9wpDCVMo","properties":{"formattedCitation":"[51]","plainCitation":"[51]"},"citationItems":[{"id":472,"uris":["http://zotero.org/users/2553926/items/RU6TUVBJ"],"uri":["http://zotero.org/users/2553926/items/RU6TUVBJ"],"itemData":{"id":472,"type":"article-journal","title":"Growth inhibition, cytokinesis failure and apoptosis of multidrug-resistant leukemia cells after treatment with P-glycoprotein inhibitory agents","container-title":"Leukemia","page":"768-778","volume":"13","issue":"5","source":"PubMed","abstract":"The multidrug transporter P-glycoprotein (Pgp), which is frequently overexpressed in multidrug resistant leukemia, has many proposed physiological functions including involvement in transmembraneous transport of certain growth-regulating cytokines. Therefore, we studied cell growth of three pairs of drug resistant and sensitive leukemia cell lines (KG1a, K562 and HL60) exposed to three different inhibitors of Pgp. The resistant KG1a and K562 sublines, which expressed high levels of Pgp, responded to low doses of the cyclosporin SDZ PSC 833, the cyclopeptolide SDZ 280-446, and the cyclopropyldibenzosuberane LY335979 with a dose-dependent growth inhibition. In the resistant variants of KG1a and K562 cells the mean half-maximal growth inhibitory doses (GI50) of SDZ PSC 833 were 312 (SE 41) and 414 (SE 50) nM, those of SDZ 280-446 were 685 (SE 51) and 578 (SE 54) nM, and those of LY335979 were 66 (SE 1) and 48 (SE 8) nM, respectively. Exposure to 1 microM SDZ PSC 833 resulted in tetraploidization, cytokinesis failure and apoptosis of the KG1a and K562 MDR variants. Conversely, parental cells with no or low levels of Pgp and the non-Pgp resistant variant of HL60 cells were not receptive to these cytotoxic effects. We conclude that inhibition of Pgp may exercise selective cytotoxicity in Pgp-rich leukemia cells indicating a possible therapeutic target in multiresistant leukemia.","ISSN":"0887-6924","note":"PMID: 10374882","journalAbbreviation":"Leukemia","language":"eng","author":[{"family":"Lehne","given":"G."},{"family":"De Angelis","given":"P."},{"family":"Boer","given":"M.","non-dropping-particle":"den"},{"family":"Rugstad","given":"H. E."}],"issued":{"date-parts":[["1999",5]]}}}],"schema":"https://github.com/citation-style-language/schema/raw/master/csl-citation.json"} </w:instrText>
            </w:r>
            <w:r w:rsidRPr="008F7397">
              <w:rPr>
                <w:rFonts w:asciiTheme="majorBidi" w:hAnsiTheme="majorBidi" w:cstheme="majorBidi"/>
              </w:rPr>
              <w:fldChar w:fldCharType="separate"/>
            </w:r>
            <w:r w:rsidR="005D7A0D" w:rsidRPr="008F7397">
              <w:rPr>
                <w:rFonts w:ascii="Times New Roman" w:hAnsi="Times New Roman" w:cs="Times New Roman"/>
              </w:rPr>
              <w:t>[51]</w:t>
            </w:r>
            <w:r w:rsidRPr="008F7397">
              <w:rPr>
                <w:rFonts w:asciiTheme="majorBidi" w:hAnsiTheme="majorBidi" w:cstheme="majorBidi"/>
              </w:rPr>
              <w:fldChar w:fldCharType="end"/>
            </w:r>
          </w:p>
          <w:p w:rsidR="002E15BB" w:rsidRPr="008F7397" w:rsidRDefault="002E15BB" w:rsidP="00DD6C89">
            <w:pPr>
              <w:rPr>
                <w:rFonts w:asciiTheme="majorBidi" w:hAnsiTheme="majorBidi" w:cstheme="majorBidi"/>
              </w:rPr>
            </w:pPr>
            <w:r w:rsidRPr="008F7397">
              <w:rPr>
                <w:rFonts w:asciiTheme="majorBidi" w:hAnsiTheme="majorBidi" w:cstheme="majorBidi"/>
                <w:sz w:val="24"/>
                <w:szCs w:val="24"/>
              </w:rPr>
              <w:t>demonstrated apoptotic signal in response to LY335979</w:t>
            </w:r>
          </w:p>
        </w:tc>
      </w:tr>
      <w:tr w:rsidR="002E15BB" w:rsidRPr="008F7397" w:rsidTr="00303C4A">
        <w:trPr>
          <w:trHeight w:val="1439"/>
          <w:jc w:val="center"/>
        </w:trPr>
        <w:tc>
          <w:tcPr>
            <w:tcW w:w="1076" w:type="dxa"/>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KG1a</w:t>
            </w:r>
          </w:p>
        </w:tc>
        <w:tc>
          <w:tcPr>
            <w:tcW w:w="1584" w:type="dxa"/>
            <w:gridSpan w:val="3"/>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PI3K+PIMs</w:t>
            </w:r>
          </w:p>
        </w:tc>
        <w:tc>
          <w:tcPr>
            <w:tcW w:w="153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Phosphorylation of Bad decreased, S6 decreased</w:t>
            </w:r>
          </w:p>
        </w:tc>
        <w:tc>
          <w:tcPr>
            <w:tcW w:w="1603" w:type="dxa"/>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Moderately decreased proliferation</w:t>
            </w:r>
          </w:p>
        </w:tc>
        <w:tc>
          <w:tcPr>
            <w:tcW w:w="137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 xml:space="preserve">Increased </w:t>
            </w:r>
          </w:p>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apoptosis</w:t>
            </w:r>
          </w:p>
        </w:tc>
        <w:tc>
          <w:tcPr>
            <w:tcW w:w="158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No experimental data found in literature</w:t>
            </w:r>
          </w:p>
        </w:tc>
      </w:tr>
      <w:tr w:rsidR="002E15BB" w:rsidRPr="008F7397" w:rsidTr="00303C4A">
        <w:trPr>
          <w:trHeight w:val="3358"/>
          <w:jc w:val="center"/>
        </w:trPr>
        <w:tc>
          <w:tcPr>
            <w:tcW w:w="1076" w:type="dxa"/>
            <w:tcBorders>
              <w:bottom w:val="nil"/>
            </w:tcBorders>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KG1a</w:t>
            </w:r>
          </w:p>
        </w:tc>
        <w:tc>
          <w:tcPr>
            <w:tcW w:w="1584" w:type="dxa"/>
            <w:gridSpan w:val="3"/>
            <w:tcBorders>
              <w:bottom w:val="nil"/>
            </w:tcBorders>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 xml:space="preserve">AKT </w:t>
            </w:r>
          </w:p>
        </w:tc>
        <w:tc>
          <w:tcPr>
            <w:tcW w:w="1534" w:type="dxa"/>
            <w:gridSpan w:val="2"/>
            <w:tcBorders>
              <w:bottom w:val="nil"/>
            </w:tcBorders>
          </w:tcPr>
          <w:p w:rsidR="002E15BB" w:rsidRPr="008F7397" w:rsidRDefault="002E15BB" w:rsidP="00017D03">
            <w:pPr>
              <w:rPr>
                <w:rFonts w:asciiTheme="majorBidi" w:hAnsiTheme="majorBidi" w:cstheme="majorBidi"/>
                <w:sz w:val="24"/>
                <w:szCs w:val="24"/>
              </w:rPr>
            </w:pPr>
          </w:p>
        </w:tc>
        <w:tc>
          <w:tcPr>
            <w:tcW w:w="1603" w:type="dxa"/>
            <w:tcBorders>
              <w:bottom w:val="nil"/>
            </w:tcBorders>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Unchanged levels of proliferation</w:t>
            </w:r>
            <w:r w:rsidRPr="008F7397" w:rsidDel="00350A39">
              <w:rPr>
                <w:rFonts w:asciiTheme="majorBidi" w:hAnsiTheme="majorBidi" w:cstheme="majorBidi"/>
                <w:sz w:val="24"/>
                <w:szCs w:val="24"/>
              </w:rPr>
              <w:t xml:space="preserve"> </w:t>
            </w:r>
          </w:p>
        </w:tc>
        <w:tc>
          <w:tcPr>
            <w:tcW w:w="1374" w:type="dxa"/>
            <w:gridSpan w:val="2"/>
            <w:tcBorders>
              <w:bottom w:val="nil"/>
            </w:tcBorders>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Moderately increased apoptosis</w:t>
            </w:r>
          </w:p>
        </w:tc>
        <w:tc>
          <w:tcPr>
            <w:tcW w:w="1584" w:type="dxa"/>
            <w:gridSpan w:val="2"/>
            <w:tcBorders>
              <w:bottom w:val="nil"/>
            </w:tcBorders>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No experimental data found in literature</w:t>
            </w:r>
          </w:p>
        </w:tc>
      </w:tr>
      <w:tr w:rsidR="002E15BB" w:rsidRPr="008F7397" w:rsidTr="00303C4A">
        <w:trPr>
          <w:trHeight w:hRule="exact" w:val="23"/>
          <w:jc w:val="center"/>
        </w:trPr>
        <w:tc>
          <w:tcPr>
            <w:tcW w:w="1076" w:type="dxa"/>
            <w:tcBorders>
              <w:bottom w:val="nil"/>
            </w:tcBorders>
          </w:tcPr>
          <w:p w:rsidR="002E15BB" w:rsidRPr="008F7397" w:rsidRDefault="002E15BB" w:rsidP="00017D03">
            <w:pPr>
              <w:rPr>
                <w:rFonts w:asciiTheme="majorBidi" w:hAnsiTheme="majorBidi" w:cstheme="majorBidi"/>
                <w:sz w:val="24"/>
                <w:szCs w:val="24"/>
              </w:rPr>
            </w:pPr>
          </w:p>
        </w:tc>
        <w:tc>
          <w:tcPr>
            <w:tcW w:w="1584" w:type="dxa"/>
            <w:gridSpan w:val="3"/>
            <w:tcBorders>
              <w:bottom w:val="nil"/>
            </w:tcBorders>
          </w:tcPr>
          <w:p w:rsidR="002E15BB" w:rsidRPr="008F7397" w:rsidRDefault="002E15BB" w:rsidP="00017D03">
            <w:pPr>
              <w:rPr>
                <w:rFonts w:asciiTheme="majorBidi" w:hAnsiTheme="majorBidi" w:cstheme="majorBidi"/>
                <w:sz w:val="24"/>
                <w:szCs w:val="24"/>
              </w:rPr>
            </w:pPr>
          </w:p>
        </w:tc>
        <w:tc>
          <w:tcPr>
            <w:tcW w:w="1534" w:type="dxa"/>
            <w:gridSpan w:val="2"/>
            <w:tcBorders>
              <w:bottom w:val="nil"/>
            </w:tcBorders>
          </w:tcPr>
          <w:p w:rsidR="002E15BB" w:rsidRPr="008F7397" w:rsidRDefault="002E15BB" w:rsidP="00017D03">
            <w:pPr>
              <w:rPr>
                <w:rFonts w:asciiTheme="majorBidi" w:hAnsiTheme="majorBidi" w:cstheme="majorBidi"/>
                <w:sz w:val="24"/>
                <w:szCs w:val="24"/>
              </w:rPr>
            </w:pPr>
          </w:p>
        </w:tc>
        <w:tc>
          <w:tcPr>
            <w:tcW w:w="1603" w:type="dxa"/>
            <w:tcBorders>
              <w:bottom w:val="nil"/>
            </w:tcBorders>
          </w:tcPr>
          <w:p w:rsidR="002E15BB" w:rsidRPr="008F7397" w:rsidRDefault="002E15BB" w:rsidP="00017D03">
            <w:pPr>
              <w:rPr>
                <w:rFonts w:asciiTheme="majorBidi" w:hAnsiTheme="majorBidi" w:cstheme="majorBidi"/>
                <w:sz w:val="24"/>
                <w:szCs w:val="24"/>
              </w:rPr>
            </w:pPr>
          </w:p>
        </w:tc>
        <w:tc>
          <w:tcPr>
            <w:tcW w:w="1374" w:type="dxa"/>
            <w:gridSpan w:val="2"/>
            <w:tcBorders>
              <w:bottom w:val="nil"/>
            </w:tcBorders>
          </w:tcPr>
          <w:p w:rsidR="002E15BB" w:rsidRPr="008F7397" w:rsidRDefault="002E15BB" w:rsidP="00017D03">
            <w:pPr>
              <w:rPr>
                <w:rFonts w:asciiTheme="majorBidi" w:hAnsiTheme="majorBidi" w:cstheme="majorBidi"/>
                <w:sz w:val="24"/>
                <w:szCs w:val="24"/>
              </w:rPr>
            </w:pPr>
          </w:p>
        </w:tc>
        <w:tc>
          <w:tcPr>
            <w:tcW w:w="1584" w:type="dxa"/>
            <w:gridSpan w:val="2"/>
            <w:tcBorders>
              <w:bottom w:val="nil"/>
            </w:tcBorders>
          </w:tcPr>
          <w:p w:rsidR="002E15BB" w:rsidRPr="008F7397" w:rsidRDefault="002E15BB" w:rsidP="00017D03">
            <w:pPr>
              <w:rPr>
                <w:rFonts w:asciiTheme="majorBidi" w:hAnsiTheme="majorBidi" w:cstheme="majorBidi"/>
                <w:sz w:val="24"/>
                <w:szCs w:val="24"/>
              </w:rPr>
            </w:pPr>
          </w:p>
        </w:tc>
      </w:tr>
      <w:tr w:rsidR="002E15BB" w:rsidRPr="008F7397" w:rsidTr="00DA0399">
        <w:trPr>
          <w:cantSplit/>
          <w:jc w:val="center"/>
        </w:trPr>
        <w:tc>
          <w:tcPr>
            <w:tcW w:w="8755" w:type="dxa"/>
            <w:gridSpan w:val="11"/>
            <w:tcBorders>
              <w:top w:val="nil"/>
              <w:left w:val="nil"/>
              <w:right w:val="nil"/>
            </w:tcBorders>
          </w:tcPr>
          <w:p w:rsidR="002E15BB" w:rsidRPr="008F7397" w:rsidRDefault="0004568F" w:rsidP="00017D03">
            <w:pPr>
              <w:rPr>
                <w:rFonts w:asciiTheme="majorBidi" w:hAnsiTheme="majorBidi" w:cstheme="majorBidi"/>
                <w:sz w:val="24"/>
                <w:szCs w:val="24"/>
              </w:rPr>
            </w:pPr>
            <w:r>
              <w:rPr>
                <w:rFonts w:asciiTheme="majorBidi" w:hAnsiTheme="majorBidi" w:cstheme="majorBidi"/>
                <w:b/>
                <w:bCs/>
                <w:sz w:val="24"/>
                <w:szCs w:val="24"/>
              </w:rPr>
              <w:t>Table S12</w:t>
            </w:r>
            <w:r w:rsidR="002E15BB" w:rsidRPr="008F7397">
              <w:rPr>
                <w:rFonts w:asciiTheme="majorBidi" w:hAnsiTheme="majorBidi" w:cstheme="majorBidi"/>
                <w:b/>
                <w:bCs/>
                <w:sz w:val="24"/>
                <w:szCs w:val="24"/>
              </w:rPr>
              <w:t xml:space="preserve"> Continue. </w:t>
            </w:r>
            <w:r w:rsidR="002E15BB" w:rsidRPr="008F7397">
              <w:rPr>
                <w:rFonts w:asciiTheme="majorBidi" w:hAnsiTheme="majorBidi" w:cstheme="majorBidi"/>
                <w:b/>
                <w:bCs/>
                <w:sz w:val="24"/>
                <w:szCs w:val="24"/>
                <w:lang w:val="en-US"/>
              </w:rPr>
              <w:t>Combination</w:t>
            </w:r>
            <w:r w:rsidR="002E15BB" w:rsidRPr="008F7397">
              <w:rPr>
                <w:rFonts w:asciiTheme="majorBidi" w:hAnsiTheme="majorBidi" w:cstheme="majorBidi"/>
                <w:sz w:val="24"/>
                <w:szCs w:val="24"/>
                <w:lang w:val="en-US"/>
              </w:rPr>
              <w:t xml:space="preserve"> </w:t>
            </w:r>
            <w:r w:rsidR="002E15BB" w:rsidRPr="008F7397">
              <w:rPr>
                <w:rFonts w:asciiTheme="majorBidi" w:hAnsiTheme="majorBidi" w:cstheme="majorBidi"/>
                <w:b/>
                <w:bCs/>
                <w:sz w:val="24"/>
                <w:szCs w:val="24"/>
                <w:lang w:val="en-US"/>
              </w:rPr>
              <w:t>strategy</w:t>
            </w:r>
          </w:p>
        </w:tc>
      </w:tr>
      <w:tr w:rsidR="002E15BB" w:rsidRPr="008F7397" w:rsidTr="00303C4A">
        <w:trPr>
          <w:cantSplit/>
          <w:jc w:val="center"/>
        </w:trPr>
        <w:tc>
          <w:tcPr>
            <w:tcW w:w="1076" w:type="dxa"/>
            <w:vMerge w:val="restart"/>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b/>
                <w:bCs/>
                <w:sz w:val="24"/>
                <w:szCs w:val="24"/>
              </w:rPr>
              <w:t>Cell line</w:t>
            </w:r>
          </w:p>
        </w:tc>
        <w:tc>
          <w:tcPr>
            <w:tcW w:w="1410" w:type="dxa"/>
            <w:gridSpan w:val="2"/>
            <w:vMerge w:val="restart"/>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b/>
                <w:bCs/>
                <w:sz w:val="24"/>
                <w:szCs w:val="24"/>
              </w:rPr>
              <w:t>Inhibitors</w:t>
            </w:r>
          </w:p>
        </w:tc>
        <w:tc>
          <w:tcPr>
            <w:tcW w:w="4685" w:type="dxa"/>
            <w:gridSpan w:val="6"/>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b/>
                <w:bCs/>
                <w:sz w:val="24"/>
                <w:szCs w:val="24"/>
              </w:rPr>
              <w:t>In-Silico Predictions</w:t>
            </w:r>
          </w:p>
        </w:tc>
        <w:tc>
          <w:tcPr>
            <w:tcW w:w="1584" w:type="dxa"/>
            <w:gridSpan w:val="2"/>
            <w:vMerge w:val="restart"/>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b/>
                <w:bCs/>
                <w:sz w:val="24"/>
                <w:szCs w:val="24"/>
              </w:rPr>
              <w:t>Supporting Literature</w:t>
            </w:r>
          </w:p>
        </w:tc>
      </w:tr>
      <w:tr w:rsidR="002E15BB" w:rsidRPr="008F7397" w:rsidTr="00303C4A">
        <w:trPr>
          <w:cantSplit/>
          <w:jc w:val="center"/>
        </w:trPr>
        <w:tc>
          <w:tcPr>
            <w:tcW w:w="1076" w:type="dxa"/>
            <w:vMerge/>
          </w:tcPr>
          <w:p w:rsidR="002E15BB" w:rsidRPr="008F7397" w:rsidRDefault="002E15BB" w:rsidP="00017D03">
            <w:pPr>
              <w:rPr>
                <w:rFonts w:asciiTheme="majorBidi" w:hAnsiTheme="majorBidi" w:cstheme="majorBidi"/>
                <w:sz w:val="24"/>
                <w:szCs w:val="24"/>
              </w:rPr>
            </w:pPr>
          </w:p>
        </w:tc>
        <w:tc>
          <w:tcPr>
            <w:tcW w:w="1410" w:type="dxa"/>
            <w:gridSpan w:val="2"/>
            <w:vMerge/>
          </w:tcPr>
          <w:p w:rsidR="002E15BB" w:rsidRPr="008F7397" w:rsidRDefault="002E15BB" w:rsidP="00017D03">
            <w:pPr>
              <w:rPr>
                <w:rFonts w:asciiTheme="majorBidi" w:hAnsiTheme="majorBidi" w:cstheme="majorBidi"/>
                <w:sz w:val="24"/>
                <w:szCs w:val="24"/>
              </w:rPr>
            </w:pPr>
          </w:p>
        </w:tc>
        <w:tc>
          <w:tcPr>
            <w:tcW w:w="1708" w:type="dxa"/>
            <w:gridSpan w:val="3"/>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b/>
                <w:bCs/>
                <w:sz w:val="24"/>
                <w:szCs w:val="24"/>
              </w:rPr>
              <w:t>Phosphorylation activity</w:t>
            </w:r>
          </w:p>
        </w:tc>
        <w:tc>
          <w:tcPr>
            <w:tcW w:w="1603" w:type="dxa"/>
          </w:tcPr>
          <w:p w:rsidR="002E15BB" w:rsidRPr="008F7397" w:rsidRDefault="002E15BB" w:rsidP="00017D03">
            <w:pPr>
              <w:rPr>
                <w:rFonts w:asciiTheme="majorBidi" w:hAnsiTheme="majorBidi" w:cstheme="majorBidi"/>
                <w:b/>
                <w:bCs/>
                <w:sz w:val="24"/>
                <w:szCs w:val="24"/>
              </w:rPr>
            </w:pPr>
            <w:r w:rsidRPr="008F7397">
              <w:rPr>
                <w:rFonts w:asciiTheme="majorBidi" w:hAnsiTheme="majorBidi" w:cstheme="majorBidi"/>
                <w:b/>
                <w:bCs/>
                <w:sz w:val="24"/>
                <w:szCs w:val="24"/>
              </w:rPr>
              <w:t>Proliferation</w:t>
            </w:r>
          </w:p>
        </w:tc>
        <w:tc>
          <w:tcPr>
            <w:tcW w:w="137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b/>
                <w:bCs/>
                <w:sz w:val="24"/>
                <w:szCs w:val="24"/>
              </w:rPr>
              <w:t>Apoptosis</w:t>
            </w:r>
          </w:p>
        </w:tc>
        <w:tc>
          <w:tcPr>
            <w:tcW w:w="1584" w:type="dxa"/>
            <w:gridSpan w:val="2"/>
            <w:vMerge/>
          </w:tcPr>
          <w:p w:rsidR="002E15BB" w:rsidRPr="008F7397" w:rsidRDefault="002E15BB" w:rsidP="00017D03">
            <w:pPr>
              <w:rPr>
                <w:rFonts w:asciiTheme="majorBidi" w:hAnsiTheme="majorBidi" w:cstheme="majorBidi"/>
                <w:sz w:val="24"/>
                <w:szCs w:val="24"/>
              </w:rPr>
            </w:pPr>
          </w:p>
        </w:tc>
      </w:tr>
      <w:tr w:rsidR="002E15BB" w:rsidRPr="008F7397" w:rsidTr="00303C4A">
        <w:trPr>
          <w:cantSplit/>
          <w:jc w:val="center"/>
        </w:trPr>
        <w:tc>
          <w:tcPr>
            <w:tcW w:w="1076" w:type="dxa"/>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lastRenderedPageBreak/>
              <w:t>KG1a</w:t>
            </w:r>
          </w:p>
        </w:tc>
        <w:tc>
          <w:tcPr>
            <w:tcW w:w="1410"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AKT+PIMs</w:t>
            </w:r>
          </w:p>
        </w:tc>
        <w:tc>
          <w:tcPr>
            <w:tcW w:w="1708" w:type="dxa"/>
            <w:gridSpan w:val="3"/>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Phosphorylation of Bad decreased, S6 decreased</w:t>
            </w:r>
          </w:p>
          <w:p w:rsidR="002E15BB" w:rsidRPr="008F7397" w:rsidRDefault="002E15BB" w:rsidP="00017D03">
            <w:pPr>
              <w:rPr>
                <w:rFonts w:asciiTheme="majorBidi" w:hAnsiTheme="majorBidi" w:cstheme="majorBidi"/>
                <w:sz w:val="24"/>
                <w:szCs w:val="24"/>
              </w:rPr>
            </w:pPr>
          </w:p>
          <w:p w:rsidR="002E15BB" w:rsidRPr="008F7397" w:rsidRDefault="002E15BB" w:rsidP="00017D03">
            <w:pPr>
              <w:rPr>
                <w:rFonts w:asciiTheme="majorBidi" w:hAnsiTheme="majorBidi" w:cstheme="majorBidi"/>
                <w:sz w:val="24"/>
                <w:szCs w:val="24"/>
              </w:rPr>
            </w:pPr>
          </w:p>
          <w:p w:rsidR="002E15BB" w:rsidRPr="008F7397" w:rsidRDefault="002E15BB" w:rsidP="00017D03">
            <w:pPr>
              <w:rPr>
                <w:rFonts w:asciiTheme="majorBidi" w:hAnsiTheme="majorBidi" w:cstheme="majorBidi"/>
                <w:sz w:val="24"/>
                <w:szCs w:val="24"/>
              </w:rPr>
            </w:pPr>
          </w:p>
        </w:tc>
        <w:tc>
          <w:tcPr>
            <w:tcW w:w="1603" w:type="dxa"/>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Moderately decreased proliferation</w:t>
            </w:r>
          </w:p>
        </w:tc>
        <w:tc>
          <w:tcPr>
            <w:tcW w:w="137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 xml:space="preserve">Increased </w:t>
            </w:r>
          </w:p>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apoptosis</w:t>
            </w:r>
          </w:p>
        </w:tc>
        <w:tc>
          <w:tcPr>
            <w:tcW w:w="158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No experimental data found in literature</w:t>
            </w:r>
          </w:p>
        </w:tc>
      </w:tr>
      <w:tr w:rsidR="002E15BB" w:rsidRPr="008F7397" w:rsidTr="00303C4A">
        <w:trPr>
          <w:jc w:val="center"/>
        </w:trPr>
        <w:tc>
          <w:tcPr>
            <w:tcW w:w="1076" w:type="dxa"/>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KG1a</w:t>
            </w:r>
          </w:p>
        </w:tc>
        <w:tc>
          <w:tcPr>
            <w:tcW w:w="1410"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MEK</w:t>
            </w:r>
          </w:p>
        </w:tc>
        <w:tc>
          <w:tcPr>
            <w:tcW w:w="1708" w:type="dxa"/>
            <w:gridSpan w:val="3"/>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Phosphorylation of ERK decreased</w:t>
            </w:r>
          </w:p>
        </w:tc>
        <w:tc>
          <w:tcPr>
            <w:tcW w:w="1603" w:type="dxa"/>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Very slightly decreased</w:t>
            </w:r>
          </w:p>
        </w:tc>
        <w:tc>
          <w:tcPr>
            <w:tcW w:w="137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Unchanged levels of apoptosis</w:t>
            </w:r>
          </w:p>
        </w:tc>
        <w:tc>
          <w:tcPr>
            <w:tcW w:w="158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No experimental data found in literature</w:t>
            </w:r>
          </w:p>
        </w:tc>
      </w:tr>
      <w:tr w:rsidR="002E15BB" w:rsidRPr="008F7397" w:rsidTr="00303C4A">
        <w:trPr>
          <w:jc w:val="center"/>
        </w:trPr>
        <w:tc>
          <w:tcPr>
            <w:tcW w:w="1076" w:type="dxa"/>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KG1a</w:t>
            </w:r>
          </w:p>
        </w:tc>
        <w:tc>
          <w:tcPr>
            <w:tcW w:w="1410"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MEK + PIMs</w:t>
            </w:r>
          </w:p>
        </w:tc>
        <w:tc>
          <w:tcPr>
            <w:tcW w:w="1708" w:type="dxa"/>
            <w:gridSpan w:val="3"/>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Phosphorylation of ERK decreased, BAD decreased</w:t>
            </w:r>
          </w:p>
        </w:tc>
        <w:tc>
          <w:tcPr>
            <w:tcW w:w="1603" w:type="dxa"/>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Decreased proliferation</w:t>
            </w:r>
          </w:p>
        </w:tc>
        <w:tc>
          <w:tcPr>
            <w:tcW w:w="137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Moderately increased apoptosis</w:t>
            </w:r>
          </w:p>
        </w:tc>
        <w:tc>
          <w:tcPr>
            <w:tcW w:w="1584" w:type="dxa"/>
            <w:gridSpan w:val="2"/>
          </w:tcPr>
          <w:p w:rsidR="002E15BB" w:rsidRPr="008F7397" w:rsidRDefault="002E15BB" w:rsidP="00017D03">
            <w:pPr>
              <w:rPr>
                <w:rFonts w:asciiTheme="majorBidi" w:hAnsiTheme="majorBidi" w:cstheme="majorBidi"/>
                <w:sz w:val="24"/>
                <w:szCs w:val="24"/>
              </w:rPr>
            </w:pPr>
            <w:r w:rsidRPr="008F7397">
              <w:rPr>
                <w:rFonts w:asciiTheme="majorBidi" w:hAnsiTheme="majorBidi" w:cstheme="majorBidi"/>
                <w:sz w:val="24"/>
                <w:szCs w:val="24"/>
              </w:rPr>
              <w:t>No experimental data found in literature</w:t>
            </w:r>
          </w:p>
        </w:tc>
      </w:tr>
    </w:tbl>
    <w:p w:rsidR="00C30FB1" w:rsidRPr="008F7397" w:rsidRDefault="00C30FB1" w:rsidP="00C30FB1">
      <w:pPr>
        <w:pStyle w:val="Bibliography"/>
        <w:pageBreakBefore/>
        <w:spacing w:line="480" w:lineRule="auto"/>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lastRenderedPageBreak/>
        <w:t>References</w:t>
      </w:r>
    </w:p>
    <w:p w:rsidR="005372C8" w:rsidRPr="008F7397" w:rsidRDefault="005372C8" w:rsidP="009D21C5">
      <w:pPr>
        <w:rPr>
          <w:rFonts w:asciiTheme="majorBidi" w:eastAsia="Times New Roman" w:hAnsiTheme="majorBidi" w:cstheme="majorBidi"/>
          <w:sz w:val="24"/>
          <w:szCs w:val="24"/>
          <w:lang w:val="en-US"/>
        </w:rPr>
      </w:pPr>
    </w:p>
    <w:p w:rsidR="006516F7" w:rsidRPr="008F7397" w:rsidRDefault="00760C56"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fldChar w:fldCharType="begin"/>
      </w:r>
      <w:r w:rsidR="006516F7" w:rsidRPr="008F7397">
        <w:rPr>
          <w:rFonts w:asciiTheme="majorBidi" w:eastAsia="Times New Roman" w:hAnsiTheme="majorBidi" w:cstheme="majorBidi"/>
          <w:sz w:val="24"/>
          <w:szCs w:val="24"/>
          <w:lang w:val="en-US"/>
        </w:rPr>
        <w:instrText xml:space="preserve"> ADDIN ZOTERO_BIBL {"custom":[]} CSL_BIBLIOGRAPHY </w:instrText>
      </w:r>
      <w:r w:rsidRPr="008F7397">
        <w:rPr>
          <w:rFonts w:asciiTheme="majorBidi" w:eastAsia="Times New Roman" w:hAnsiTheme="majorBidi" w:cstheme="majorBidi"/>
          <w:sz w:val="24"/>
          <w:szCs w:val="24"/>
          <w:lang w:val="en-US"/>
        </w:rPr>
        <w:fldChar w:fldCharType="separate"/>
      </w:r>
      <w:r w:rsidR="006516F7" w:rsidRPr="008F7397">
        <w:rPr>
          <w:rFonts w:asciiTheme="majorBidi" w:eastAsia="Times New Roman" w:hAnsiTheme="majorBidi" w:cstheme="majorBidi"/>
          <w:sz w:val="24"/>
          <w:szCs w:val="24"/>
          <w:lang w:val="en-US"/>
        </w:rPr>
        <w:t>[1]</w:t>
      </w:r>
      <w:r w:rsidR="006516F7" w:rsidRPr="008F7397">
        <w:rPr>
          <w:rFonts w:asciiTheme="majorBidi" w:eastAsia="Times New Roman" w:hAnsiTheme="majorBidi" w:cstheme="majorBidi"/>
          <w:sz w:val="24"/>
          <w:szCs w:val="24"/>
          <w:lang w:val="en-US"/>
        </w:rPr>
        <w:tab/>
        <w:t>M. Ku et al., “Src family kinases and their role in hematological malignancies,” Leuk. Lymphoma, vol. 56, no. 3, pp. 577–586, Mar. 2015.</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[2]</w:t>
      </w:r>
      <w:r w:rsidRPr="008F7397">
        <w:rPr>
          <w:rFonts w:asciiTheme="majorBidi" w:eastAsia="Times New Roman" w:hAnsiTheme="majorBidi" w:cstheme="majorBidi"/>
          <w:sz w:val="24"/>
          <w:szCs w:val="24"/>
          <w:lang w:val="en-US"/>
        </w:rPr>
        <w:tab/>
        <w:t>E. K. Keeton et al., “AZD1208, a potent and selective pan-Pim kinase inhibitor, demonstrates efficacy in preclinical models of acute myeloid leukemia,” Blood, vol. 123, no. 6, pp. 905–913, Feb. 2014.</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[3]</w:t>
      </w:r>
      <w:r w:rsidRPr="008F7397">
        <w:rPr>
          <w:rFonts w:asciiTheme="majorBidi" w:eastAsia="Times New Roman" w:hAnsiTheme="majorBidi" w:cstheme="majorBidi"/>
          <w:sz w:val="24"/>
          <w:szCs w:val="24"/>
          <w:lang w:val="en-US"/>
        </w:rPr>
        <w:tab/>
        <w:t>L. L. Yuan et al., “Pim kinases phosphorylate Chk1 and regulate its functions in acute myeloid leukemia,” Leukemia, vol. 28, no. 2, pp. 293–301, Feb. 2014.</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[4]</w:t>
      </w:r>
      <w:r w:rsidRPr="008F7397">
        <w:rPr>
          <w:rFonts w:asciiTheme="majorBidi" w:eastAsia="Times New Roman" w:hAnsiTheme="majorBidi" w:cstheme="majorBidi"/>
          <w:sz w:val="24"/>
          <w:szCs w:val="24"/>
          <w:lang w:val="en-US"/>
        </w:rPr>
        <w:tab/>
        <w:t>M. C. Mendoza, E. E. Er, and J. Blenis, “The Ras-ERK and PI3K-mTOR pathways: cross-talk and compensation,” Trends Biochem. Sci., vol. 36, no. 6, pp. 320–328, Jun. 2011.</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[5]</w:t>
      </w:r>
      <w:r w:rsidRPr="008F7397">
        <w:rPr>
          <w:rFonts w:asciiTheme="majorBidi" w:eastAsia="Times New Roman" w:hAnsiTheme="majorBidi" w:cstheme="majorBidi"/>
          <w:sz w:val="24"/>
          <w:szCs w:val="24"/>
          <w:lang w:val="en-US"/>
        </w:rPr>
        <w:tab/>
        <w:t>Y. Tan, M. R. Demeter, H. Ruan, and M. J. Comb, “BAD Ser-155 phosphorylation regulates BAD/Bcl-XL interaction and cell survival,” J. Biol. Chem., vol. 275, no. 33, pp. 25865–25869, Aug. 2000.</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[6]</w:t>
      </w:r>
      <w:r w:rsidRPr="008F7397">
        <w:rPr>
          <w:rFonts w:asciiTheme="majorBidi" w:eastAsia="Times New Roman" w:hAnsiTheme="majorBidi" w:cstheme="majorBidi"/>
          <w:sz w:val="24"/>
          <w:szCs w:val="24"/>
          <w:lang w:val="en-US"/>
        </w:rPr>
        <w:tab/>
        <w:t>F. Zhang et al., “PIM1 protein kinase regulates PRAS40 phosphorylation and mTOR activity in FDCP1 cells,” Cancer Biol. Ther., vol. 8, no. 9, pp. 846–853, May 2009.</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[7]</w:t>
      </w:r>
      <w:r w:rsidRPr="008F7397">
        <w:rPr>
          <w:rFonts w:asciiTheme="majorBidi" w:eastAsia="Times New Roman" w:hAnsiTheme="majorBidi" w:cstheme="majorBidi"/>
          <w:sz w:val="24"/>
          <w:szCs w:val="24"/>
          <w:lang w:val="en-US"/>
        </w:rPr>
        <w:tab/>
        <w:t>B. Cen et al., “The Pim-1 protein kinase is an important regulator of MET receptor tyrosine kinase levels and signaling,” Mol. Cell. Biol., vol. 34, no. 13, pp. 2517–2532, Jul. 2014.</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[8]</w:t>
      </w:r>
      <w:r w:rsidRPr="008F7397">
        <w:rPr>
          <w:rFonts w:asciiTheme="majorBidi" w:eastAsia="Times New Roman" w:hAnsiTheme="majorBidi" w:cstheme="majorBidi"/>
          <w:sz w:val="24"/>
          <w:szCs w:val="24"/>
          <w:lang w:val="en-US"/>
        </w:rPr>
        <w:tab/>
        <w:t>R. Zoncu, A. Efeyan, and D. M. Sabatini, “mTOR: from growth signal integration to cancer, diabetes and ageing,” Nat. Rev. Mol. Cell Biol., vol. 12, no. 1, pp. 21–35, Jan. 2011.</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[9]</w:t>
      </w:r>
      <w:r w:rsidRPr="008F7397">
        <w:rPr>
          <w:rFonts w:asciiTheme="majorBidi" w:eastAsia="Times New Roman" w:hAnsiTheme="majorBidi" w:cstheme="majorBidi"/>
          <w:sz w:val="24"/>
          <w:szCs w:val="24"/>
          <w:lang w:val="en-US"/>
        </w:rPr>
        <w:tab/>
        <w:t>S. Morino, H. Imataka, Y. V. Svitkin, T. V. Pestova, and N. Sonenberg, “Eukaryotic Translation Initiation Factor 4E (eIF4E) Binding Site and the Middle One-Third of eIF4GI Constitute the Core Domain for Cap-Dependent Translation, and the C-Terminal One-Third Functions as a Modulatory Region,” Mol. Cell. Biol., vol. 20, no. 2, pp. 468–477, Jan. 2000.</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[10]</w:t>
      </w:r>
      <w:r w:rsidRPr="008F7397">
        <w:rPr>
          <w:rFonts w:asciiTheme="majorBidi" w:eastAsia="Times New Roman" w:hAnsiTheme="majorBidi" w:cstheme="majorBidi"/>
          <w:sz w:val="24"/>
          <w:szCs w:val="24"/>
          <w:lang w:val="en-US"/>
        </w:rPr>
        <w:tab/>
        <w:t>M. E. Feldman et al., “Active-Site Inhibitors of mTOR Target Rapamycin-Resistant Outputs of mTORC1 and mTORC2,” PLOS Biol, vol. 7, no. 2, p. e1000038, Feb. 2009.</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[11]</w:t>
      </w:r>
      <w:r w:rsidRPr="008F7397">
        <w:rPr>
          <w:rFonts w:asciiTheme="majorBidi" w:eastAsia="Times New Roman" w:hAnsiTheme="majorBidi" w:cstheme="majorBidi"/>
          <w:sz w:val="24"/>
          <w:szCs w:val="24"/>
          <w:lang w:val="en-US"/>
        </w:rPr>
        <w:tab/>
        <w:t>J. Copp, G. Manning, and T. Hunter, “TORC-specific phosphorylation of mammalian target of rapamycin (mTOR): phospho-Ser2481 is a marker for intact mTOR signaling complex 2,” Cancer Res., vol. 69, no. 5, pp. 1821–1827, Mar. 2009.</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[12]</w:t>
      </w:r>
      <w:r w:rsidRPr="008F7397">
        <w:rPr>
          <w:rFonts w:asciiTheme="majorBidi" w:eastAsia="Times New Roman" w:hAnsiTheme="majorBidi" w:cstheme="majorBidi"/>
          <w:sz w:val="24"/>
          <w:szCs w:val="24"/>
          <w:lang w:val="en-US"/>
        </w:rPr>
        <w:tab/>
        <w:t>G. Huot et al., “CHES1/FOXN3 regulates cell proliferation by repressing PIM2 and protein biosynthesis,” Mol. Biol. Cell, vol. 25, no. 5, pp. 554–565, Mar. 2014.</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[13]</w:t>
      </w:r>
      <w:r w:rsidRPr="008F7397">
        <w:rPr>
          <w:rFonts w:asciiTheme="majorBidi" w:eastAsia="Times New Roman" w:hAnsiTheme="majorBidi" w:cstheme="majorBidi"/>
          <w:sz w:val="24"/>
          <w:szCs w:val="24"/>
          <w:lang w:val="en-US"/>
        </w:rPr>
        <w:tab/>
        <w:t xml:space="preserve">“FLT3-ITD Confers Resistance to Bortezomib By Protecting the mTOR/4EBP1 Pathway through Activation of STAT5 and Induction of Pim-1 Expression | Blood Journal.” [Online]. Available: </w:t>
      </w:r>
      <w:r w:rsidRPr="008F7397">
        <w:rPr>
          <w:rFonts w:asciiTheme="majorBidi" w:eastAsia="Times New Roman" w:hAnsiTheme="majorBidi" w:cstheme="majorBidi"/>
          <w:sz w:val="24"/>
          <w:szCs w:val="24"/>
          <w:lang w:val="en-US"/>
        </w:rPr>
        <w:lastRenderedPageBreak/>
        <w:t>http://www.bloodjournal.org/content/126/23/1270?sso-checked=true. [Accessed: 10-Sep-2016].</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[14]</w:t>
      </w:r>
      <w:r w:rsidRPr="008F7397">
        <w:rPr>
          <w:rFonts w:asciiTheme="majorBidi" w:eastAsia="Times New Roman" w:hAnsiTheme="majorBidi" w:cstheme="majorBidi"/>
          <w:sz w:val="24"/>
          <w:szCs w:val="24"/>
          <w:lang w:val="en-US"/>
        </w:rPr>
        <w:tab/>
        <w:t>P. Yellen, A. Chatterjee, A. Preda, and D. A. Foster, “Inhibition of S6 kinase suppresses the apoptotic effect of eIF4E ablation by inducing TGF-β-dependent G1 cell cycle arrest,” Cancer Lett., vol. 333, no. 2, pp. 239–243, Jun. 2013.</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[15]</w:t>
      </w:r>
      <w:r w:rsidRPr="008F7397">
        <w:rPr>
          <w:rFonts w:asciiTheme="majorBidi" w:eastAsia="Times New Roman" w:hAnsiTheme="majorBidi" w:cstheme="majorBidi"/>
          <w:sz w:val="24"/>
          <w:szCs w:val="24"/>
          <w:lang w:val="en-US"/>
        </w:rPr>
        <w:tab/>
        <w:t>P. P. Roux et al., “RAS/ERK signaling promotes site-specific ribosomal protein S6 phosphorylation via RSK and stimulates cap-dependent translation,” J. Biol. Chem., vol. 282, no. 19, pp. 14056–14064, May 2007.</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[16]</w:t>
      </w:r>
      <w:r w:rsidRPr="008F7397">
        <w:rPr>
          <w:rFonts w:asciiTheme="majorBidi" w:eastAsia="Times New Roman" w:hAnsiTheme="majorBidi" w:cstheme="majorBidi"/>
          <w:sz w:val="24"/>
          <w:szCs w:val="24"/>
          <w:lang w:val="en-US"/>
        </w:rPr>
        <w:tab/>
        <w:t>J. U. Kazi and L. Rönnstrand, “Src-Like Adaptor Protein (SLAP) Binds to the Receptor Tyrosine Kinase Flt3 and Modulates Receptor Stability and Downstream Signaling,” PLOS ONE, vol. 7, no. 12, p. e53509, Dec. 2012.</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[17]</w:t>
      </w:r>
      <w:r w:rsidRPr="008F7397">
        <w:rPr>
          <w:rFonts w:asciiTheme="majorBidi" w:eastAsia="Times New Roman" w:hAnsiTheme="majorBidi" w:cstheme="majorBidi"/>
          <w:sz w:val="24"/>
          <w:szCs w:val="24"/>
          <w:lang w:val="en-US"/>
        </w:rPr>
        <w:tab/>
        <w:t>T. Gu et al., “Survey of Activated FLT3 Signaling in Leukemia,” PLOS ONE, vol. 6, no. 4, p. e19169, Apr. 2011.</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[18]</w:t>
      </w:r>
      <w:r w:rsidRPr="008F7397">
        <w:rPr>
          <w:rFonts w:asciiTheme="majorBidi" w:eastAsia="Times New Roman" w:hAnsiTheme="majorBidi" w:cstheme="majorBidi"/>
          <w:sz w:val="24"/>
          <w:szCs w:val="24"/>
          <w:lang w:val="en-US"/>
        </w:rPr>
        <w:tab/>
        <w:t>A. Jacob, D. Cooney, M. Pradhan, and K. M. Coggeshall, “Convergence of signaling pathways on the activation of ERK in B cells,” J. Biol. Chem., vol. 277, no. 26, pp. 23420–23426, Jun. 2002.</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[19]</w:t>
      </w:r>
      <w:r w:rsidRPr="008F7397">
        <w:rPr>
          <w:rFonts w:asciiTheme="majorBidi" w:eastAsia="Times New Roman" w:hAnsiTheme="majorBidi" w:cstheme="majorBidi"/>
          <w:sz w:val="24"/>
          <w:szCs w:val="24"/>
          <w:lang w:val="en-US"/>
        </w:rPr>
        <w:tab/>
        <w:t>G. Ma, D. Lu, Y. Wu, J. Liu, and R. B. Arlinghaus, “Bcr phosphorylated on tyrosine 177 binds Grb2,” Oncogene, vol. 14, no. 19, pp. 2367–2372, May 1997.</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[20]</w:t>
      </w:r>
      <w:r w:rsidRPr="008F7397">
        <w:rPr>
          <w:rFonts w:asciiTheme="majorBidi" w:eastAsia="Times New Roman" w:hAnsiTheme="majorBidi" w:cstheme="majorBidi"/>
          <w:sz w:val="24"/>
          <w:szCs w:val="24"/>
          <w:lang w:val="en-US"/>
        </w:rPr>
        <w:tab/>
        <w:t>R. P. Million and R. A. Van Etten, “The Grb2 binding site is required for the induction of chronic myeloid leukemia-like disease in mice by the Bcr/Abl tyrosine kinase,” Blood, vol. 96, no. 2, pp. 664–670, Jul. 2000.</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[21]</w:t>
      </w:r>
      <w:r w:rsidRPr="008F7397">
        <w:rPr>
          <w:rFonts w:asciiTheme="majorBidi" w:eastAsia="Times New Roman" w:hAnsiTheme="majorBidi" w:cstheme="majorBidi"/>
          <w:sz w:val="24"/>
          <w:szCs w:val="24"/>
          <w:lang w:val="en-US"/>
        </w:rPr>
        <w:tab/>
        <w:t>R. Seger and E. G. Krebs, “The MAPK signaling cascade.,” FASEB J., vol. 9, no. 9, pp. 726–735, Jun. 1995.</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[22]</w:t>
      </w:r>
      <w:r w:rsidRPr="008F7397">
        <w:rPr>
          <w:rFonts w:asciiTheme="majorBidi" w:eastAsia="Times New Roman" w:hAnsiTheme="majorBidi" w:cstheme="majorBidi"/>
          <w:sz w:val="24"/>
          <w:szCs w:val="24"/>
          <w:lang w:val="en-US"/>
        </w:rPr>
        <w:tab/>
        <w:t>J. Gotlib and J. Cools, “Five years since the discovery of FIP1L1–PDGFRA: what we have learned about the fusion and other molecularly defined eosinophilias,” Leukemia, vol. 22, no. 11, pp. 1999–2010, Oct. 2008.</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[23]</w:t>
      </w:r>
      <w:r w:rsidRPr="008F7397">
        <w:rPr>
          <w:rFonts w:asciiTheme="majorBidi" w:eastAsia="Times New Roman" w:hAnsiTheme="majorBidi" w:cstheme="majorBidi"/>
          <w:sz w:val="24"/>
          <w:szCs w:val="24"/>
          <w:lang w:val="en-US"/>
        </w:rPr>
        <w:tab/>
        <w:t>Z. Zeng et al., “Rapamycin derivatives reduce mTORC2 signaling and inhibit AKT activation in AML,” Blood, vol. 109, no. 8, pp. 3509–3512, Apr. 2007.</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[24]</w:t>
      </w:r>
      <w:r w:rsidRPr="008F7397">
        <w:rPr>
          <w:rFonts w:asciiTheme="majorBidi" w:eastAsia="Times New Roman" w:hAnsiTheme="majorBidi" w:cstheme="majorBidi"/>
          <w:sz w:val="24"/>
          <w:szCs w:val="24"/>
          <w:lang w:val="en-US"/>
        </w:rPr>
        <w:tab/>
        <w:t>J. Huang and B. D. Manning, “A complex interplay between Akt, TSC2, and the two mTOR complexes,” Biochem. Soc. Trans., vol. 37, no. Pt 1, pp. 217–222, Feb. 2009.</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[25]</w:t>
      </w:r>
      <w:r w:rsidRPr="008F7397">
        <w:rPr>
          <w:rFonts w:asciiTheme="majorBidi" w:eastAsia="Times New Roman" w:hAnsiTheme="majorBidi" w:cstheme="majorBidi"/>
          <w:sz w:val="24"/>
          <w:szCs w:val="24"/>
          <w:lang w:val="en-US"/>
        </w:rPr>
        <w:tab/>
        <w:t>D. M. Gwinn et al., “AMPK phosphorylation of raptor mediates a metabolic checkpoint,” Mol. Cell, vol. 30, no. 2, pp. 214–226, Apr. 2008.</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[26]</w:t>
      </w:r>
      <w:r w:rsidRPr="008F7397">
        <w:rPr>
          <w:rFonts w:asciiTheme="majorBidi" w:eastAsia="Times New Roman" w:hAnsiTheme="majorBidi" w:cstheme="majorBidi"/>
          <w:sz w:val="24"/>
          <w:szCs w:val="24"/>
          <w:lang w:val="en-US"/>
        </w:rPr>
        <w:tab/>
        <w:t>P. T. Bhaskar and N. Hay, “The two TORCs and Akt,” Dev. Cell, vol. 12, no. 4, pp. 487–502, Apr. 2007.</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[27]</w:t>
      </w:r>
      <w:r w:rsidRPr="008F7397">
        <w:rPr>
          <w:rFonts w:asciiTheme="majorBidi" w:eastAsia="Times New Roman" w:hAnsiTheme="majorBidi" w:cstheme="majorBidi"/>
          <w:sz w:val="24"/>
          <w:szCs w:val="24"/>
          <w:lang w:val="en-US"/>
        </w:rPr>
        <w:tab/>
        <w:t>J. Lu et al., “Pim2 is required for maintaining multiple myeloma cell growth through modulating TSC2 phosphorylation,” Blood, vol. 122, no. 9, pp. 1610–1620, Aug. 2013.</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[28]</w:t>
      </w:r>
      <w:r w:rsidRPr="008F7397">
        <w:rPr>
          <w:rFonts w:asciiTheme="majorBidi" w:eastAsia="Times New Roman" w:hAnsiTheme="majorBidi" w:cstheme="majorBidi"/>
          <w:sz w:val="24"/>
          <w:szCs w:val="24"/>
          <w:lang w:val="en-US"/>
        </w:rPr>
        <w:tab/>
        <w:t>P. Neri and N. J. Bahlis, “Pinning down myeloma with Pim2 inhibitors!,” Blood, vol. 122, no. 9, pp. 1534–1536, Aug. 2013.</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[29]</w:t>
      </w:r>
      <w:r w:rsidRPr="008F7397">
        <w:rPr>
          <w:rFonts w:asciiTheme="majorBidi" w:eastAsia="Times New Roman" w:hAnsiTheme="majorBidi" w:cstheme="majorBidi"/>
          <w:sz w:val="24"/>
          <w:szCs w:val="24"/>
          <w:lang w:val="en-US"/>
        </w:rPr>
        <w:tab/>
        <w:t>J. Huang, C. C. Dibble, M. Matsuzaki, and B. D. Manning, “The TSC1-TSC2 Complex Is Required for Proper Activation of mTOR Complex 2,” Mol. Cell. Biol., vol. 28, no. 12, pp. 4104–4115, Jun. 2008.</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[30]</w:t>
      </w:r>
      <w:r w:rsidRPr="008F7397">
        <w:rPr>
          <w:rFonts w:asciiTheme="majorBidi" w:eastAsia="Times New Roman" w:hAnsiTheme="majorBidi" w:cstheme="majorBidi"/>
          <w:sz w:val="24"/>
          <w:szCs w:val="24"/>
          <w:lang w:val="en-US"/>
        </w:rPr>
        <w:tab/>
        <w:t>F. T. M. Chang et al., “CHK1-driven histone H3.3 serine 31 phosphorylation is important for chromatin maintenance and cell survival in human ALT cancer cells,” Nucleic Acids Res., vol. 43, no. 5, pp. 2603–2614, Mar. 2015.</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[31]</w:t>
      </w:r>
      <w:r w:rsidRPr="008F7397">
        <w:rPr>
          <w:rFonts w:asciiTheme="majorBidi" w:eastAsia="Times New Roman" w:hAnsiTheme="majorBidi" w:cstheme="majorBidi"/>
          <w:sz w:val="24"/>
          <w:szCs w:val="24"/>
          <w:lang w:val="en-US"/>
        </w:rPr>
        <w:tab/>
        <w:t>L. S. Chen, S. Redkar, P. Taverna, J. E. Cortes, and V. Gandhi, “Mechanisms of cytotoxicity to Pim kinase inhibitor, SGI-1776, in acute myeloid leukemia,” Blood, vol. 118, no. 3, pp. 693–702, Jul. 2011.</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lastRenderedPageBreak/>
        <w:t>[32]</w:t>
      </w:r>
      <w:r w:rsidRPr="008F7397">
        <w:rPr>
          <w:rFonts w:asciiTheme="majorBidi" w:eastAsia="Times New Roman" w:hAnsiTheme="majorBidi" w:cstheme="majorBidi"/>
          <w:sz w:val="24"/>
          <w:szCs w:val="24"/>
          <w:lang w:val="en-US"/>
        </w:rPr>
        <w:tab/>
        <w:t>Q. Yang, L. S. Chen, S. S. Neelapu, R. N. Miranda, L. J. Medeiros, and V. Gandhi, “Transcription and translation are primary targets of Pim kinase inhibitor SGI-1776 in mantle cell lymphoma,” Blood, vol. 120, no. 17, pp. 3491–3500, Oct. 2012.</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[33]</w:t>
      </w:r>
      <w:r w:rsidRPr="008F7397">
        <w:rPr>
          <w:rFonts w:asciiTheme="majorBidi" w:eastAsia="Times New Roman" w:hAnsiTheme="majorBidi" w:cstheme="majorBidi"/>
          <w:sz w:val="24"/>
          <w:szCs w:val="24"/>
          <w:lang w:val="en-US"/>
        </w:rPr>
        <w:tab/>
        <w:t>B. Salvatori et al., “Critical Role of c-Myc in Acute Myeloid Leukemia Involving Direct Regulation of miR-26a and Histone Methyltransferase EZH2,” Genes Cancer, vol. 2, no. 5, pp. 585–592, May 2011.</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[34]</w:t>
      </w:r>
      <w:r w:rsidRPr="008F7397">
        <w:rPr>
          <w:rFonts w:asciiTheme="majorBidi" w:eastAsia="Times New Roman" w:hAnsiTheme="majorBidi" w:cstheme="majorBidi"/>
          <w:sz w:val="24"/>
          <w:szCs w:val="24"/>
          <w:lang w:val="en-US"/>
        </w:rPr>
        <w:tab/>
        <w:t>C. Dombrowski et al., “FGFR1 Signaling Stimulates Proliferation of Human Mesenchymal Stem Cells by Inhibiting the Cyclin-Dependent Kinase Inhibitors p21Waf1 and p27Kip1,” STEM CELLS, vol. 31, no. 12, pp. 2724–2736, Dec. 2013.</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[35]</w:t>
      </w:r>
      <w:r w:rsidRPr="008F7397">
        <w:rPr>
          <w:rFonts w:asciiTheme="majorBidi" w:eastAsia="Times New Roman" w:hAnsiTheme="majorBidi" w:cstheme="majorBidi"/>
          <w:sz w:val="24"/>
          <w:szCs w:val="24"/>
          <w:lang w:val="en-US"/>
        </w:rPr>
        <w:tab/>
        <w:t>L. Ozretić et al., “FGFR1 amplification and co-overexpression of c-MYC in oropharyngeal squamous cell carcinoma,” Oral Oncol., vol. 54, pp. e7–e9, Mar. 2016.</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[36]</w:t>
      </w:r>
      <w:r w:rsidRPr="008F7397">
        <w:rPr>
          <w:rFonts w:asciiTheme="majorBidi" w:eastAsia="Times New Roman" w:hAnsiTheme="majorBidi" w:cstheme="majorBidi"/>
          <w:sz w:val="24"/>
          <w:szCs w:val="24"/>
          <w:lang w:val="en-US"/>
        </w:rPr>
        <w:tab/>
        <w:t>F. Malchers et al., “Cell-autonomous and non-cell-autonomous mechanisms of transformation by amplified FGFR1 in lung cancer,” Cancer Discov., vol. 4, no. 2, pp. 246–257, Feb. 2014.</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[37]</w:t>
      </w:r>
      <w:r w:rsidRPr="008F7397">
        <w:rPr>
          <w:rFonts w:asciiTheme="majorBidi" w:eastAsia="Times New Roman" w:hAnsiTheme="majorBidi" w:cstheme="majorBidi"/>
          <w:sz w:val="24"/>
          <w:szCs w:val="24"/>
          <w:lang w:val="en-US"/>
        </w:rPr>
        <w:tab/>
        <w:t>V. Chandramohan et al., “c-Myc represses FOXO3a-mediated transcription of the gene encoding the p27(Kip1) cyclin dependent kinase inhibitor,” J. Cell. Biochem., vol. 104, no. 6, pp. 2091–2106, Aug. 2008.</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[38]</w:t>
      </w:r>
      <w:r w:rsidRPr="008F7397">
        <w:rPr>
          <w:rFonts w:asciiTheme="majorBidi" w:eastAsia="Times New Roman" w:hAnsiTheme="majorBidi" w:cstheme="majorBidi"/>
          <w:sz w:val="24"/>
          <w:szCs w:val="24"/>
          <w:lang w:val="en-US"/>
        </w:rPr>
        <w:tab/>
        <w:t>M.-J. Huang, Y. Cheng, C.-R. Liu, S. Lin, and H. E. Liu, “A small-molecule c-Myc inhibitor, 10058-F4, induces cell-cycle arrest, apoptosis, and myeloid differentiation of human acute myeloid leukemia,” Exp. Hematol., vol. 34, no. 11, pp. 1480–1489, Nov. 2006.</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[39]</w:t>
      </w:r>
      <w:r w:rsidRPr="008F7397">
        <w:rPr>
          <w:rFonts w:asciiTheme="majorBidi" w:eastAsia="Times New Roman" w:hAnsiTheme="majorBidi" w:cstheme="majorBidi"/>
          <w:sz w:val="24"/>
          <w:szCs w:val="24"/>
          <w:lang w:val="en-US"/>
        </w:rPr>
        <w:tab/>
        <w:t>D. Shahbazian, A. Parsyan, E. Petroulakis, J. Hershey, and N. Sonenberg, “eIF4B controls survival and proliferation and is regulated by proto-oncogenic signaling pathways,” Cell Cycle Georget. Tex, vol. 9, no. 20, pp. 4106–4109, Oct. 2010.</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[40]</w:t>
      </w:r>
      <w:r w:rsidRPr="008F7397">
        <w:rPr>
          <w:rFonts w:asciiTheme="majorBidi" w:eastAsia="Times New Roman" w:hAnsiTheme="majorBidi" w:cstheme="majorBidi"/>
          <w:sz w:val="24"/>
          <w:szCs w:val="24"/>
          <w:lang w:val="en-US"/>
        </w:rPr>
        <w:tab/>
        <w:t>D. Shahbazian et al., “Control of cell survival and proliferation by mammalian eukaryotic initiation factor 4B,” Mol. Cell. Biol., vol. 30, no. 6, pp. 1478–1485, Mar. 2010.</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[41]</w:t>
      </w:r>
      <w:r w:rsidRPr="008F7397">
        <w:rPr>
          <w:rFonts w:asciiTheme="majorBidi" w:eastAsia="Times New Roman" w:hAnsiTheme="majorBidi" w:cstheme="majorBidi"/>
          <w:sz w:val="24"/>
          <w:szCs w:val="24"/>
          <w:lang w:val="en-US"/>
        </w:rPr>
        <w:tab/>
        <w:t>S. Pelengaris, M. Khan, and G. Evan, “c-MYC: more than just a matter of life and death,” Nat. Rev. Cancer, vol. 2, no. 10, pp. 764–776, Oct. 2002.</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[42]</w:t>
      </w:r>
      <w:r w:rsidRPr="008F7397">
        <w:rPr>
          <w:rFonts w:asciiTheme="majorBidi" w:eastAsia="Times New Roman" w:hAnsiTheme="majorBidi" w:cstheme="majorBidi"/>
          <w:sz w:val="24"/>
          <w:szCs w:val="24"/>
          <w:lang w:val="en-US"/>
        </w:rPr>
        <w:tab/>
        <w:t>Y. Mebratu and Y. Tesfaigzi, “How ERK1/2 Activation Controls Cell Proliferation and Cell Death Is Subcellular Localization the Answer?,” Cell Cycle Georget. Tex, vol. 8, no. 8, pp. 1168–1175, Apr. 2009.</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[43]</w:t>
      </w:r>
      <w:r w:rsidRPr="008F7397">
        <w:rPr>
          <w:rFonts w:asciiTheme="majorBidi" w:eastAsia="Times New Roman" w:hAnsiTheme="majorBidi" w:cstheme="majorBidi"/>
          <w:sz w:val="24"/>
          <w:szCs w:val="24"/>
          <w:lang w:val="en-US"/>
        </w:rPr>
        <w:tab/>
        <w:t>C. Récher et al., “Antileukemic activity of rapamycin in acute myeloid leukemia,” Blood, vol. 105, no. 6, pp. 2527–2534, Mar. 2005.</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[44]</w:t>
      </w:r>
      <w:r w:rsidRPr="008F7397">
        <w:rPr>
          <w:rFonts w:asciiTheme="majorBidi" w:eastAsia="Times New Roman" w:hAnsiTheme="majorBidi" w:cstheme="majorBidi"/>
          <w:sz w:val="24"/>
          <w:szCs w:val="24"/>
          <w:lang w:val="en-US"/>
        </w:rPr>
        <w:tab/>
        <w:t>M. j. Clemens, “Translational regulation in cell stress and apoptosis. Roles of the eIF4E binding proteins,” J. Cell. Mol. Med., vol. 5, no. 3, pp. 221–239, Jul. 2001.</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[45]</w:t>
      </w:r>
      <w:r w:rsidRPr="008F7397">
        <w:rPr>
          <w:rFonts w:asciiTheme="majorBidi" w:eastAsia="Times New Roman" w:hAnsiTheme="majorBidi" w:cstheme="majorBidi"/>
          <w:sz w:val="24"/>
          <w:szCs w:val="24"/>
          <w:lang w:val="en-US"/>
        </w:rPr>
        <w:tab/>
        <w:t>K. Dua, T. M. Williams, and L. Beretta, “Translational control of the proteome: Relevance to cancer,” PROTEOMICS, vol. 1, no. 10, pp. 1191–1199, Oct. 2001.</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[46]</w:t>
      </w:r>
      <w:r w:rsidRPr="008F7397">
        <w:rPr>
          <w:rFonts w:asciiTheme="majorBidi" w:eastAsia="Times New Roman" w:hAnsiTheme="majorBidi" w:cstheme="majorBidi"/>
          <w:sz w:val="24"/>
          <w:szCs w:val="24"/>
          <w:lang w:val="en-US"/>
        </w:rPr>
        <w:tab/>
        <w:t>L. Jin et al., “Mechanisms of apoptosis induction by simultaneous inhibition of PI3K and FLT3-ITD in AML cells in the hypoxic bone marrow microenvironment,” Cancer Lett., vol. 329, no. 1, pp. 45–58, Feb. 2013.</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[47]</w:t>
      </w:r>
      <w:r w:rsidRPr="008F7397">
        <w:rPr>
          <w:rFonts w:asciiTheme="majorBidi" w:eastAsia="Times New Roman" w:hAnsiTheme="majorBidi" w:cstheme="majorBidi"/>
          <w:sz w:val="24"/>
          <w:szCs w:val="24"/>
          <w:lang w:val="en-US"/>
        </w:rPr>
        <w:tab/>
        <w:t xml:space="preserve">Z. Zeng et al., “Simultaneous inhibition of PDK1/AKT and Fms-like tyrosine kinase 3 signaling by a small-molecule KP372-1 induces mitochondrial </w:t>
      </w:r>
      <w:r w:rsidRPr="008F7397">
        <w:rPr>
          <w:rFonts w:asciiTheme="majorBidi" w:eastAsia="Times New Roman" w:hAnsiTheme="majorBidi" w:cstheme="majorBidi"/>
          <w:sz w:val="24"/>
          <w:szCs w:val="24"/>
          <w:lang w:val="en-US"/>
        </w:rPr>
        <w:lastRenderedPageBreak/>
        <w:t>dysfunction and apoptosis in acute myelogenous leukemia,” Cancer Res., vol. 66, no. 7, pp. 3737–3746, Apr. 2006.</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[48]</w:t>
      </w:r>
      <w:r w:rsidRPr="008F7397">
        <w:rPr>
          <w:rFonts w:asciiTheme="majorBidi" w:eastAsia="Times New Roman" w:hAnsiTheme="majorBidi" w:cstheme="majorBidi"/>
          <w:sz w:val="24"/>
          <w:szCs w:val="24"/>
          <w:lang w:val="en-US"/>
        </w:rPr>
        <w:tab/>
        <w:t>L. Willems et al., “The dual mTORC1 and mTORC2 inhibitor AZD8055 has anti-tumor activity in acute myeloid leukemia,” Leukemia, vol. 26, no. 6, pp. 1195–1202, Jun. 2012.</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[49]</w:t>
      </w:r>
      <w:r w:rsidRPr="008F7397">
        <w:rPr>
          <w:rFonts w:asciiTheme="majorBidi" w:eastAsia="Times New Roman" w:hAnsiTheme="majorBidi" w:cstheme="majorBidi"/>
          <w:sz w:val="24"/>
          <w:szCs w:val="24"/>
          <w:lang w:val="en-US"/>
        </w:rPr>
        <w:tab/>
        <w:t>C. Nishioka, T. Ikezoe, J. Yang, and A. Yokoyama, “Inhibition of MEK/ERK signaling induces apoptosis of acute myelogenous leukemia cells via inhibition of eukaryotic initiation factor 4E-binding protein 1 and down-regulation of Mcl-1,” Apoptosis Int. J. Program. Cell Death, vol. 15, no. 7, pp. 795–804, Jul. 2010.</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[50]</w:t>
      </w:r>
      <w:r w:rsidRPr="008F7397">
        <w:rPr>
          <w:rFonts w:asciiTheme="majorBidi" w:eastAsia="Times New Roman" w:hAnsiTheme="majorBidi" w:cstheme="majorBidi"/>
          <w:sz w:val="24"/>
          <w:szCs w:val="24"/>
          <w:lang w:val="en-US"/>
        </w:rPr>
        <w:tab/>
        <w:t>K. Meja et al., “PIM and AKT kinase inhibitors show synergistic cytotoxicity in acute myeloid leukaemia that is associated with convergence on mTOR and MCL1 pathways,” Br. J. Haematol., vol. 167, no. 1, pp. 69–79, Oct. 2014.</w:t>
      </w:r>
    </w:p>
    <w:p w:rsidR="006516F7" w:rsidRPr="008F7397" w:rsidRDefault="006516F7" w:rsidP="006516F7">
      <w:pPr>
        <w:pStyle w:val="Bibliography"/>
        <w:rPr>
          <w:rFonts w:asciiTheme="majorBidi" w:eastAsia="Times New Roman" w:hAnsiTheme="majorBidi" w:cstheme="majorBidi"/>
          <w:sz w:val="24"/>
          <w:szCs w:val="24"/>
          <w:lang w:val="en-US"/>
        </w:rPr>
      </w:pPr>
      <w:r w:rsidRPr="008F7397">
        <w:rPr>
          <w:rFonts w:asciiTheme="majorBidi" w:eastAsia="Times New Roman" w:hAnsiTheme="majorBidi" w:cstheme="majorBidi"/>
          <w:sz w:val="24"/>
          <w:szCs w:val="24"/>
          <w:lang w:val="en-US"/>
        </w:rPr>
        <w:t>[51]</w:t>
      </w:r>
      <w:r w:rsidRPr="008F7397">
        <w:rPr>
          <w:rFonts w:asciiTheme="majorBidi" w:eastAsia="Times New Roman" w:hAnsiTheme="majorBidi" w:cstheme="majorBidi"/>
          <w:sz w:val="24"/>
          <w:szCs w:val="24"/>
          <w:lang w:val="en-US"/>
        </w:rPr>
        <w:tab/>
        <w:t>G. Lehne, P. De Angelis, M. den Boer, and H. E. Rugstad, “Growth inhibition, cytokinesis failure and apoptosis of multidrug-resistant leukemia cells after treatment with P-glycoprotein inhibitory agents,” Leukemia, vol. 13, no. 5, pp. 768–778, May 1999.</w:t>
      </w:r>
    </w:p>
    <w:p w:rsidR="002E15BB" w:rsidRPr="00895204" w:rsidRDefault="00760C56" w:rsidP="003F19A7">
      <w:pPr>
        <w:spacing w:line="480" w:lineRule="auto"/>
        <w:rPr>
          <w:rFonts w:asciiTheme="majorBidi" w:hAnsiTheme="majorBidi" w:cstheme="majorBidi"/>
          <w:sz w:val="24"/>
          <w:szCs w:val="24"/>
        </w:rPr>
      </w:pPr>
      <w:r w:rsidRPr="008F7397">
        <w:rPr>
          <w:rFonts w:asciiTheme="majorBidi" w:eastAsia="Times New Roman" w:hAnsiTheme="majorBidi" w:cstheme="majorBidi"/>
          <w:sz w:val="24"/>
          <w:szCs w:val="24"/>
          <w:lang w:val="en-US"/>
        </w:rPr>
        <w:fldChar w:fldCharType="end"/>
      </w:r>
    </w:p>
    <w:sectPr w:rsidR="002E15BB" w:rsidRPr="00895204" w:rsidSect="008F47F6">
      <w:footerReference w:type="default" r:id="rId1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034" w:rsidRDefault="00283034" w:rsidP="00D44FCB">
      <w:r>
        <w:separator/>
      </w:r>
    </w:p>
  </w:endnote>
  <w:endnote w:type="continuationSeparator" w:id="0">
    <w:p w:rsidR="00283034" w:rsidRDefault="00283034" w:rsidP="00D44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0576402"/>
      <w:docPartObj>
        <w:docPartGallery w:val="Page Numbers (Bottom of Page)"/>
        <w:docPartUnique/>
      </w:docPartObj>
    </w:sdtPr>
    <w:sdtContent>
      <w:p w:rsidR="00E67CA2" w:rsidRDefault="00E67CA2">
        <w:pPr>
          <w:pStyle w:val="Footer"/>
          <w:jc w:val="right"/>
        </w:pPr>
        <w:r>
          <w:fldChar w:fldCharType="begin"/>
        </w:r>
        <w:r>
          <w:instrText xml:space="preserve"> PAGE   \* MERGEFORMAT </w:instrText>
        </w:r>
        <w:r>
          <w:fldChar w:fldCharType="separate"/>
        </w:r>
        <w:r w:rsidR="00913E1A">
          <w:rPr>
            <w:noProof/>
          </w:rPr>
          <w:t>1</w:t>
        </w:r>
        <w:r>
          <w:rPr>
            <w:noProof/>
          </w:rPr>
          <w:fldChar w:fldCharType="end"/>
        </w:r>
      </w:p>
    </w:sdtContent>
  </w:sdt>
  <w:p w:rsidR="00E67CA2" w:rsidRDefault="00E67C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034" w:rsidRDefault="00283034" w:rsidP="00D44FCB">
      <w:r>
        <w:separator/>
      </w:r>
    </w:p>
  </w:footnote>
  <w:footnote w:type="continuationSeparator" w:id="0">
    <w:p w:rsidR="00283034" w:rsidRDefault="00283034" w:rsidP="00D44F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FED"/>
    <w:rsid w:val="0000483B"/>
    <w:rsid w:val="0000655E"/>
    <w:rsid w:val="00016195"/>
    <w:rsid w:val="00017D03"/>
    <w:rsid w:val="00031ED5"/>
    <w:rsid w:val="000414D7"/>
    <w:rsid w:val="00043722"/>
    <w:rsid w:val="0004568F"/>
    <w:rsid w:val="000460B4"/>
    <w:rsid w:val="00062BA6"/>
    <w:rsid w:val="000877AB"/>
    <w:rsid w:val="0009004B"/>
    <w:rsid w:val="00091834"/>
    <w:rsid w:val="00092AB2"/>
    <w:rsid w:val="000A0759"/>
    <w:rsid w:val="000C210E"/>
    <w:rsid w:val="000C54EF"/>
    <w:rsid w:val="000D1033"/>
    <w:rsid w:val="000E2879"/>
    <w:rsid w:val="001039D3"/>
    <w:rsid w:val="00121066"/>
    <w:rsid w:val="00125736"/>
    <w:rsid w:val="00133DC7"/>
    <w:rsid w:val="001549B9"/>
    <w:rsid w:val="001563F7"/>
    <w:rsid w:val="00163C82"/>
    <w:rsid w:val="00173DBE"/>
    <w:rsid w:val="00182378"/>
    <w:rsid w:val="00183843"/>
    <w:rsid w:val="001A450B"/>
    <w:rsid w:val="001A608C"/>
    <w:rsid w:val="001E1FF4"/>
    <w:rsid w:val="001F0FE4"/>
    <w:rsid w:val="00216FE0"/>
    <w:rsid w:val="00217DB5"/>
    <w:rsid w:val="002268C6"/>
    <w:rsid w:val="00230DB4"/>
    <w:rsid w:val="00234D31"/>
    <w:rsid w:val="00247146"/>
    <w:rsid w:val="00247F33"/>
    <w:rsid w:val="00263BB6"/>
    <w:rsid w:val="0026555E"/>
    <w:rsid w:val="00266AA9"/>
    <w:rsid w:val="00275CF2"/>
    <w:rsid w:val="00283034"/>
    <w:rsid w:val="002832F4"/>
    <w:rsid w:val="00296C44"/>
    <w:rsid w:val="002A4863"/>
    <w:rsid w:val="002B4617"/>
    <w:rsid w:val="002C5A0D"/>
    <w:rsid w:val="002E15BB"/>
    <w:rsid w:val="002F3F03"/>
    <w:rsid w:val="00303C4A"/>
    <w:rsid w:val="00306907"/>
    <w:rsid w:val="00314BD2"/>
    <w:rsid w:val="00320BD4"/>
    <w:rsid w:val="003256F4"/>
    <w:rsid w:val="003274C0"/>
    <w:rsid w:val="00330657"/>
    <w:rsid w:val="00331445"/>
    <w:rsid w:val="003578A5"/>
    <w:rsid w:val="00396EF2"/>
    <w:rsid w:val="003E3B3E"/>
    <w:rsid w:val="003F19A7"/>
    <w:rsid w:val="00405641"/>
    <w:rsid w:val="0040739B"/>
    <w:rsid w:val="00435402"/>
    <w:rsid w:val="00454AB1"/>
    <w:rsid w:val="00456751"/>
    <w:rsid w:val="00461139"/>
    <w:rsid w:val="00462FDE"/>
    <w:rsid w:val="004728F3"/>
    <w:rsid w:val="004B226C"/>
    <w:rsid w:val="004C0B93"/>
    <w:rsid w:val="004C7238"/>
    <w:rsid w:val="004E2065"/>
    <w:rsid w:val="004E3591"/>
    <w:rsid w:val="004E63A3"/>
    <w:rsid w:val="004F0868"/>
    <w:rsid w:val="00507C3F"/>
    <w:rsid w:val="0052591A"/>
    <w:rsid w:val="005344BA"/>
    <w:rsid w:val="005372C8"/>
    <w:rsid w:val="00571A28"/>
    <w:rsid w:val="005760A6"/>
    <w:rsid w:val="005D099E"/>
    <w:rsid w:val="005D1876"/>
    <w:rsid w:val="005D3F73"/>
    <w:rsid w:val="005D7A0D"/>
    <w:rsid w:val="005E1B29"/>
    <w:rsid w:val="005E1D61"/>
    <w:rsid w:val="005E53AC"/>
    <w:rsid w:val="00602550"/>
    <w:rsid w:val="006029D8"/>
    <w:rsid w:val="00613282"/>
    <w:rsid w:val="00620B0D"/>
    <w:rsid w:val="0062773B"/>
    <w:rsid w:val="00636E42"/>
    <w:rsid w:val="006516F7"/>
    <w:rsid w:val="00657C89"/>
    <w:rsid w:val="00673094"/>
    <w:rsid w:val="00674A4F"/>
    <w:rsid w:val="0068291E"/>
    <w:rsid w:val="006B3966"/>
    <w:rsid w:val="006D0E68"/>
    <w:rsid w:val="006D4BE1"/>
    <w:rsid w:val="006D6755"/>
    <w:rsid w:val="006F2C11"/>
    <w:rsid w:val="006F4FC0"/>
    <w:rsid w:val="006F7627"/>
    <w:rsid w:val="00707BE0"/>
    <w:rsid w:val="007105A6"/>
    <w:rsid w:val="00710DB1"/>
    <w:rsid w:val="00714AAC"/>
    <w:rsid w:val="00751DFA"/>
    <w:rsid w:val="00760C56"/>
    <w:rsid w:val="0077101B"/>
    <w:rsid w:val="00775454"/>
    <w:rsid w:val="007816EB"/>
    <w:rsid w:val="00782499"/>
    <w:rsid w:val="00791DA5"/>
    <w:rsid w:val="0079413C"/>
    <w:rsid w:val="007C0D1A"/>
    <w:rsid w:val="007C1020"/>
    <w:rsid w:val="007F12C0"/>
    <w:rsid w:val="007F5A22"/>
    <w:rsid w:val="00817DD0"/>
    <w:rsid w:val="00833E56"/>
    <w:rsid w:val="00840D14"/>
    <w:rsid w:val="0084693B"/>
    <w:rsid w:val="00850C89"/>
    <w:rsid w:val="00863493"/>
    <w:rsid w:val="00866B04"/>
    <w:rsid w:val="00895204"/>
    <w:rsid w:val="008C0CDC"/>
    <w:rsid w:val="008C10F3"/>
    <w:rsid w:val="008C383F"/>
    <w:rsid w:val="008D00AA"/>
    <w:rsid w:val="008E5C5E"/>
    <w:rsid w:val="008E7925"/>
    <w:rsid w:val="008F1546"/>
    <w:rsid w:val="008F3981"/>
    <w:rsid w:val="008F47F6"/>
    <w:rsid w:val="008F7397"/>
    <w:rsid w:val="00913E1A"/>
    <w:rsid w:val="0091619C"/>
    <w:rsid w:val="00917C64"/>
    <w:rsid w:val="00931D6D"/>
    <w:rsid w:val="00943184"/>
    <w:rsid w:val="00947627"/>
    <w:rsid w:val="00951716"/>
    <w:rsid w:val="00956606"/>
    <w:rsid w:val="00993357"/>
    <w:rsid w:val="009A5A9E"/>
    <w:rsid w:val="009B287F"/>
    <w:rsid w:val="009D21C5"/>
    <w:rsid w:val="009E37A9"/>
    <w:rsid w:val="00A17AC9"/>
    <w:rsid w:val="00A22F84"/>
    <w:rsid w:val="00A45FBD"/>
    <w:rsid w:val="00A67B31"/>
    <w:rsid w:val="00AC1985"/>
    <w:rsid w:val="00AC4285"/>
    <w:rsid w:val="00AC52C7"/>
    <w:rsid w:val="00AE247F"/>
    <w:rsid w:val="00B06B8E"/>
    <w:rsid w:val="00B1029D"/>
    <w:rsid w:val="00B328C4"/>
    <w:rsid w:val="00B35C27"/>
    <w:rsid w:val="00B40960"/>
    <w:rsid w:val="00B53B5F"/>
    <w:rsid w:val="00B60AA0"/>
    <w:rsid w:val="00B62844"/>
    <w:rsid w:val="00B62CEF"/>
    <w:rsid w:val="00B63668"/>
    <w:rsid w:val="00B6550D"/>
    <w:rsid w:val="00B959D2"/>
    <w:rsid w:val="00B96042"/>
    <w:rsid w:val="00BD0638"/>
    <w:rsid w:val="00BD458F"/>
    <w:rsid w:val="00BD4E14"/>
    <w:rsid w:val="00BE0C76"/>
    <w:rsid w:val="00BE5394"/>
    <w:rsid w:val="00BE7D61"/>
    <w:rsid w:val="00C00CE4"/>
    <w:rsid w:val="00C0283F"/>
    <w:rsid w:val="00C15897"/>
    <w:rsid w:val="00C16EF5"/>
    <w:rsid w:val="00C271DB"/>
    <w:rsid w:val="00C30FB1"/>
    <w:rsid w:val="00C514FB"/>
    <w:rsid w:val="00C6175B"/>
    <w:rsid w:val="00C65847"/>
    <w:rsid w:val="00C75DCF"/>
    <w:rsid w:val="00C839B0"/>
    <w:rsid w:val="00CA084B"/>
    <w:rsid w:val="00CA132D"/>
    <w:rsid w:val="00CA24A6"/>
    <w:rsid w:val="00CB27AD"/>
    <w:rsid w:val="00CD3419"/>
    <w:rsid w:val="00CF1A4E"/>
    <w:rsid w:val="00D02A25"/>
    <w:rsid w:val="00D071A6"/>
    <w:rsid w:val="00D10C29"/>
    <w:rsid w:val="00D12BFF"/>
    <w:rsid w:val="00D209F3"/>
    <w:rsid w:val="00D44FCB"/>
    <w:rsid w:val="00D53475"/>
    <w:rsid w:val="00D67FFE"/>
    <w:rsid w:val="00D8796E"/>
    <w:rsid w:val="00DA0399"/>
    <w:rsid w:val="00DD6C89"/>
    <w:rsid w:val="00DE5569"/>
    <w:rsid w:val="00DE623F"/>
    <w:rsid w:val="00DF6160"/>
    <w:rsid w:val="00E24644"/>
    <w:rsid w:val="00E3456A"/>
    <w:rsid w:val="00E37454"/>
    <w:rsid w:val="00E4284C"/>
    <w:rsid w:val="00E469E1"/>
    <w:rsid w:val="00E50CD4"/>
    <w:rsid w:val="00E55A22"/>
    <w:rsid w:val="00E57830"/>
    <w:rsid w:val="00E6314D"/>
    <w:rsid w:val="00E67CA2"/>
    <w:rsid w:val="00E86772"/>
    <w:rsid w:val="00E92DEE"/>
    <w:rsid w:val="00EA1451"/>
    <w:rsid w:val="00EB3FAC"/>
    <w:rsid w:val="00EB7C08"/>
    <w:rsid w:val="00ED1D41"/>
    <w:rsid w:val="00EF0529"/>
    <w:rsid w:val="00F03A4C"/>
    <w:rsid w:val="00F372F7"/>
    <w:rsid w:val="00F779D1"/>
    <w:rsid w:val="00F80E84"/>
    <w:rsid w:val="00F8318A"/>
    <w:rsid w:val="00F84FED"/>
    <w:rsid w:val="00FD1D8E"/>
    <w:rsid w:val="00FD2852"/>
    <w:rsid w:val="00FE4EE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3E1745-2A0E-4211-B659-8800EBF2E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4FED"/>
    <w:pPr>
      <w:keepNext/>
      <w:spacing w:after="0" w:line="240" w:lineRule="auto"/>
    </w:pPr>
    <w:rPr>
      <w:rFonts w:ascii="Arial" w:hAnsi="Arial"/>
      <w:lang w:val="sv-SE" w:bidi="ar-SA"/>
    </w:rPr>
  </w:style>
  <w:style w:type="paragraph" w:styleId="Heading1">
    <w:name w:val="heading 1"/>
    <w:basedOn w:val="Normal"/>
    <w:next w:val="Normal"/>
    <w:link w:val="Heading1Char"/>
    <w:uiPriority w:val="1"/>
    <w:qFormat/>
    <w:rsid w:val="00F84FED"/>
    <w:pPr>
      <w:spacing w:after="240"/>
      <w:outlineLvl w:val="0"/>
    </w:pPr>
    <w:rPr>
      <w:b/>
      <w:sz w:val="32"/>
    </w:rPr>
  </w:style>
  <w:style w:type="paragraph" w:styleId="Heading2">
    <w:name w:val="heading 2"/>
    <w:basedOn w:val="Normal"/>
    <w:next w:val="Normal"/>
    <w:link w:val="Heading2Char"/>
    <w:uiPriority w:val="9"/>
    <w:semiHidden/>
    <w:unhideWhenUsed/>
    <w:qFormat/>
    <w:rsid w:val="004C7238"/>
    <w:pPr>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4FED"/>
    <w:rPr>
      <w:color w:val="0000FF" w:themeColor="hyperlink"/>
      <w:u w:val="single"/>
    </w:rPr>
  </w:style>
  <w:style w:type="paragraph" w:styleId="HTMLPreformatted">
    <w:name w:val="HTML Preformatted"/>
    <w:basedOn w:val="Normal"/>
    <w:link w:val="HTMLPreformattedChar"/>
    <w:uiPriority w:val="99"/>
    <w:unhideWhenUsed/>
    <w:rsid w:val="00F84FED"/>
    <w:pPr>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val="en-GB" w:eastAsia="en-GB"/>
    </w:rPr>
  </w:style>
  <w:style w:type="character" w:customStyle="1" w:styleId="HTMLPreformattedChar">
    <w:name w:val="HTML Preformatted Char"/>
    <w:basedOn w:val="DefaultParagraphFont"/>
    <w:link w:val="HTMLPreformatted"/>
    <w:uiPriority w:val="99"/>
    <w:rsid w:val="00F84FED"/>
    <w:rPr>
      <w:rFonts w:ascii="Courier New" w:hAnsi="Courier New" w:cs="Courier New"/>
      <w:color w:val="000000"/>
      <w:sz w:val="20"/>
      <w:szCs w:val="20"/>
      <w:lang w:val="en-GB" w:eastAsia="en-GB" w:bidi="ar-SA"/>
    </w:rPr>
  </w:style>
  <w:style w:type="table" w:styleId="TableGrid">
    <w:name w:val="Table Grid"/>
    <w:basedOn w:val="TableNormal"/>
    <w:uiPriority w:val="59"/>
    <w:rsid w:val="00F84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4FED"/>
    <w:rPr>
      <w:rFonts w:ascii="Tahoma" w:hAnsi="Tahoma" w:cs="Tahoma"/>
      <w:sz w:val="16"/>
      <w:szCs w:val="16"/>
    </w:rPr>
  </w:style>
  <w:style w:type="character" w:customStyle="1" w:styleId="BalloonTextChar">
    <w:name w:val="Balloon Text Char"/>
    <w:basedOn w:val="DefaultParagraphFont"/>
    <w:link w:val="BalloonText"/>
    <w:uiPriority w:val="99"/>
    <w:semiHidden/>
    <w:rsid w:val="00F84FED"/>
    <w:rPr>
      <w:rFonts w:ascii="Tahoma" w:hAnsi="Tahoma" w:cs="Tahoma"/>
      <w:sz w:val="16"/>
      <w:szCs w:val="16"/>
      <w:lang w:val="sv-SE" w:bidi="ar-SA"/>
    </w:rPr>
  </w:style>
  <w:style w:type="character" w:customStyle="1" w:styleId="Heading1Char">
    <w:name w:val="Heading 1 Char"/>
    <w:basedOn w:val="DefaultParagraphFont"/>
    <w:link w:val="Heading1"/>
    <w:uiPriority w:val="1"/>
    <w:rsid w:val="00F84FED"/>
    <w:rPr>
      <w:rFonts w:ascii="Arial" w:hAnsi="Arial"/>
      <w:b/>
      <w:sz w:val="32"/>
      <w:lang w:val="sv-SE" w:bidi="ar-SA"/>
    </w:rPr>
  </w:style>
  <w:style w:type="paragraph" w:styleId="Bibliography">
    <w:name w:val="Bibliography"/>
    <w:basedOn w:val="Normal"/>
    <w:next w:val="Normal"/>
    <w:uiPriority w:val="37"/>
    <w:unhideWhenUsed/>
    <w:rsid w:val="00F84FED"/>
    <w:pPr>
      <w:tabs>
        <w:tab w:val="left" w:pos="504"/>
      </w:tabs>
      <w:ind w:left="504" w:hanging="504"/>
    </w:pPr>
  </w:style>
  <w:style w:type="paragraph" w:customStyle="1" w:styleId="Paragraph">
    <w:name w:val="Paragraph"/>
    <w:basedOn w:val="Normal"/>
    <w:rsid w:val="000460B4"/>
    <w:pPr>
      <w:keepNext w:val="0"/>
      <w:spacing w:before="120"/>
      <w:ind w:firstLine="720"/>
    </w:pPr>
    <w:rPr>
      <w:rFonts w:ascii="Times New Roman" w:eastAsia="Times New Roman" w:hAnsi="Times New Roman" w:cs="Times New Roman"/>
      <w:sz w:val="24"/>
      <w:szCs w:val="24"/>
      <w:lang w:val="en-US"/>
    </w:rPr>
  </w:style>
  <w:style w:type="paragraph" w:customStyle="1" w:styleId="Head">
    <w:name w:val="Head"/>
    <w:basedOn w:val="Normal"/>
    <w:rsid w:val="000460B4"/>
    <w:pPr>
      <w:spacing w:before="120" w:after="120"/>
      <w:jc w:val="center"/>
      <w:outlineLvl w:val="0"/>
    </w:pPr>
    <w:rPr>
      <w:rFonts w:ascii="Times New Roman" w:eastAsia="Times New Roman" w:hAnsi="Times New Roman" w:cs="Times New Roman"/>
      <w:b/>
      <w:bCs/>
      <w:kern w:val="28"/>
      <w:sz w:val="28"/>
      <w:szCs w:val="28"/>
      <w:lang w:val="en-US"/>
    </w:rPr>
  </w:style>
  <w:style w:type="paragraph" w:customStyle="1" w:styleId="Teaser">
    <w:name w:val="Teaser"/>
    <w:basedOn w:val="Normal"/>
    <w:rsid w:val="000460B4"/>
    <w:pPr>
      <w:keepNext w:val="0"/>
      <w:spacing w:before="120"/>
    </w:pPr>
    <w:rPr>
      <w:rFonts w:ascii="Times New Roman" w:eastAsia="Times New Roman" w:hAnsi="Times New Roman" w:cs="Times New Roman"/>
      <w:sz w:val="24"/>
      <w:szCs w:val="24"/>
      <w:lang w:val="en-US"/>
    </w:rPr>
  </w:style>
  <w:style w:type="paragraph" w:customStyle="1" w:styleId="1stparatext">
    <w:name w:val="1st para text"/>
    <w:basedOn w:val="Normal"/>
    <w:rsid w:val="009D21C5"/>
    <w:pPr>
      <w:keepNext w:val="0"/>
      <w:spacing w:before="120"/>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1"/>
    <w:rsid w:val="004C7238"/>
    <w:rPr>
      <w:rFonts w:asciiTheme="majorHAnsi" w:eastAsiaTheme="majorEastAsia" w:hAnsiTheme="majorHAnsi" w:cstheme="majorBidi"/>
      <w:b/>
      <w:bCs/>
      <w:color w:val="4F81BD" w:themeColor="accent1"/>
      <w:sz w:val="26"/>
      <w:szCs w:val="26"/>
      <w:lang w:val="sv-SE" w:bidi="ar-SA"/>
    </w:rPr>
  </w:style>
  <w:style w:type="character" w:styleId="CommentReference">
    <w:name w:val="annotation reference"/>
    <w:uiPriority w:val="99"/>
    <w:rsid w:val="00A22F84"/>
    <w:rPr>
      <w:sz w:val="18"/>
      <w:szCs w:val="18"/>
    </w:rPr>
  </w:style>
  <w:style w:type="paragraph" w:styleId="CommentText">
    <w:name w:val="annotation text"/>
    <w:basedOn w:val="Normal"/>
    <w:link w:val="CommentTextChar"/>
    <w:uiPriority w:val="99"/>
    <w:semiHidden/>
    <w:rsid w:val="00A22F84"/>
    <w:pPr>
      <w:keepNext w:val="0"/>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A22F84"/>
    <w:rPr>
      <w:rFonts w:ascii="Times New Roman" w:eastAsia="Times New Roman" w:hAnsi="Times New Roman" w:cs="Times New Roman"/>
      <w:sz w:val="20"/>
      <w:szCs w:val="20"/>
      <w:lang w:bidi="ar-SA"/>
    </w:rPr>
  </w:style>
  <w:style w:type="paragraph" w:styleId="CommentSubject">
    <w:name w:val="annotation subject"/>
    <w:basedOn w:val="CommentText"/>
    <w:next w:val="CommentText"/>
    <w:link w:val="CommentSubjectChar"/>
    <w:uiPriority w:val="99"/>
    <w:semiHidden/>
    <w:unhideWhenUsed/>
    <w:rsid w:val="001563F7"/>
    <w:pPr>
      <w:keepNext/>
    </w:pPr>
    <w:rPr>
      <w:rFonts w:ascii="Arial" w:eastAsiaTheme="minorHAnsi" w:hAnsi="Arial" w:cstheme="minorBidi"/>
      <w:b/>
      <w:bCs/>
      <w:lang w:val="sv-SE"/>
    </w:rPr>
  </w:style>
  <w:style w:type="character" w:customStyle="1" w:styleId="CommentSubjectChar">
    <w:name w:val="Comment Subject Char"/>
    <w:basedOn w:val="CommentTextChar"/>
    <w:link w:val="CommentSubject"/>
    <w:uiPriority w:val="99"/>
    <w:semiHidden/>
    <w:rsid w:val="001563F7"/>
    <w:rPr>
      <w:rFonts w:ascii="Arial" w:eastAsia="Times New Roman" w:hAnsi="Arial" w:cs="Times New Roman"/>
      <w:b/>
      <w:bCs/>
      <w:sz w:val="20"/>
      <w:szCs w:val="20"/>
      <w:lang w:val="sv-SE" w:bidi="ar-SA"/>
    </w:rPr>
  </w:style>
  <w:style w:type="paragraph" w:styleId="Header">
    <w:name w:val="header"/>
    <w:basedOn w:val="Normal"/>
    <w:link w:val="HeaderChar"/>
    <w:uiPriority w:val="99"/>
    <w:semiHidden/>
    <w:unhideWhenUsed/>
    <w:rsid w:val="00D44FCB"/>
    <w:pPr>
      <w:tabs>
        <w:tab w:val="center" w:pos="4153"/>
        <w:tab w:val="right" w:pos="8306"/>
      </w:tabs>
    </w:pPr>
  </w:style>
  <w:style w:type="character" w:customStyle="1" w:styleId="HeaderChar">
    <w:name w:val="Header Char"/>
    <w:basedOn w:val="DefaultParagraphFont"/>
    <w:link w:val="Header"/>
    <w:uiPriority w:val="99"/>
    <w:semiHidden/>
    <w:rsid w:val="00D44FCB"/>
    <w:rPr>
      <w:rFonts w:ascii="Arial" w:hAnsi="Arial"/>
      <w:lang w:val="sv-SE" w:bidi="ar-SA"/>
    </w:rPr>
  </w:style>
  <w:style w:type="paragraph" w:styleId="Footer">
    <w:name w:val="footer"/>
    <w:basedOn w:val="Normal"/>
    <w:link w:val="FooterChar"/>
    <w:uiPriority w:val="99"/>
    <w:unhideWhenUsed/>
    <w:rsid w:val="00D44FCB"/>
    <w:pPr>
      <w:tabs>
        <w:tab w:val="center" w:pos="4153"/>
        <w:tab w:val="right" w:pos="8306"/>
      </w:tabs>
    </w:pPr>
  </w:style>
  <w:style w:type="character" w:customStyle="1" w:styleId="FooterChar">
    <w:name w:val="Footer Char"/>
    <w:basedOn w:val="DefaultParagraphFont"/>
    <w:link w:val="Footer"/>
    <w:uiPriority w:val="99"/>
    <w:rsid w:val="00D44FCB"/>
    <w:rPr>
      <w:rFonts w:ascii="Arial" w:hAnsi="Arial"/>
      <w:lang w:val="sv-SE" w:bidi="ar-SA"/>
    </w:rPr>
  </w:style>
  <w:style w:type="character" w:styleId="FollowedHyperlink">
    <w:name w:val="FollowedHyperlink"/>
    <w:basedOn w:val="DefaultParagraphFont"/>
    <w:uiPriority w:val="99"/>
    <w:semiHidden/>
    <w:unhideWhenUsed/>
    <w:rsid w:val="00E469E1"/>
    <w:rPr>
      <w:color w:val="800080" w:themeColor="followedHyperlink"/>
      <w:u w:val="single"/>
    </w:rPr>
  </w:style>
  <w:style w:type="character" w:customStyle="1" w:styleId="apple-converted-space">
    <w:name w:val="apple-converted-space"/>
    <w:basedOn w:val="DefaultParagraphFont"/>
    <w:rsid w:val="002B4617"/>
  </w:style>
  <w:style w:type="paragraph" w:customStyle="1" w:styleId="Acknowledgement">
    <w:name w:val="Acknowledgement"/>
    <w:basedOn w:val="Normal"/>
    <w:rsid w:val="008C383F"/>
    <w:pPr>
      <w:keepNext w:val="0"/>
      <w:spacing w:before="120"/>
      <w:ind w:left="720" w:hanging="720"/>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2E15BB"/>
    <w:rPr>
      <w:sz w:val="20"/>
      <w:szCs w:val="20"/>
    </w:rPr>
  </w:style>
  <w:style w:type="character" w:customStyle="1" w:styleId="FootnoteTextChar">
    <w:name w:val="Footnote Text Char"/>
    <w:basedOn w:val="DefaultParagraphFont"/>
    <w:link w:val="FootnoteText"/>
    <w:uiPriority w:val="99"/>
    <w:semiHidden/>
    <w:rsid w:val="002E15BB"/>
    <w:rPr>
      <w:rFonts w:ascii="Arial" w:hAnsi="Arial"/>
      <w:sz w:val="20"/>
      <w:szCs w:val="20"/>
      <w:lang w:val="sv-SE" w:bidi="ar-SA"/>
    </w:rPr>
  </w:style>
  <w:style w:type="character" w:styleId="FootnoteReference">
    <w:name w:val="footnote reference"/>
    <w:basedOn w:val="DefaultParagraphFont"/>
    <w:uiPriority w:val="99"/>
    <w:semiHidden/>
    <w:unhideWhenUsed/>
    <w:rsid w:val="002E15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87032">
      <w:bodyDiv w:val="1"/>
      <w:marLeft w:val="0"/>
      <w:marRight w:val="0"/>
      <w:marTop w:val="0"/>
      <w:marBottom w:val="0"/>
      <w:divBdr>
        <w:top w:val="none" w:sz="0" w:space="0" w:color="auto"/>
        <w:left w:val="none" w:sz="0" w:space="0" w:color="auto"/>
        <w:bottom w:val="none" w:sz="0" w:space="0" w:color="auto"/>
        <w:right w:val="none" w:sz="0" w:space="0" w:color="auto"/>
      </w:divBdr>
    </w:div>
    <w:div w:id="369303021">
      <w:bodyDiv w:val="1"/>
      <w:marLeft w:val="0"/>
      <w:marRight w:val="0"/>
      <w:marTop w:val="0"/>
      <w:marBottom w:val="0"/>
      <w:divBdr>
        <w:top w:val="none" w:sz="0" w:space="0" w:color="auto"/>
        <w:left w:val="none" w:sz="0" w:space="0" w:color="auto"/>
        <w:bottom w:val="none" w:sz="0" w:space="0" w:color="auto"/>
        <w:right w:val="none" w:sz="0" w:space="0" w:color="auto"/>
      </w:divBdr>
      <w:divsChild>
        <w:div w:id="400710597">
          <w:marLeft w:val="0"/>
          <w:marRight w:val="0"/>
          <w:marTop w:val="0"/>
          <w:marBottom w:val="0"/>
          <w:divBdr>
            <w:top w:val="none" w:sz="0" w:space="0" w:color="auto"/>
            <w:left w:val="none" w:sz="0" w:space="0" w:color="auto"/>
            <w:bottom w:val="none" w:sz="0" w:space="0" w:color="auto"/>
            <w:right w:val="none" w:sz="0" w:space="0" w:color="auto"/>
          </w:divBdr>
        </w:div>
        <w:div w:id="790707905">
          <w:marLeft w:val="0"/>
          <w:marRight w:val="0"/>
          <w:marTop w:val="0"/>
          <w:marBottom w:val="0"/>
          <w:divBdr>
            <w:top w:val="none" w:sz="0" w:space="0" w:color="auto"/>
            <w:left w:val="none" w:sz="0" w:space="0" w:color="auto"/>
            <w:bottom w:val="none" w:sz="0" w:space="0" w:color="auto"/>
            <w:right w:val="none" w:sz="0" w:space="0" w:color="auto"/>
          </w:divBdr>
        </w:div>
        <w:div w:id="1017997385">
          <w:marLeft w:val="0"/>
          <w:marRight w:val="0"/>
          <w:marTop w:val="0"/>
          <w:marBottom w:val="0"/>
          <w:divBdr>
            <w:top w:val="none" w:sz="0" w:space="0" w:color="auto"/>
            <w:left w:val="none" w:sz="0" w:space="0" w:color="auto"/>
            <w:bottom w:val="none" w:sz="0" w:space="0" w:color="auto"/>
            <w:right w:val="none" w:sz="0" w:space="0" w:color="auto"/>
          </w:divBdr>
        </w:div>
        <w:div w:id="1072001865">
          <w:marLeft w:val="0"/>
          <w:marRight w:val="0"/>
          <w:marTop w:val="0"/>
          <w:marBottom w:val="0"/>
          <w:divBdr>
            <w:top w:val="none" w:sz="0" w:space="0" w:color="auto"/>
            <w:left w:val="none" w:sz="0" w:space="0" w:color="auto"/>
            <w:bottom w:val="none" w:sz="0" w:space="0" w:color="auto"/>
            <w:right w:val="none" w:sz="0" w:space="0" w:color="auto"/>
          </w:divBdr>
        </w:div>
        <w:div w:id="1477796635">
          <w:marLeft w:val="0"/>
          <w:marRight w:val="0"/>
          <w:marTop w:val="0"/>
          <w:marBottom w:val="0"/>
          <w:divBdr>
            <w:top w:val="none" w:sz="0" w:space="0" w:color="auto"/>
            <w:left w:val="none" w:sz="0" w:space="0" w:color="auto"/>
            <w:bottom w:val="none" w:sz="0" w:space="0" w:color="auto"/>
            <w:right w:val="none" w:sz="0" w:space="0" w:color="auto"/>
          </w:divBdr>
        </w:div>
        <w:div w:id="1519657053">
          <w:marLeft w:val="0"/>
          <w:marRight w:val="0"/>
          <w:marTop w:val="0"/>
          <w:marBottom w:val="0"/>
          <w:divBdr>
            <w:top w:val="none" w:sz="0" w:space="0" w:color="auto"/>
            <w:left w:val="none" w:sz="0" w:space="0" w:color="auto"/>
            <w:bottom w:val="none" w:sz="0" w:space="0" w:color="auto"/>
            <w:right w:val="none" w:sz="0" w:space="0" w:color="auto"/>
          </w:divBdr>
        </w:div>
        <w:div w:id="1720087559">
          <w:marLeft w:val="0"/>
          <w:marRight w:val="0"/>
          <w:marTop w:val="0"/>
          <w:marBottom w:val="0"/>
          <w:divBdr>
            <w:top w:val="none" w:sz="0" w:space="0" w:color="auto"/>
            <w:left w:val="none" w:sz="0" w:space="0" w:color="auto"/>
            <w:bottom w:val="none" w:sz="0" w:space="0" w:color="auto"/>
            <w:right w:val="none" w:sz="0" w:space="0" w:color="auto"/>
          </w:divBdr>
        </w:div>
      </w:divsChild>
    </w:div>
    <w:div w:id="707609512">
      <w:bodyDiv w:val="1"/>
      <w:marLeft w:val="0"/>
      <w:marRight w:val="0"/>
      <w:marTop w:val="0"/>
      <w:marBottom w:val="0"/>
      <w:divBdr>
        <w:top w:val="none" w:sz="0" w:space="0" w:color="auto"/>
        <w:left w:val="none" w:sz="0" w:space="0" w:color="auto"/>
        <w:bottom w:val="none" w:sz="0" w:space="0" w:color="auto"/>
        <w:right w:val="none" w:sz="0" w:space="0" w:color="auto"/>
      </w:divBdr>
      <w:divsChild>
        <w:div w:id="42482674">
          <w:marLeft w:val="0"/>
          <w:marRight w:val="0"/>
          <w:marTop w:val="0"/>
          <w:marBottom w:val="0"/>
          <w:divBdr>
            <w:top w:val="none" w:sz="0" w:space="0" w:color="auto"/>
            <w:left w:val="none" w:sz="0" w:space="0" w:color="auto"/>
            <w:bottom w:val="none" w:sz="0" w:space="0" w:color="auto"/>
            <w:right w:val="none" w:sz="0" w:space="0" w:color="auto"/>
          </w:divBdr>
        </w:div>
        <w:div w:id="331178449">
          <w:marLeft w:val="0"/>
          <w:marRight w:val="0"/>
          <w:marTop w:val="0"/>
          <w:marBottom w:val="0"/>
          <w:divBdr>
            <w:top w:val="none" w:sz="0" w:space="0" w:color="auto"/>
            <w:left w:val="none" w:sz="0" w:space="0" w:color="auto"/>
            <w:bottom w:val="none" w:sz="0" w:space="0" w:color="auto"/>
            <w:right w:val="none" w:sz="0" w:space="0" w:color="auto"/>
          </w:divBdr>
        </w:div>
        <w:div w:id="978415288">
          <w:marLeft w:val="0"/>
          <w:marRight w:val="0"/>
          <w:marTop w:val="0"/>
          <w:marBottom w:val="0"/>
          <w:divBdr>
            <w:top w:val="none" w:sz="0" w:space="0" w:color="auto"/>
            <w:left w:val="none" w:sz="0" w:space="0" w:color="auto"/>
            <w:bottom w:val="none" w:sz="0" w:space="0" w:color="auto"/>
            <w:right w:val="none" w:sz="0" w:space="0" w:color="auto"/>
          </w:divBdr>
        </w:div>
        <w:div w:id="1001662640">
          <w:marLeft w:val="0"/>
          <w:marRight w:val="0"/>
          <w:marTop w:val="0"/>
          <w:marBottom w:val="0"/>
          <w:divBdr>
            <w:top w:val="none" w:sz="0" w:space="0" w:color="auto"/>
            <w:left w:val="none" w:sz="0" w:space="0" w:color="auto"/>
            <w:bottom w:val="none" w:sz="0" w:space="0" w:color="auto"/>
            <w:right w:val="none" w:sz="0" w:space="0" w:color="auto"/>
          </w:divBdr>
        </w:div>
        <w:div w:id="1505785447">
          <w:marLeft w:val="0"/>
          <w:marRight w:val="0"/>
          <w:marTop w:val="0"/>
          <w:marBottom w:val="0"/>
          <w:divBdr>
            <w:top w:val="none" w:sz="0" w:space="0" w:color="auto"/>
            <w:left w:val="none" w:sz="0" w:space="0" w:color="auto"/>
            <w:bottom w:val="none" w:sz="0" w:space="0" w:color="auto"/>
            <w:right w:val="none" w:sz="0" w:space="0" w:color="auto"/>
          </w:divBdr>
        </w:div>
        <w:div w:id="1893156185">
          <w:marLeft w:val="0"/>
          <w:marRight w:val="0"/>
          <w:marTop w:val="0"/>
          <w:marBottom w:val="0"/>
          <w:divBdr>
            <w:top w:val="none" w:sz="0" w:space="0" w:color="auto"/>
            <w:left w:val="none" w:sz="0" w:space="0" w:color="auto"/>
            <w:bottom w:val="none" w:sz="0" w:space="0" w:color="auto"/>
            <w:right w:val="none" w:sz="0" w:space="0" w:color="auto"/>
          </w:divBdr>
        </w:div>
        <w:div w:id="2068600549">
          <w:marLeft w:val="0"/>
          <w:marRight w:val="0"/>
          <w:marTop w:val="0"/>
          <w:marBottom w:val="0"/>
          <w:divBdr>
            <w:top w:val="none" w:sz="0" w:space="0" w:color="auto"/>
            <w:left w:val="none" w:sz="0" w:space="0" w:color="auto"/>
            <w:bottom w:val="none" w:sz="0" w:space="0" w:color="auto"/>
            <w:right w:val="none" w:sz="0" w:space="0" w:color="auto"/>
          </w:divBdr>
        </w:div>
      </w:divsChild>
    </w:div>
    <w:div w:id="804856043">
      <w:bodyDiv w:val="1"/>
      <w:marLeft w:val="0"/>
      <w:marRight w:val="0"/>
      <w:marTop w:val="0"/>
      <w:marBottom w:val="0"/>
      <w:divBdr>
        <w:top w:val="none" w:sz="0" w:space="0" w:color="auto"/>
        <w:left w:val="none" w:sz="0" w:space="0" w:color="auto"/>
        <w:bottom w:val="none" w:sz="0" w:space="0" w:color="auto"/>
        <w:right w:val="none" w:sz="0" w:space="0" w:color="auto"/>
      </w:divBdr>
      <w:divsChild>
        <w:div w:id="159778439">
          <w:marLeft w:val="0"/>
          <w:marRight w:val="0"/>
          <w:marTop w:val="0"/>
          <w:marBottom w:val="0"/>
          <w:divBdr>
            <w:top w:val="none" w:sz="0" w:space="0" w:color="auto"/>
            <w:left w:val="none" w:sz="0" w:space="0" w:color="auto"/>
            <w:bottom w:val="none" w:sz="0" w:space="0" w:color="auto"/>
            <w:right w:val="none" w:sz="0" w:space="0" w:color="auto"/>
          </w:divBdr>
        </w:div>
        <w:div w:id="454300859">
          <w:marLeft w:val="0"/>
          <w:marRight w:val="0"/>
          <w:marTop w:val="0"/>
          <w:marBottom w:val="0"/>
          <w:divBdr>
            <w:top w:val="none" w:sz="0" w:space="0" w:color="auto"/>
            <w:left w:val="none" w:sz="0" w:space="0" w:color="auto"/>
            <w:bottom w:val="none" w:sz="0" w:space="0" w:color="auto"/>
            <w:right w:val="none" w:sz="0" w:space="0" w:color="auto"/>
          </w:divBdr>
        </w:div>
        <w:div w:id="810951019">
          <w:marLeft w:val="0"/>
          <w:marRight w:val="0"/>
          <w:marTop w:val="0"/>
          <w:marBottom w:val="0"/>
          <w:divBdr>
            <w:top w:val="none" w:sz="0" w:space="0" w:color="auto"/>
            <w:left w:val="none" w:sz="0" w:space="0" w:color="auto"/>
            <w:bottom w:val="none" w:sz="0" w:space="0" w:color="auto"/>
            <w:right w:val="none" w:sz="0" w:space="0" w:color="auto"/>
          </w:divBdr>
        </w:div>
        <w:div w:id="944967899">
          <w:marLeft w:val="0"/>
          <w:marRight w:val="0"/>
          <w:marTop w:val="0"/>
          <w:marBottom w:val="0"/>
          <w:divBdr>
            <w:top w:val="none" w:sz="0" w:space="0" w:color="auto"/>
            <w:left w:val="none" w:sz="0" w:space="0" w:color="auto"/>
            <w:bottom w:val="none" w:sz="0" w:space="0" w:color="auto"/>
            <w:right w:val="none" w:sz="0" w:space="0" w:color="auto"/>
          </w:divBdr>
        </w:div>
        <w:div w:id="1578707165">
          <w:marLeft w:val="0"/>
          <w:marRight w:val="0"/>
          <w:marTop w:val="0"/>
          <w:marBottom w:val="0"/>
          <w:divBdr>
            <w:top w:val="none" w:sz="0" w:space="0" w:color="auto"/>
            <w:left w:val="none" w:sz="0" w:space="0" w:color="auto"/>
            <w:bottom w:val="none" w:sz="0" w:space="0" w:color="auto"/>
            <w:right w:val="none" w:sz="0" w:space="0" w:color="auto"/>
          </w:divBdr>
        </w:div>
        <w:div w:id="1619483532">
          <w:marLeft w:val="0"/>
          <w:marRight w:val="0"/>
          <w:marTop w:val="0"/>
          <w:marBottom w:val="0"/>
          <w:divBdr>
            <w:top w:val="none" w:sz="0" w:space="0" w:color="auto"/>
            <w:left w:val="none" w:sz="0" w:space="0" w:color="auto"/>
            <w:bottom w:val="none" w:sz="0" w:space="0" w:color="auto"/>
            <w:right w:val="none" w:sz="0" w:space="0" w:color="auto"/>
          </w:divBdr>
        </w:div>
        <w:div w:id="1748963723">
          <w:marLeft w:val="0"/>
          <w:marRight w:val="0"/>
          <w:marTop w:val="0"/>
          <w:marBottom w:val="0"/>
          <w:divBdr>
            <w:top w:val="none" w:sz="0" w:space="0" w:color="auto"/>
            <w:left w:val="none" w:sz="0" w:space="0" w:color="auto"/>
            <w:bottom w:val="none" w:sz="0" w:space="0" w:color="auto"/>
            <w:right w:val="none" w:sz="0" w:space="0" w:color="auto"/>
          </w:divBdr>
        </w:div>
      </w:divsChild>
    </w:div>
    <w:div w:id="1389300786">
      <w:bodyDiv w:val="1"/>
      <w:marLeft w:val="0"/>
      <w:marRight w:val="0"/>
      <w:marTop w:val="0"/>
      <w:marBottom w:val="0"/>
      <w:divBdr>
        <w:top w:val="none" w:sz="0" w:space="0" w:color="auto"/>
        <w:left w:val="none" w:sz="0" w:space="0" w:color="auto"/>
        <w:bottom w:val="none" w:sz="0" w:space="0" w:color="auto"/>
        <w:right w:val="none" w:sz="0" w:space="0" w:color="auto"/>
      </w:divBdr>
    </w:div>
    <w:div w:id="159640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nathan.Dry@astrazeneca.co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f416@cam.ac.uk"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gi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2.XSL" StyleName="IEEE - Reference Order 2">
  <b:Source>
    <b:Tag>Sha10</b:Tag>
    <b:SourceType>JournalArticle</b:SourceType>
    <b:Guid>{8A13CDDF-F915-444B-A860-E13CE4FD3A81}</b:Guid>
    <b:Author>
      <b:Author>
        <b:NameList>
          <b:Person>
            <b:First>D</b:First>
            <b:Middle>Shahbazian, A Parsyan, E Petroulakis, J Hershey, N Sonenberg</b:Middle>
          </b:Person>
        </b:NameList>
      </b:Author>
    </b:Author>
    <b:Title>eIF4B controls survival and proliferation and is regulated by proto-oncogenic signaling pathways</b:Title>
    <b:JournalName>Cell Cycle</b:JournalName>
    <b:Year>2010</b:Year>
    <b:RefOrder>1</b:RefOrder>
  </b:Source>
  <b:Source>
    <b:Tag>Sch07</b:Tag>
    <b:SourceType>JournalArticle</b:SourceType>
    <b:Guid>{015A1763-277A-48AD-AA56-F1598FF63F6D}</b:Guid>
    <b:Author>
      <b:Author>
        <b:NameList>
          <b:Person>
            <b:First>MA</b:First>
            <b:Middle>Schaub, TA Henzinger, J Fisher.</b:Middle>
          </b:Person>
        </b:NameList>
      </b:Author>
    </b:Author>
    <b:Title>Qualitative networks: a symbolic approach to analyze biological signaling networks</b:Title>
    <b:JournalName>BMC Systems Biology</b:JournalName>
    <b:Year>2007</b:Year>
    <b:Pages>4+</b:Pages>
    <b:RefOrder>2</b:RefOrder>
  </b:Source>
  <b:Source>
    <b:Tag>Men11</b:Tag>
    <b:SourceType>JournalArticle</b:SourceType>
    <b:Guid>{B19ECEC7-84D4-43E5-A762-9D18C3AC7A6C}</b:Guid>
    <b:Author>
      <b:Author>
        <b:NameList>
          <b:Person>
            <b:First>MC</b:First>
            <b:Middle>Mendoza, EE Er, J Blenis.</b:Middle>
          </b:Person>
        </b:NameList>
      </b:Author>
    </b:Author>
    <b:Title>The Ras-ERK and PI3K-mTOR pathways: cross-talk and compensation.</b:Title>
    <b:JournalName>Trends in biochemical sciences</b:JournalName>
    <b:Year>2011</b:Year>
    <b:Pages>36(6):320-8.</b:Pages>
    <b:RefOrder>3</b:RefOrder>
  </b:Source>
  <b:Source>
    <b:Tag>Fel09</b:Tag>
    <b:SourceType>JournalArticle</b:SourceType>
    <b:Guid>{F0FE0E64-7BDF-49D0-90E5-E02E0E01A49F}</b:Guid>
    <b:Author>
      <b:Author>
        <b:NameList>
          <b:Person>
            <b:First>ME</b:First>
            <b:Middle>Feldman, B Apsel, A Uotila, R Loewith, ZA Knight, D Ruggero, KM Shokat.</b:Middle>
          </b:Person>
        </b:NameList>
      </b:Author>
    </b:Author>
    <b:Title>Active-site inhibitors of mTOR target rapamycin-resistant outputs of mTORC1 and mTORC2.</b:Title>
    <b:JournalName>PLoS biology</b:JournalName>
    <b:Year>2009</b:Year>
    <b:Pages>7(2):e38.</b:Pages>
    <b:RefOrder>4</b:RefOrder>
  </b:Source>
  <b:Source>
    <b:Tag>Tan00</b:Tag>
    <b:SourceType>JournalArticle</b:SourceType>
    <b:Guid>{1E2E9012-0D08-4EC2-9B95-1F83EB7F0A50}</b:Guid>
    <b:Author>
      <b:Author>
        <b:NameList>
          <b:Person>
            <b:First>Y</b:First>
            <b:Middle>Tan, MR Demeter, H Ruan, MJ Comb</b:Middle>
          </b:Person>
        </b:NameList>
      </b:Author>
    </b:Author>
    <b:Title>BAD Ser-155 phosphorylation regulates BAD/Bcl-XL interaction and cell survival</b:Title>
    <b:JournalName>The Journal of Biological Chemistry</b:JournalName>
    <b:Year>2000</b:Year>
    <b:RefOrder>5</b:RefOrder>
  </b:Source>
  <b:Source>
    <b:Tag>Jin13</b:Tag>
    <b:SourceType>JournalArticle</b:SourceType>
    <b:Guid>{DE3C2CA8-8473-48E5-BE4A-FCB77CCD4276}</b:Guid>
    <b:Author>
      <b:Author>
        <b:NameList>
          <b:Person>
            <b:First>L</b:First>
            <b:Middle>Jin, Y Tabe, H Lu, G Borthakur, T Miida, H Kantarjian, M Andreeff, M Konopleva.</b:Middle>
          </b:Person>
        </b:NameList>
      </b:Author>
    </b:Author>
    <b:Title>Mechanisms of apoptosis induction by simultaneous inhibition of PI3K and FLT3-ITD in AML cells in the hypoxic bone marrow microenvironment</b:Title>
    <b:Pages>45-58</b:Pages>
    <b:Year>2013</b:Year>
    <b:JournalName>Cancer Letters</b:JournalName>
    <b:RefOrder>6</b:RefOrder>
  </b:Source>
  <b:Source>
    <b:Tag>Zen06</b:Tag>
    <b:SourceType>JournalArticle</b:SourceType>
    <b:Guid>{46319F51-B39A-46FF-BCC8-6B016D551868}</b:Guid>
    <b:Author>
      <b:Author>
        <b:NameList>
          <b:Person>
            <b:First>Z</b:First>
            <b:Middle>Zeng, IJ Samudio, W Zhang, Z Estrov, H Pelicano, D Harris, O Frolova, N Jr Hail, W Chen, SM Kornblau, P Huang, Y Lu, GB Mills, M Andreeff, M Konopleva.</b:Middle>
          </b:Person>
        </b:NameList>
      </b:Author>
    </b:Author>
    <b:Title>Simultaneous inhibition of PDK1/AKT and Fms-like tyrosine kinase 3 signaling by a small-molecule KP372-1 induces mitochondrial dysfunction and apoptosis in acute myelogenous leukemia</b:Title>
    <b:JournalName>Cancer Research</b:JournalName>
    <b:Year>2006</b:Year>
    <b:Pages>3737-3746</b:Pages>
    <b:RefOrder>7</b:RefOrder>
  </b:Source>
  <b:Source>
    <b:Tag>Leh99</b:Tag>
    <b:SourceType>JournalArticle</b:SourceType>
    <b:Guid>{94A0C2FB-80B5-4549-BD48-9C2EFB55D572}</b:Guid>
    <b:Author>
      <b:Author>
        <b:NameList>
          <b:Person>
            <b:First>G</b:First>
            <b:Middle>Lehne, PD Angelis, MD Boer, HE Rugstad.</b:Middle>
          </b:Person>
        </b:NameList>
      </b:Author>
    </b:Author>
    <b:Title>Growth inhibition, cytokinesis failure and apoptosis of multidrug-resistant leukemia</b:Title>
    <b:JournalName>Leukemia</b:JournalName>
    <b:Year>1999</b:Year>
    <b:Pages>768–778</b:Pages>
    <b:RefOrder>8</b:RefOrder>
  </b:Source>
  <b:Source>
    <b:Tag>Nis10</b:Tag>
    <b:SourceType>JournalArticle</b:SourceType>
    <b:Guid>{EC56928E-0C4D-42AD-B29D-C41191686345}</b:Guid>
    <b:Author>
      <b:Author>
        <b:NameList>
          <b:Person>
            <b:First>C</b:First>
            <b:Middle>Nishioka, T Ikezoe, J Yang, A Yokoyama.</b:Middle>
          </b:Person>
        </b:NameList>
      </b:Author>
    </b:Author>
    <b:Title>Inhibition of MEK/ERK signaling induces apoptosis of acute myelogenous leukemia cells via inhibition of eukaryotic initiation factor 4E-binding protein 1 and down-regulation of Mcl-1.</b:Title>
    <b:JournalName>Apoptosis.</b:JournalName>
    <b:Year>2010</b:Year>
    <b:Pages>15(7):795-804.</b:Pages>
    <b:RefOrder>9</b:RefOrder>
  </b:Source>
  <b:Source>
    <b:Tag>Wil12</b:Tag>
    <b:SourceType>JournalArticle</b:SourceType>
    <b:Guid>{FD79F83D-3B7F-4E2E-A9CA-B1B62C807B73}</b:Guid>
    <b:Author>
      <b:Author>
        <b:NameList>
          <b:Person>
            <b:First>L</b:First>
            <b:Middle>Willems, N Chapuis, A Puissant, TT Maciel, AS Green, N Jacque, C Vignon, S Park, S Guichard, O Herault, A Fricot, O Hermine, IC Moura, P Auberger, N Ifrah, F Dreyfus, D Bonnet, C Lacombe, P Mayeux, D Bouscary, J Tamburini.</b:Middle>
          </b:Person>
        </b:NameList>
      </b:Author>
    </b:Author>
    <b:Title>The dual mTORC1 and mTORC2 inhibitor AZD8055 has anti-tumor activity in acute myeloid leukemia</b:Title>
    <b:JournalName>Leukemia</b:JournalName>
    <b:Year>2012</b:Year>
    <b:Pages>1195–1202</b:Pages>
    <b:RefOrder>10</b:RefOrder>
  </b:Source>
  <b:Source>
    <b:Tag>Mej14</b:Tag>
    <b:SourceType>JournalArticle</b:SourceType>
    <b:Guid>{FBE83B1E-C54F-4B19-AB59-4AF6C8D62E27}</b:Guid>
    <b:Author>
      <b:Author>
        <b:NameList>
          <b:Person>
            <b:First>K</b:First>
            <b:Middle>Meja, C Stengel, R Sellar, D Huszar, BR Davies, RE Gale, DC Linch, A Khwaja.</b:Middle>
          </b:Person>
        </b:NameList>
      </b:Author>
    </b:Author>
    <b:Title>PIM and AKT kinase inhibitors show synergistic cytotoxicity in acute myeloid leukaemia that is associated with convergence on mTOR and MCL1 pathways.</b:Title>
    <b:JournalName>Br J Haematol.</b:JournalName>
    <b:Year>2014</b:Year>
    <b:Pages>167(1):69-79.</b:Pages>
    <b:RefOrder>11</b:RefOrder>
  </b:Source>
  <b:Source>
    <b:Tag>Keeb6</b:Tag>
    <b:SourceType>JournalArticle</b:SourceType>
    <b:Guid>{76698D86-194F-49F9-ACB8-4EEE80381AB9}</b:Guid>
    <b:Author>
      <b:Author>
        <b:NameList>
          <b:Person>
            <b:First>EK</b:First>
            <b:Middle>Keeton, K McEachern, KS Dillman, S Palakurthi, Y Cao, MR Grondine, S Kaur, S Wang, Y Chen, A Wu, M Shen, FD Gibbons, ML Lamb, X Zheng, RM Stone, DJ Deangelo, LC Platanias, LA Dakin, H Chen, PD Lyne, D Huszar.</b:Middle>
          </b:Person>
        </b:NameList>
      </b:Author>
    </b:Author>
    <b:Title>AZD1208, a potent and selective pan-Pim kinase inhibitor, demonstrates efficacy in preclinical models of acute myeloid leukemia.</b:Title>
    <b:JournalName>Blood</b:JournalName>
    <b:Year>2014</b:Year>
    <b:Pages>123(6):905-13</b:Pages>
    <b:RefOrder>12</b:RefOrder>
  </b:Source>
  <b:Source>
    <b:Tag>McC10</b:Tag>
    <b:SourceType>JournalArticle</b:SourceType>
    <b:Guid>{28D67F59-5234-47BD-B61D-6C32B941C6CA}</b:Guid>
    <b:Author>
      <b:Author>
        <b:NameList>
          <b:Person>
            <b:First>MN</b:First>
            <b:Middle>McCall, BM Bolstad, RA Irizarry.</b:Middle>
          </b:Person>
        </b:NameList>
      </b:Author>
    </b:Author>
    <b:Title>Frozen robust multiarray analysis (fRMA).</b:Title>
    <b:JournalName>Biostatistics</b:JournalName>
    <b:Year>2010</b:Year>
    <b:Pages>11(2):242–253</b:Pages>
    <b:RefOrder>13</b:RefOrder>
  </b:Source>
  <b:Source>
    <b:Tag>Gar12</b:Tag>
    <b:SourceType>JournalArticle</b:SourceType>
    <b:Guid>{84585BF1-420E-4BB6-BA47-8A32C5425D62}</b:Guid>
    <b:Author>
      <b:Author>
        <b:NameList>
          <b:Person>
            <b:First>E</b:First>
            <b:Middle>Garrison, G Marth.</b:Middle>
          </b:Person>
        </b:NameList>
      </b:Author>
    </b:Author>
    <b:Title>Haplotype-based variant detection from short-read sequencing.</b:Title>
    <b:JournalName>arXiv preprint arXiv</b:JournalName>
    <b:Year>2012</b:Year>
    <b:Pages>1207.3907</b:Pages>
    <b:RefOrder>14</b:RefOrder>
  </b:Source>
  <b:Source>
    <b:Tag>Cib13</b:Tag>
    <b:SourceType>JournalArticle</b:SourceType>
    <b:Guid>{F76673A4-43B7-4301-AD34-53707791DE9B}</b:Guid>
    <b:Author>
      <b:Author>
        <b:NameList>
          <b:Person>
            <b:First>K</b:First>
            <b:Middle>Cibulskis, MS Lawrence, SL Carter, A Sivachenko, D Jaffe, C Sougnez, S Gabriel, M Meyerson, ES Lander, G Getz.</b:Middle>
          </b:Person>
        </b:NameList>
      </b:Author>
    </b:Author>
    <b:Title>Sensitive detection of somatic point mutations in impure and heterogeneous cancer samples.</b:Title>
    <b:JournalName>Nature biotechnology</b:JournalName>
    <b:Year>2013</b:Year>
    <b:Pages>31(3):213-9.</b:Pages>
    <b:RefOrder>15</b:RefOrder>
  </b:Source>
  <b:Source>
    <b:Tag>KuM15</b:Tag>
    <b:SourceType>JournalArticle</b:SourceType>
    <b:Guid>{23F03C60-ABE7-42F0-8A14-242742871E50}</b:Guid>
    <b:Author>
      <b:Author>
        <b:NameList>
          <b:Person>
            <b:Last>Ku M</b:Last>
            <b:First>Wall</b:First>
            <b:Middle>M, MacKinnon RN, Walkley CR, Purton LE, Tam C, Izon D, Campbell L, Cheng HC, Nandurkar H.</b:Middle>
          </b:Person>
        </b:NameList>
      </b:Author>
    </b:Author>
    <b:Title>Src family kinases and their role in hematological malignancies</b:Title>
    <b:JournalName>Leukemia and lymphoma</b:JournalName>
    <b:Year>2015</b:Year>
    <b:Month>March</b:Month>
    <b:Pages>577-86</b:Pages>
    <b:RefOrder>16</b:RefOrder>
  </b:Source>
</b:Sources>
</file>

<file path=customXml/itemProps1.xml><?xml version="1.0" encoding="utf-8"?>
<ds:datastoreItem xmlns:ds="http://schemas.openxmlformats.org/officeDocument/2006/customXml" ds:itemID="{49706EF4-19B3-466C-A84F-387EC1D6A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38978</Words>
  <Characters>222175</Characters>
  <Application>Microsoft Office Word</Application>
  <DocSecurity>0</DocSecurity>
  <Lines>1851</Lines>
  <Paragraphs>521</Paragraphs>
  <ScaleCrop>false</ScaleCrop>
  <HeadingPairs>
    <vt:vector size="2" baseType="variant">
      <vt:variant>
        <vt:lpstr>Title</vt:lpstr>
      </vt:variant>
      <vt:variant>
        <vt:i4>1</vt:i4>
      </vt:variant>
    </vt:vector>
  </HeadingPairs>
  <TitlesOfParts>
    <vt:vector size="1" baseType="lpstr">
      <vt:lpstr/>
    </vt:vector>
  </TitlesOfParts>
  <Company>School of CS</Company>
  <LinksUpToDate>false</LinksUpToDate>
  <CharactersWithSpaces>260632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dc:creator>
  <cp:lastModifiedBy>Jasmin Fisher</cp:lastModifiedBy>
  <cp:revision>3</cp:revision>
  <dcterms:created xsi:type="dcterms:W3CDTF">2016-12-06T13:42:00Z</dcterms:created>
  <dcterms:modified xsi:type="dcterms:W3CDTF">2016-12-06T13:53:00Z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zotero-version="4.0.29.16"&gt;&lt;session id="R9FIalq9"/&gt;&lt;style id="http://www.zotero.org/styles/ieee" locale="en-US" hasBibliography="1" bibliographyStyleHasBeenSet="1"/&gt;&lt;prefs&gt;&lt;pref name="fieldType" value="Field"/&gt;&lt;pref name="storeRefer</vt:lpwstr>
  </property>
  <property fmtid="{D5CDD505-2E9C-101B-9397-08002B2CF9AE}" pid="3" name="ZOTERO_PREF_2">
    <vt:lpwstr>ences" value="true"/&gt;&lt;pref name="automaticJournalAbbreviations" value="true"/&gt;&lt;pref name="noteType" value=""/&gt;&lt;/prefs&gt;&lt;/data&gt;</vt:lpwstr>
  </property>
</Properties>
</file>