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6238E" w14:textId="77777777" w:rsidR="00781821" w:rsidRDefault="00A91ED9">
      <w:pPr>
        <w:pStyle w:val="Heading1"/>
        <w:contextualSpacing w:val="0"/>
      </w:pPr>
      <w:bookmarkStart w:id="0" w:name="_q38wyk5qbwek" w:colFirst="0" w:colLast="0"/>
      <w:bookmarkEnd w:id="0"/>
      <w:r>
        <w:t>Supplemental Methods</w:t>
      </w:r>
    </w:p>
    <w:p w14:paraId="004EC566" w14:textId="77777777" w:rsidR="00781821" w:rsidRDefault="00A91ED9">
      <w:pPr>
        <w:pStyle w:val="Heading2"/>
        <w:widowControl/>
        <w:contextualSpacing w:val="0"/>
      </w:pPr>
      <w:bookmarkStart w:id="1" w:name="_bl2hdrgzvpic" w:colFirst="0" w:colLast="0"/>
      <w:bookmarkEnd w:id="1"/>
      <w:r>
        <w:t>The MultiAssayExperiment class</w:t>
      </w:r>
    </w:p>
    <w:p w14:paraId="68F7801E" w14:textId="77777777" w:rsidR="00781821" w:rsidRDefault="00A91ED9">
      <w:pPr>
        <w:pStyle w:val="normal0"/>
        <w:widowControl/>
      </w:pPr>
      <w:r>
        <w:t xml:space="preserve">The major design components of MultiAssayExperiment include 1) </w:t>
      </w:r>
      <w:proofErr w:type="spellStart"/>
      <w:r>
        <w:rPr>
          <w:i/>
        </w:rPr>
        <w:t>colData</w:t>
      </w:r>
      <w:proofErr w:type="spellEnd"/>
      <w:r>
        <w:t xml:space="preserve">, a representation of patient-level or specimen-level characteristics as a table-like </w:t>
      </w:r>
      <w:proofErr w:type="spellStart"/>
      <w:r>
        <w:rPr>
          <w:i/>
        </w:rPr>
        <w:t>DataFrame</w:t>
      </w:r>
      <w:proofErr w:type="spellEnd"/>
      <w:r>
        <w:t xml:space="preserve">, 2) </w:t>
      </w:r>
      <w:proofErr w:type="spellStart"/>
      <w:r>
        <w:rPr>
          <w:i/>
        </w:rPr>
        <w:t>ExperimentList</w:t>
      </w:r>
      <w:proofErr w:type="spellEnd"/>
      <w:r>
        <w:t xml:space="preserve">, a list-like object with one element per experiment, representing any number of genomic range-based or identifier-based experimental results. Different elements do not need to have matching rows (variables/features), columns (samples) or even classes (experiments). 3) </w:t>
      </w:r>
      <w:proofErr w:type="spellStart"/>
      <w:proofErr w:type="gramStart"/>
      <w:r>
        <w:rPr>
          <w:i/>
        </w:rPr>
        <w:t>sampleMap</w:t>
      </w:r>
      <w:proofErr w:type="spellEnd"/>
      <w:proofErr w:type="gramEnd"/>
      <w:r>
        <w:t xml:space="preserve">, a </w:t>
      </w:r>
      <w:proofErr w:type="spellStart"/>
      <w:r>
        <w:t>DataFrame</w:t>
      </w:r>
      <w:proofErr w:type="spellEnd"/>
      <w:r>
        <w:t xml:space="preserve">-class map that associates assay observations to patients, enabling replicate and missing assays. 4) </w:t>
      </w:r>
      <w:proofErr w:type="gramStart"/>
      <w:r>
        <w:t>a</w:t>
      </w:r>
      <w:proofErr w:type="gramEnd"/>
      <w:r>
        <w:t xml:space="preserve"> constructor function and methods for </w:t>
      </w:r>
      <w:proofErr w:type="spellStart"/>
      <w:r>
        <w:t>subsetting</w:t>
      </w:r>
      <w:proofErr w:type="spellEnd"/>
      <w:r>
        <w:t xml:space="preserve"> by experiments, genomic ranges, variables, samples and patients, 5) extraction methods for interfacing to statistical analysis and visualization functions in R, and 6) various helper functions for selecting patients with complete data, converting segmented genomic ranges to matrix representation, merging replicates, etc. Continuous validity requirements ensure correct matching of all patients and specimens during </w:t>
      </w:r>
      <w:proofErr w:type="spellStart"/>
      <w:r>
        <w:t>subsetting</w:t>
      </w:r>
      <w:proofErr w:type="spellEnd"/>
      <w:r>
        <w:t xml:space="preserve"> and re-arrangement operations. A comparison of the MultiAssayExperiment and </w:t>
      </w:r>
      <w:proofErr w:type="spellStart"/>
      <w:r>
        <w:t>MultiDataSet</w:t>
      </w:r>
      <w:proofErr w:type="spellEnd"/>
      <w:r>
        <w:t xml:space="preserve"> </w:t>
      </w:r>
      <w:hyperlink r:id="rId8">
        <w:r>
          <w:t>(1)</w:t>
        </w:r>
      </w:hyperlink>
      <w:r>
        <w:t xml:space="preserve"> approaches is made in </w:t>
      </w:r>
      <w:r>
        <w:rPr>
          <w:b/>
        </w:rPr>
        <w:t>Supplemental Table 1</w:t>
      </w:r>
      <w:r>
        <w:t>.</w:t>
      </w:r>
    </w:p>
    <w:p w14:paraId="79FAE33A" w14:textId="77777777" w:rsidR="00781821" w:rsidRDefault="00A91ED9">
      <w:pPr>
        <w:pStyle w:val="Heading2"/>
        <w:widowControl/>
        <w:contextualSpacing w:val="0"/>
      </w:pPr>
      <w:bookmarkStart w:id="2" w:name="_bkd3qsnhaugr" w:colFirst="0" w:colLast="0"/>
      <w:bookmarkEnd w:id="2"/>
      <w:r>
        <w:t>The MultiAssayExperiment constructor</w:t>
      </w:r>
    </w:p>
    <w:p w14:paraId="28EC189D" w14:textId="77777777" w:rsidR="00781821" w:rsidRDefault="00A91ED9">
      <w:pPr>
        <w:pStyle w:val="normal0"/>
        <w:widowControl/>
      </w:pPr>
      <w:r>
        <w:t xml:space="preserve">A </w:t>
      </w:r>
      <w:r>
        <w:rPr>
          <w:i/>
        </w:rPr>
        <w:t>MultiAssayExperiment</w:t>
      </w:r>
      <w:r>
        <w:t xml:space="preserve"> class object is constructed by a call to the function of the same name, with three key arguments, each optional:</w:t>
      </w:r>
    </w:p>
    <w:p w14:paraId="04791249" w14:textId="77777777" w:rsidR="00781821" w:rsidRDefault="00A91ED9">
      <w:pPr>
        <w:pStyle w:val="normal0"/>
        <w:widowControl/>
        <w:numPr>
          <w:ilvl w:val="0"/>
          <w:numId w:val="1"/>
        </w:numPr>
        <w:ind w:hanging="360"/>
        <w:contextualSpacing/>
      </w:pPr>
      <w:proofErr w:type="gramStart"/>
      <w:r>
        <w:rPr>
          <w:i/>
        </w:rPr>
        <w:t>experiments</w:t>
      </w:r>
      <w:proofErr w:type="gramEnd"/>
      <w:r>
        <w:t xml:space="preserve">: A </w:t>
      </w:r>
      <w:r>
        <w:rPr>
          <w:i/>
        </w:rPr>
        <w:t>list</w:t>
      </w:r>
      <w:r>
        <w:t xml:space="preserve"> or </w:t>
      </w:r>
      <w:proofErr w:type="spellStart"/>
      <w:r>
        <w:rPr>
          <w:i/>
        </w:rPr>
        <w:t>ExperimentList</w:t>
      </w:r>
      <w:proofErr w:type="spellEnd"/>
      <w:r>
        <w:t xml:space="preserve"> class object providing assay data for all experiments, with one list element per experiment. Elements may be rectangular in shape (the same number of measurements per patient), or ragged in shape (e.g. segmented copy number or mutations represented by genomic coordinates). </w:t>
      </w:r>
    </w:p>
    <w:p w14:paraId="33BF266E" w14:textId="77777777" w:rsidR="00781821" w:rsidRDefault="00A91ED9">
      <w:pPr>
        <w:pStyle w:val="normal0"/>
        <w:widowControl/>
        <w:numPr>
          <w:ilvl w:val="0"/>
          <w:numId w:val="1"/>
        </w:numPr>
        <w:ind w:hanging="360"/>
        <w:contextualSpacing/>
      </w:pPr>
      <w:proofErr w:type="spellStart"/>
      <w:proofErr w:type="gramStart"/>
      <w:r>
        <w:rPr>
          <w:i/>
        </w:rPr>
        <w:t>colData</w:t>
      </w:r>
      <w:proofErr w:type="spellEnd"/>
      <w:proofErr w:type="gramEnd"/>
      <w:r>
        <w:t xml:space="preserve">: A </w:t>
      </w:r>
      <w:proofErr w:type="spellStart"/>
      <w:r>
        <w:rPr>
          <w:i/>
        </w:rPr>
        <w:t>DataFrame</w:t>
      </w:r>
      <w:proofErr w:type="spellEnd"/>
      <w:r>
        <w:t xml:space="preserve"> describing participant characteristics.</w:t>
      </w:r>
    </w:p>
    <w:p w14:paraId="47320E5F" w14:textId="77777777" w:rsidR="00781821" w:rsidRDefault="00A91ED9">
      <w:pPr>
        <w:pStyle w:val="normal0"/>
        <w:widowControl/>
        <w:numPr>
          <w:ilvl w:val="0"/>
          <w:numId w:val="1"/>
        </w:numPr>
        <w:ind w:hanging="360"/>
        <w:contextualSpacing/>
      </w:pPr>
      <w:proofErr w:type="spellStart"/>
      <w:proofErr w:type="gramStart"/>
      <w:r>
        <w:rPr>
          <w:i/>
        </w:rPr>
        <w:t>sampleMap</w:t>
      </w:r>
      <w:proofErr w:type="spellEnd"/>
      <w:proofErr w:type="gramEnd"/>
      <w:r>
        <w:t xml:space="preserve">: A three-column </w:t>
      </w:r>
      <w:proofErr w:type="spellStart"/>
      <w:r>
        <w:rPr>
          <w:i/>
        </w:rPr>
        <w:t>DataFrame</w:t>
      </w:r>
      <w:proofErr w:type="spellEnd"/>
      <w:r>
        <w:t xml:space="preserve"> with columns corresponding to assay names, patient identifiers in the </w:t>
      </w:r>
      <w:proofErr w:type="spellStart"/>
      <w:r>
        <w:rPr>
          <w:i/>
        </w:rPr>
        <w:t>colData</w:t>
      </w:r>
      <w:proofErr w:type="spellEnd"/>
      <w:r>
        <w:t xml:space="preserve"> table, and column identifiers in the </w:t>
      </w:r>
      <w:proofErr w:type="spellStart"/>
      <w:r>
        <w:rPr>
          <w:i/>
        </w:rPr>
        <w:t>ExperimentList</w:t>
      </w:r>
      <w:proofErr w:type="spellEnd"/>
      <w:r>
        <w:t xml:space="preserve"> elements.</w:t>
      </w:r>
    </w:p>
    <w:p w14:paraId="665E2621" w14:textId="77777777" w:rsidR="00781821" w:rsidRDefault="00A91ED9">
      <w:pPr>
        <w:pStyle w:val="normal0"/>
        <w:widowControl/>
        <w:numPr>
          <w:ilvl w:val="0"/>
          <w:numId w:val="1"/>
        </w:numPr>
        <w:ind w:hanging="360"/>
        <w:contextualSpacing/>
      </w:pPr>
      <w:proofErr w:type="gramStart"/>
      <w:r>
        <w:t>metadata</w:t>
      </w:r>
      <w:proofErr w:type="gramEnd"/>
      <w:r>
        <w:t xml:space="preserve">: A </w:t>
      </w:r>
      <w:r>
        <w:rPr>
          <w:i/>
        </w:rPr>
        <w:t>list</w:t>
      </w:r>
      <w:r>
        <w:t xml:space="preserve"> of arbitrary format, describing the multi-assay experiment as a whole.</w:t>
      </w:r>
    </w:p>
    <w:p w14:paraId="44E9B51A" w14:textId="0B940D53" w:rsidR="00781821" w:rsidRDefault="00A91ED9">
      <w:pPr>
        <w:pStyle w:val="normal0"/>
        <w:widowControl/>
        <w:rPr>
          <w:b/>
        </w:rPr>
      </w:pPr>
      <w:r>
        <w:t xml:space="preserve">If </w:t>
      </w:r>
      <w:proofErr w:type="spellStart"/>
      <w:r>
        <w:rPr>
          <w:i/>
        </w:rPr>
        <w:t>colData</w:t>
      </w:r>
      <w:proofErr w:type="spellEnd"/>
      <w:r>
        <w:t xml:space="preserve"> or </w:t>
      </w:r>
      <w:proofErr w:type="spellStart"/>
      <w:r>
        <w:rPr>
          <w:i/>
        </w:rPr>
        <w:t>sampleMap</w:t>
      </w:r>
      <w:proofErr w:type="spellEnd"/>
      <w:r>
        <w:t xml:space="preserve"> are not provided, they are created automatically as possible from the provided experiments, in a way that guarantees that every column of the experiment list can be uniquely mapped to a single row of the patient / biological unit data (</w:t>
      </w:r>
      <w:proofErr w:type="spellStart"/>
      <w:r>
        <w:rPr>
          <w:i/>
        </w:rPr>
        <w:t>colData</w:t>
      </w:r>
      <w:proofErr w:type="spellEnd"/>
      <w:r>
        <w:t xml:space="preserve">). The constructor returns an object of class </w:t>
      </w:r>
      <w:r>
        <w:rPr>
          <w:i/>
        </w:rPr>
        <w:t>MultiAssayExperiment</w:t>
      </w:r>
      <w:r>
        <w:t xml:space="preserve"> (</w:t>
      </w:r>
      <w:r>
        <w:rPr>
          <w:b/>
        </w:rPr>
        <w:t xml:space="preserve">Supplemental Table </w:t>
      </w:r>
      <w:r w:rsidR="00581056">
        <w:rPr>
          <w:b/>
        </w:rPr>
        <w:t>3</w:t>
      </w:r>
      <w:r>
        <w:t>).</w:t>
      </w:r>
    </w:p>
    <w:p w14:paraId="54D57C9D" w14:textId="77777777" w:rsidR="00781821" w:rsidRDefault="00A91ED9">
      <w:pPr>
        <w:pStyle w:val="Heading2"/>
        <w:widowControl/>
        <w:contextualSpacing w:val="0"/>
      </w:pPr>
      <w:bookmarkStart w:id="3" w:name="_cwnpx2frth0h" w:colFirst="0" w:colLast="0"/>
      <w:bookmarkEnd w:id="3"/>
      <w:proofErr w:type="spellStart"/>
      <w:r>
        <w:t>Subsetting</w:t>
      </w:r>
      <w:proofErr w:type="spellEnd"/>
    </w:p>
    <w:p w14:paraId="1D1A6888" w14:textId="77777777" w:rsidR="00781821" w:rsidRDefault="00A91ED9">
      <w:pPr>
        <w:pStyle w:val="normal0"/>
        <w:widowControl/>
      </w:pPr>
      <w:r>
        <w:t xml:space="preserve">There are three main </w:t>
      </w:r>
      <w:proofErr w:type="spellStart"/>
      <w:r>
        <w:t>subsetting</w:t>
      </w:r>
      <w:proofErr w:type="spellEnd"/>
      <w:r>
        <w:t xml:space="preserve"> operations: 1) subset by rows 2) subset by columns 3) subset by assay. The MultiAssayExperiment can be thought of as </w:t>
      </w:r>
      <w:proofErr w:type="gramStart"/>
      <w:r>
        <w:t>an</w:t>
      </w:r>
      <w:proofErr w:type="gramEnd"/>
      <w:r>
        <w:t xml:space="preserve"> 3 dimensional ragged array where the first two dimensions (a table) represents one experiment and the third dimension represents </w:t>
      </w:r>
      <w:r>
        <w:lastRenderedPageBreak/>
        <w:t xml:space="preserve">the remaining experiments. The subset operations are facilitated by the </w:t>
      </w:r>
      <w:proofErr w:type="spellStart"/>
      <w:r>
        <w:rPr>
          <w:i/>
        </w:rPr>
        <w:t>sampleMap</w:t>
      </w:r>
      <w:proofErr w:type="spellEnd"/>
      <w:r>
        <w:t xml:space="preserve">, which documents the relationships across experiments between patients and samples. All subset operations can be achieved via the bracket (“[“) methods with each index position corresponding to the above operations. Alternatively, functions </w:t>
      </w:r>
      <w:proofErr w:type="spellStart"/>
      <w:r>
        <w:rPr>
          <w:i/>
        </w:rPr>
        <w:t>subsetByRow</w:t>
      </w:r>
      <w:proofErr w:type="spellEnd"/>
      <w:r>
        <w:t xml:space="preserve">, </w:t>
      </w:r>
      <w:proofErr w:type="spellStart"/>
      <w:r>
        <w:rPr>
          <w:i/>
        </w:rPr>
        <w:t>subsetByColumn</w:t>
      </w:r>
      <w:proofErr w:type="spellEnd"/>
      <w:r>
        <w:t xml:space="preserve">, or </w:t>
      </w:r>
      <w:proofErr w:type="spellStart"/>
      <w:r>
        <w:rPr>
          <w:i/>
        </w:rPr>
        <w:t>subsetByAssay</w:t>
      </w:r>
      <w:proofErr w:type="spellEnd"/>
      <w:r>
        <w:t xml:space="preserve"> can be used. The double bracket (“[[“) implementation will access a single element in the </w:t>
      </w:r>
      <w:proofErr w:type="spellStart"/>
      <w:r>
        <w:t>ExperimentList</w:t>
      </w:r>
      <w:proofErr w:type="spellEnd"/>
      <w:r>
        <w:t xml:space="preserve">. The dollar sign operator (“$”) returns a column of </w:t>
      </w:r>
      <w:proofErr w:type="spellStart"/>
      <w:r>
        <w:t>colData</w:t>
      </w:r>
      <w:proofErr w:type="spellEnd"/>
      <w:r>
        <w:t xml:space="preserve">. </w:t>
      </w:r>
    </w:p>
    <w:p w14:paraId="1928E68D" w14:textId="77777777" w:rsidR="00781821" w:rsidRDefault="00781821">
      <w:pPr>
        <w:pStyle w:val="normal0"/>
        <w:widowControl/>
      </w:pPr>
    </w:p>
    <w:p w14:paraId="51216B17" w14:textId="77777777" w:rsidR="00781821" w:rsidRDefault="00A91ED9">
      <w:pPr>
        <w:pStyle w:val="normal0"/>
        <w:widowControl/>
      </w:pPr>
      <w:r>
        <w:t xml:space="preserve">When assays have different feature types, such as gene identifiers vs. genomic ranges, the default behavior of row-based </w:t>
      </w:r>
      <w:proofErr w:type="spellStart"/>
      <w:r>
        <w:t>subsetting</w:t>
      </w:r>
      <w:proofErr w:type="spellEnd"/>
      <w:r>
        <w:t xml:space="preserve"> is as follows. When </w:t>
      </w:r>
      <w:proofErr w:type="spellStart"/>
      <w:r>
        <w:t>subsetting</w:t>
      </w:r>
      <w:proofErr w:type="spellEnd"/>
      <w:r>
        <w:t xml:space="preserve"> by gene identifiers, any genomic ranges named by those gene identifiers will be kept; other genomic ranges will be removed. Conversely, </w:t>
      </w:r>
      <w:proofErr w:type="spellStart"/>
      <w:r>
        <w:t>subsetting</w:t>
      </w:r>
      <w:proofErr w:type="spellEnd"/>
      <w:r>
        <w:t xml:space="preserve"> by genomic ranges will eliminate all non range-based features. Similarly, </w:t>
      </w:r>
      <w:proofErr w:type="spellStart"/>
      <w:r>
        <w:t>subsetting</w:t>
      </w:r>
      <w:proofErr w:type="spellEnd"/>
      <w:r>
        <w:t xml:space="preserve"> for example by microRNA identifiers will remove all rows labeled by gene identifiers. We emphasize, however, that this is default behavior and not a limitation of the MultiAssayExperiment class. In future work, we anticipate defining classes for identifiers that define what type of identifier they are and provide methods for automatically mapping them to other identifier types, such as genes to genomic ranges or to putative regulatory microRNAs. Such classes will be compatible with MultiAssayExperiment and its ability to accept a list of identifier vectors, but performing this mapping is complex and outside the scope of MultiAssayExperiment itself.</w:t>
      </w:r>
    </w:p>
    <w:p w14:paraId="0A163038" w14:textId="77777777" w:rsidR="00781821" w:rsidRDefault="00781821">
      <w:pPr>
        <w:pStyle w:val="normal0"/>
        <w:widowControl/>
      </w:pPr>
    </w:p>
    <w:p w14:paraId="1044862D" w14:textId="77777777" w:rsidR="00781821" w:rsidRDefault="00A91ED9">
      <w:pPr>
        <w:pStyle w:val="Heading2"/>
        <w:widowControl/>
        <w:contextualSpacing w:val="0"/>
      </w:pPr>
      <w:bookmarkStart w:id="4" w:name="_l0yfkfle0szp" w:colFirst="0" w:colLast="0"/>
      <w:bookmarkEnd w:id="4"/>
      <w:proofErr w:type="spellStart"/>
      <w:r>
        <w:t>Accessors</w:t>
      </w:r>
      <w:proofErr w:type="spellEnd"/>
    </w:p>
    <w:p w14:paraId="2FDC17CF" w14:textId="77777777" w:rsidR="00781821" w:rsidRDefault="00A91ED9">
      <w:pPr>
        <w:pStyle w:val="normal0"/>
        <w:widowControl/>
      </w:pPr>
      <w:r>
        <w:t xml:space="preserve">Whereas the extractors provide datasets in ready to analyze or visualize formats, </w:t>
      </w:r>
      <w:proofErr w:type="spellStart"/>
      <w:r>
        <w:t>accessors</w:t>
      </w:r>
      <w:proofErr w:type="spellEnd"/>
      <w:r>
        <w:t xml:space="preserve"> return components of the data. </w:t>
      </w:r>
      <w:proofErr w:type="spellStart"/>
      <w:r>
        <w:t>Accessor</w:t>
      </w:r>
      <w:proofErr w:type="spellEnd"/>
      <w:r>
        <w:t xml:space="preserve"> functions can also be used to replace data within the </w:t>
      </w:r>
      <w:r>
        <w:rPr>
          <w:i/>
        </w:rPr>
        <w:t>MultiAssayExperiment</w:t>
      </w:r>
      <w:r>
        <w:t xml:space="preserve"> object. </w:t>
      </w:r>
      <w:proofErr w:type="spellStart"/>
      <w:r>
        <w:t>Accessors</w:t>
      </w:r>
      <w:proofErr w:type="spellEnd"/>
      <w:r>
        <w:t xml:space="preserve"> include:</w:t>
      </w:r>
    </w:p>
    <w:p w14:paraId="298A212A" w14:textId="77777777" w:rsidR="00781821" w:rsidRDefault="00A91ED9">
      <w:pPr>
        <w:pStyle w:val="normal0"/>
        <w:widowControl/>
        <w:numPr>
          <w:ilvl w:val="0"/>
          <w:numId w:val="2"/>
        </w:numPr>
        <w:ind w:hanging="360"/>
        <w:contextualSpacing/>
        <w:rPr>
          <w:i/>
        </w:rPr>
      </w:pPr>
      <w:proofErr w:type="spellStart"/>
      <w:proofErr w:type="gramStart"/>
      <w:r>
        <w:rPr>
          <w:i/>
        </w:rPr>
        <w:t>colData</w:t>
      </w:r>
      <w:proofErr w:type="spellEnd"/>
      <w:proofErr w:type="gramEnd"/>
      <w:r>
        <w:t xml:space="preserve"> function: returns the  participant characteristics data table</w:t>
      </w:r>
    </w:p>
    <w:p w14:paraId="33270E3E" w14:textId="77777777" w:rsidR="00781821" w:rsidRDefault="00A91ED9">
      <w:pPr>
        <w:pStyle w:val="normal0"/>
        <w:widowControl/>
        <w:numPr>
          <w:ilvl w:val="0"/>
          <w:numId w:val="2"/>
        </w:numPr>
        <w:ind w:hanging="360"/>
        <w:contextualSpacing/>
      </w:pPr>
      <w:proofErr w:type="gramStart"/>
      <w:r>
        <w:rPr>
          <w:i/>
        </w:rPr>
        <w:t>experiments</w:t>
      </w:r>
      <w:proofErr w:type="gramEnd"/>
      <w:r>
        <w:t xml:space="preserve"> function: returns the list of experiments</w:t>
      </w:r>
    </w:p>
    <w:p w14:paraId="7C5A2D06" w14:textId="77777777" w:rsidR="00781821" w:rsidRDefault="00A91ED9">
      <w:pPr>
        <w:pStyle w:val="normal0"/>
        <w:widowControl/>
        <w:numPr>
          <w:ilvl w:val="0"/>
          <w:numId w:val="2"/>
        </w:numPr>
        <w:ind w:hanging="360"/>
        <w:contextualSpacing/>
        <w:rPr>
          <w:i/>
        </w:rPr>
      </w:pPr>
      <w:r>
        <w:t xml:space="preserve">The </w:t>
      </w:r>
      <w:r>
        <w:rPr>
          <w:i/>
        </w:rPr>
        <w:t>assay</w:t>
      </w:r>
      <w:r>
        <w:t xml:space="preserve"> and </w:t>
      </w:r>
      <w:r>
        <w:rPr>
          <w:i/>
        </w:rPr>
        <w:t>assays</w:t>
      </w:r>
      <w:r>
        <w:t xml:space="preserve"> function, which returns a </w:t>
      </w:r>
      <w:proofErr w:type="spellStart"/>
      <w:r>
        <w:rPr>
          <w:i/>
        </w:rPr>
        <w:t>SimpleList</w:t>
      </w:r>
      <w:proofErr w:type="spellEnd"/>
      <w:r>
        <w:rPr>
          <w:i/>
        </w:rPr>
        <w:t xml:space="preserve"> </w:t>
      </w:r>
      <w:r>
        <w:t xml:space="preserve">with one element per assay/experiment, each element containing a numeric data matrix extracted from that experiment. Range-based assays should be coerced to rectangular form beforehand. A typical use for this function would be to calculate correlations between samples or variables across different assays, or to perform unsupervised clustering. This format of </w:t>
      </w:r>
      <w:r>
        <w:rPr>
          <w:i/>
        </w:rPr>
        <w:t>assays</w:t>
      </w:r>
      <w:r>
        <w:t xml:space="preserve"> output is compatible with several Bioconductor packages for multi-omics data analysis, including </w:t>
      </w:r>
      <w:r>
        <w:rPr>
          <w:i/>
        </w:rPr>
        <w:t>omicade4</w:t>
      </w:r>
      <w:r>
        <w:t xml:space="preserve">, </w:t>
      </w:r>
      <w:proofErr w:type="spellStart"/>
      <w:r>
        <w:rPr>
          <w:i/>
        </w:rPr>
        <w:t>iClusterPlus</w:t>
      </w:r>
      <w:proofErr w:type="spellEnd"/>
      <w:r>
        <w:t xml:space="preserve">, </w:t>
      </w:r>
      <w:r>
        <w:rPr>
          <w:i/>
        </w:rPr>
        <w:t xml:space="preserve">PMA, made4, </w:t>
      </w:r>
      <w:r>
        <w:t xml:space="preserve">and </w:t>
      </w:r>
      <w:r>
        <w:rPr>
          <w:i/>
        </w:rPr>
        <w:t>MCIA.</w:t>
      </w:r>
    </w:p>
    <w:p w14:paraId="2A7E2A7B" w14:textId="77777777" w:rsidR="00781821" w:rsidRDefault="00A91ED9">
      <w:pPr>
        <w:pStyle w:val="normal0"/>
        <w:widowControl/>
        <w:numPr>
          <w:ilvl w:val="0"/>
          <w:numId w:val="2"/>
        </w:numPr>
        <w:ind w:hanging="360"/>
        <w:contextualSpacing/>
        <w:rPr>
          <w:i/>
        </w:rPr>
      </w:pPr>
      <w:proofErr w:type="spellStart"/>
      <w:proofErr w:type="gramStart"/>
      <w:r>
        <w:rPr>
          <w:i/>
        </w:rPr>
        <w:t>sampleMap</w:t>
      </w:r>
      <w:proofErr w:type="spellEnd"/>
      <w:proofErr w:type="gramEnd"/>
      <w:r>
        <w:t xml:space="preserve"> function: returns the map linking experimental assays to  column data</w:t>
      </w:r>
    </w:p>
    <w:p w14:paraId="4530685B" w14:textId="77777777" w:rsidR="00781821" w:rsidRDefault="00A91ED9">
      <w:pPr>
        <w:pStyle w:val="normal0"/>
        <w:widowControl/>
        <w:numPr>
          <w:ilvl w:val="0"/>
          <w:numId w:val="2"/>
        </w:numPr>
        <w:ind w:hanging="360"/>
        <w:contextualSpacing/>
        <w:rPr>
          <w:i/>
        </w:rPr>
      </w:pPr>
      <w:proofErr w:type="spellStart"/>
      <w:proofErr w:type="gramStart"/>
      <w:r>
        <w:rPr>
          <w:i/>
        </w:rPr>
        <w:t>rownames</w:t>
      </w:r>
      <w:proofErr w:type="spellEnd"/>
      <w:proofErr w:type="gramEnd"/>
      <w:r>
        <w:t xml:space="preserve">, </w:t>
      </w:r>
      <w:proofErr w:type="spellStart"/>
      <w:r>
        <w:rPr>
          <w:i/>
        </w:rPr>
        <w:t>colnames</w:t>
      </w:r>
      <w:proofErr w:type="spellEnd"/>
      <w:r>
        <w:t>: return a list of row or column names from each assay</w:t>
      </w:r>
    </w:p>
    <w:p w14:paraId="6D204352" w14:textId="77777777" w:rsidR="00781821" w:rsidRDefault="00A91ED9">
      <w:pPr>
        <w:pStyle w:val="normal0"/>
        <w:widowControl/>
        <w:numPr>
          <w:ilvl w:val="0"/>
          <w:numId w:val="2"/>
        </w:numPr>
        <w:ind w:hanging="360"/>
        <w:contextualSpacing/>
        <w:rPr>
          <w:i/>
        </w:rPr>
      </w:pPr>
      <w:proofErr w:type="gramStart"/>
      <w:r>
        <w:rPr>
          <w:i/>
        </w:rPr>
        <w:t>head</w:t>
      </w:r>
      <w:proofErr w:type="gramEnd"/>
      <w:r>
        <w:t xml:space="preserve">: shows the result of </w:t>
      </w:r>
      <w:proofErr w:type="spellStart"/>
      <w:r>
        <w:t>subsetting</w:t>
      </w:r>
      <w:proofErr w:type="spellEnd"/>
      <w:r>
        <w:t xml:space="preserve"> the first five rows of each assay</w:t>
      </w:r>
    </w:p>
    <w:p w14:paraId="09C39FF2" w14:textId="77777777" w:rsidR="00781821" w:rsidRDefault="00A91ED9">
      <w:pPr>
        <w:pStyle w:val="Heading2"/>
        <w:widowControl/>
        <w:contextualSpacing w:val="0"/>
      </w:pPr>
      <w:bookmarkStart w:id="5" w:name="_nkhz9o7xwz8k" w:colFirst="0" w:colLast="0"/>
      <w:bookmarkEnd w:id="5"/>
      <w:r>
        <w:t>Management</w:t>
      </w:r>
    </w:p>
    <w:p w14:paraId="30DBC3D5" w14:textId="77777777" w:rsidR="00781821" w:rsidRDefault="00A91ED9">
      <w:pPr>
        <w:pStyle w:val="normal0"/>
        <w:widowControl/>
      </w:pPr>
      <w:r>
        <w:t>A variety of functions assist with object construction and manipulation:</w:t>
      </w:r>
    </w:p>
    <w:p w14:paraId="79F48FB4" w14:textId="77777777" w:rsidR="00781821" w:rsidRDefault="00A91ED9">
      <w:pPr>
        <w:pStyle w:val="normal0"/>
        <w:widowControl/>
        <w:numPr>
          <w:ilvl w:val="0"/>
          <w:numId w:val="6"/>
        </w:numPr>
        <w:ind w:hanging="360"/>
        <w:contextualSpacing/>
      </w:pPr>
      <w:proofErr w:type="spellStart"/>
      <w:proofErr w:type="gramStart"/>
      <w:r>
        <w:rPr>
          <w:i/>
        </w:rPr>
        <w:t>complete.cases</w:t>
      </w:r>
      <w:proofErr w:type="spellEnd"/>
      <w:proofErr w:type="gramEnd"/>
      <w:r>
        <w:t xml:space="preserve">: returns a logical indicating, for each patient (row in </w:t>
      </w:r>
      <w:proofErr w:type="spellStart"/>
      <w:r>
        <w:rPr>
          <w:i/>
        </w:rPr>
        <w:t>colData</w:t>
      </w:r>
      <w:proofErr w:type="spellEnd"/>
      <w:r>
        <w:t>), whether data are available for all assays</w:t>
      </w:r>
    </w:p>
    <w:p w14:paraId="3639D79D" w14:textId="77777777" w:rsidR="00781821" w:rsidRDefault="00A91ED9">
      <w:pPr>
        <w:pStyle w:val="normal0"/>
        <w:widowControl/>
        <w:numPr>
          <w:ilvl w:val="0"/>
          <w:numId w:val="6"/>
        </w:numPr>
        <w:ind w:hanging="360"/>
        <w:contextualSpacing/>
        <w:rPr>
          <w:i/>
        </w:rPr>
      </w:pPr>
      <w:proofErr w:type="gramStart"/>
      <w:r>
        <w:rPr>
          <w:i/>
        </w:rPr>
        <w:lastRenderedPageBreak/>
        <w:t>duplicated</w:t>
      </w:r>
      <w:proofErr w:type="gramEnd"/>
      <w:r>
        <w:t xml:space="preserve">: identify duplicate / replicate columns in experimental assays. These are identified as such because they map back to the same patient (row in </w:t>
      </w:r>
      <w:proofErr w:type="spellStart"/>
      <w:r>
        <w:rPr>
          <w:i/>
        </w:rPr>
        <w:t>colData</w:t>
      </w:r>
      <w:proofErr w:type="spellEnd"/>
      <w:r>
        <w:t>)</w:t>
      </w:r>
    </w:p>
    <w:p w14:paraId="6411792D" w14:textId="77777777" w:rsidR="00781821" w:rsidRDefault="00A91ED9">
      <w:pPr>
        <w:pStyle w:val="normal0"/>
        <w:widowControl/>
        <w:numPr>
          <w:ilvl w:val="0"/>
          <w:numId w:val="6"/>
        </w:numPr>
        <w:ind w:hanging="360"/>
        <w:contextualSpacing/>
        <w:rPr>
          <w:i/>
        </w:rPr>
      </w:pPr>
      <w:proofErr w:type="spellStart"/>
      <w:proofErr w:type="gramStart"/>
      <w:r>
        <w:rPr>
          <w:i/>
        </w:rPr>
        <w:t>mergeReplicates</w:t>
      </w:r>
      <w:proofErr w:type="spellEnd"/>
      <w:proofErr w:type="gramEnd"/>
      <w:r>
        <w:t>:</w:t>
      </w:r>
      <w:r>
        <w:rPr>
          <w:i/>
        </w:rPr>
        <w:t xml:space="preserve"> </w:t>
      </w:r>
      <w:r>
        <w:t>Merge multiple / duplicated observations within each experiment using a user-provided function</w:t>
      </w:r>
    </w:p>
    <w:p w14:paraId="0D6296B5" w14:textId="77777777" w:rsidR="00781821" w:rsidRDefault="00A91ED9">
      <w:pPr>
        <w:pStyle w:val="normal0"/>
        <w:widowControl/>
        <w:numPr>
          <w:ilvl w:val="0"/>
          <w:numId w:val="6"/>
        </w:numPr>
        <w:ind w:hanging="360"/>
        <w:contextualSpacing/>
      </w:pPr>
      <w:proofErr w:type="spellStart"/>
      <w:proofErr w:type="gramStart"/>
      <w:r>
        <w:rPr>
          <w:i/>
        </w:rPr>
        <w:t>intersectRows</w:t>
      </w:r>
      <w:proofErr w:type="spellEnd"/>
      <w:proofErr w:type="gramEnd"/>
      <w:r>
        <w:t xml:space="preserve">, </w:t>
      </w:r>
      <w:proofErr w:type="spellStart"/>
      <w:r>
        <w:rPr>
          <w:i/>
        </w:rPr>
        <w:t>intersectColumns</w:t>
      </w:r>
      <w:proofErr w:type="spellEnd"/>
      <w:r>
        <w:t xml:space="preserve">: obtain a MultiAssayExperiment object where all </w:t>
      </w:r>
      <w:proofErr w:type="spellStart"/>
      <w:r>
        <w:t>rownames</w:t>
      </w:r>
      <w:proofErr w:type="spellEnd"/>
      <w:r>
        <w:t xml:space="preserve"> or observations by biological unit are present in all experiments</w:t>
      </w:r>
    </w:p>
    <w:p w14:paraId="1A3C4BB0" w14:textId="77777777" w:rsidR="00781821" w:rsidRDefault="00A91ED9">
      <w:pPr>
        <w:pStyle w:val="normal0"/>
        <w:widowControl/>
        <w:numPr>
          <w:ilvl w:val="0"/>
          <w:numId w:val="6"/>
        </w:numPr>
        <w:ind w:hanging="360"/>
        <w:contextualSpacing/>
        <w:rPr>
          <w:i/>
        </w:rPr>
      </w:pPr>
      <w:proofErr w:type="spellStart"/>
      <w:proofErr w:type="gramStart"/>
      <w:r>
        <w:rPr>
          <w:i/>
        </w:rPr>
        <w:t>prepMultiAssay</w:t>
      </w:r>
      <w:proofErr w:type="spellEnd"/>
      <w:proofErr w:type="gramEnd"/>
      <w:r>
        <w:t xml:space="preserve">: troubleshoots common problems that can occur when calling the MultiAssayExperiment constructor to create a MultiAssayExperiment object, for example, </w:t>
      </w:r>
      <w:proofErr w:type="spellStart"/>
      <w:r>
        <w:t>mis</w:t>
      </w:r>
      <w:proofErr w:type="spellEnd"/>
      <w:r>
        <w:t>-matched sample identifiers due to capitalization and name-</w:t>
      </w:r>
      <w:proofErr w:type="spellStart"/>
      <w:r>
        <w:t>munging</w:t>
      </w:r>
      <w:proofErr w:type="spellEnd"/>
      <w:r>
        <w:t xml:space="preserve"> by R, and returns suggested “cleaned” objects for construction.</w:t>
      </w:r>
    </w:p>
    <w:p w14:paraId="16305FAE" w14:textId="77777777" w:rsidR="00781821" w:rsidRDefault="00A91ED9">
      <w:pPr>
        <w:pStyle w:val="Heading2"/>
        <w:widowControl/>
        <w:contextualSpacing w:val="0"/>
      </w:pPr>
      <w:bookmarkStart w:id="6" w:name="_glw16jfrxrrt" w:colFirst="0" w:colLast="0"/>
      <w:bookmarkEnd w:id="6"/>
      <w:r>
        <w:t>Reshaping</w:t>
      </w:r>
    </w:p>
    <w:p w14:paraId="58D3474A" w14:textId="77777777" w:rsidR="00781821" w:rsidRDefault="00A91ED9">
      <w:pPr>
        <w:pStyle w:val="normal0"/>
      </w:pPr>
      <w:r>
        <w:t xml:space="preserve">These functions integrate across assays and with </w:t>
      </w:r>
      <w:proofErr w:type="spellStart"/>
      <w:r>
        <w:t>colData</w:t>
      </w:r>
      <w:proofErr w:type="spellEnd"/>
      <w:r>
        <w:t xml:space="preserve"> to interface for </w:t>
      </w:r>
      <w:proofErr w:type="gramStart"/>
      <w:r>
        <w:t>plotting  and</w:t>
      </w:r>
      <w:proofErr w:type="gramEnd"/>
      <w:r>
        <w:t xml:space="preserve"> analysis functions.</w:t>
      </w:r>
    </w:p>
    <w:p w14:paraId="3C62BAC0" w14:textId="77777777" w:rsidR="00781821" w:rsidRDefault="00A91ED9">
      <w:pPr>
        <w:pStyle w:val="normal0"/>
        <w:widowControl/>
        <w:numPr>
          <w:ilvl w:val="0"/>
          <w:numId w:val="6"/>
        </w:numPr>
        <w:ind w:hanging="360"/>
        <w:contextualSpacing/>
      </w:pPr>
      <w:proofErr w:type="spellStart"/>
      <w:proofErr w:type="gramStart"/>
      <w:r>
        <w:rPr>
          <w:i/>
        </w:rPr>
        <w:t>longFormat</w:t>
      </w:r>
      <w:proofErr w:type="spellEnd"/>
      <w:proofErr w:type="gramEnd"/>
      <w:r>
        <w:t xml:space="preserve">, </w:t>
      </w:r>
      <w:proofErr w:type="spellStart"/>
      <w:r>
        <w:rPr>
          <w:i/>
        </w:rPr>
        <w:t>wideFormat</w:t>
      </w:r>
      <w:proofErr w:type="spellEnd"/>
      <w:r>
        <w:rPr>
          <w:i/>
        </w:rPr>
        <w:t>:</w:t>
      </w:r>
      <w:r>
        <w:t xml:space="preserve"> integrate data from multiple assays and optionally from </w:t>
      </w:r>
      <w:proofErr w:type="spellStart"/>
      <w:r>
        <w:rPr>
          <w:i/>
        </w:rPr>
        <w:t>colData</w:t>
      </w:r>
      <w:proofErr w:type="spellEnd"/>
      <w:r>
        <w:t xml:space="preserve"> into either a long and skinny format or a wide format for data analysis and visualization. A typical use for these functions would be for regression analysis or plotting, and their output is compatible with many such functions in R and Bioconductor. The optional </w:t>
      </w:r>
      <w:proofErr w:type="spellStart"/>
      <w:r>
        <w:rPr>
          <w:i/>
        </w:rPr>
        <w:t>colDataCols</w:t>
      </w:r>
      <w:proofErr w:type="spellEnd"/>
      <w:r>
        <w:t xml:space="preserve"> argument adds data on the biological units to the assay data.</w:t>
      </w:r>
    </w:p>
    <w:p w14:paraId="32A31B90" w14:textId="77777777" w:rsidR="00781821" w:rsidRDefault="00A91ED9">
      <w:pPr>
        <w:pStyle w:val="Heading2"/>
        <w:widowControl/>
        <w:contextualSpacing w:val="0"/>
      </w:pPr>
      <w:bookmarkStart w:id="7" w:name="_v4e0b7jjrxwz" w:colFirst="0" w:colLast="0"/>
      <w:bookmarkEnd w:id="7"/>
      <w:r>
        <w:t>Combining</w:t>
      </w:r>
    </w:p>
    <w:p w14:paraId="3665258D" w14:textId="77777777" w:rsidR="00781821" w:rsidRDefault="00A91ED9">
      <w:pPr>
        <w:pStyle w:val="normal0"/>
        <w:jc w:val="left"/>
      </w:pPr>
      <w:r>
        <w:t xml:space="preserve">The current API allows for the input of additional experiments via the “c” function provided that the user creates a map for the new samples to be added to the </w:t>
      </w:r>
      <w:proofErr w:type="spellStart"/>
      <w:r>
        <w:t>MultiAssayExperiement</w:t>
      </w:r>
      <w:proofErr w:type="spellEnd"/>
      <w:r>
        <w:t xml:space="preserve"> instance. A convenience argument is available for mapping of samples similarly to an experiment already present in the data.</w:t>
      </w:r>
    </w:p>
    <w:p w14:paraId="615E5B93" w14:textId="77777777" w:rsidR="00781821" w:rsidRDefault="00A91ED9">
      <w:pPr>
        <w:pStyle w:val="Heading2"/>
        <w:widowControl/>
        <w:contextualSpacing w:val="0"/>
      </w:pPr>
      <w:bookmarkStart w:id="8" w:name="_xlelcjwid39d" w:colFirst="0" w:colLast="0"/>
      <w:bookmarkEnd w:id="8"/>
      <w:r>
        <w:t>Validity</w:t>
      </w:r>
    </w:p>
    <w:p w14:paraId="7BEC0FEF" w14:textId="77777777" w:rsidR="00781821" w:rsidRDefault="00A91ED9">
      <w:pPr>
        <w:pStyle w:val="normal0"/>
        <w:widowControl/>
      </w:pPr>
      <w:r>
        <w:t xml:space="preserve">Validity checks ensure data integrity in the MultiAssayExperiment. Aside from internal helper functions that help the user create a valid MultiAssayExperiment, validity checks ensure that any further changes to the MultiAssayExperiment do not disturb the documented relationships in the object. </w:t>
      </w:r>
    </w:p>
    <w:p w14:paraId="2A2C357E" w14:textId="77777777" w:rsidR="00781821" w:rsidRDefault="00A91ED9">
      <w:pPr>
        <w:pStyle w:val="Heading2"/>
        <w:contextualSpacing w:val="0"/>
      </w:pPr>
      <w:bookmarkStart w:id="9" w:name="_lbhpunltq49" w:colFirst="0" w:colLast="0"/>
      <w:bookmarkEnd w:id="9"/>
      <w:r>
        <w:t>TCGA MultiAssayExperiment objects</w:t>
      </w:r>
    </w:p>
    <w:p w14:paraId="7D0CEB60" w14:textId="77777777" w:rsidR="00781821" w:rsidRDefault="00A91ED9">
      <w:pPr>
        <w:pStyle w:val="normal0"/>
        <w:widowControl/>
      </w:pPr>
      <w:r>
        <w:t xml:space="preserve">We downloaded unrestricted access data using the </w:t>
      </w:r>
      <w:proofErr w:type="spellStart"/>
      <w:r>
        <w:rPr>
          <w:i/>
        </w:rPr>
        <w:t>RTCGAToolbox</w:t>
      </w:r>
      <w:proofErr w:type="spellEnd"/>
      <w:r>
        <w:t xml:space="preserve"> Bioconductor </w:t>
      </w:r>
      <w:proofErr w:type="gramStart"/>
      <w:r>
        <w:t>package,</w:t>
      </w:r>
      <w:proofErr w:type="gramEnd"/>
      <w:r>
        <w:t xml:space="preserve"> added molecular subtype information curated from TCGA primary publications, and collected and merged an expansive set of clinical and pathological data. These objects (one per cancer type) are distributed through an Amazon S3 bucket and linked to at </w:t>
      </w:r>
      <w:hyperlink r:id="rId9">
        <w:r>
          <w:rPr>
            <w:color w:val="1155CC"/>
            <w:u w:val="single"/>
          </w:rPr>
          <w:t>http://tinyurl.com/maeourls</w:t>
        </w:r>
      </w:hyperlink>
      <w:r>
        <w:t xml:space="preserve">. In the future, they will be distributed through a new Bioconductor package using </w:t>
      </w:r>
      <w:proofErr w:type="spellStart"/>
      <w:r>
        <w:t>ExperimentHub</w:t>
      </w:r>
      <w:proofErr w:type="spellEnd"/>
      <w:r>
        <w:rPr>
          <w:i/>
        </w:rPr>
        <w:t xml:space="preserve">. </w:t>
      </w:r>
      <w:r>
        <w:t>This data acquisition and object construction is reproducible using code at https://github.com/waldronlab/curatedTCGAData.</w:t>
      </w:r>
    </w:p>
    <w:p w14:paraId="73AEC273" w14:textId="77777777" w:rsidR="00781821" w:rsidRDefault="00A91ED9">
      <w:pPr>
        <w:pStyle w:val="Heading3"/>
        <w:widowControl/>
        <w:contextualSpacing w:val="0"/>
      </w:pPr>
      <w:bookmarkStart w:id="10" w:name="_uuqbf9ynv4v0" w:colFirst="0" w:colLast="0"/>
      <w:bookmarkEnd w:id="10"/>
      <w:r>
        <w:lastRenderedPageBreak/>
        <w:t>Curated subtypes</w:t>
      </w:r>
    </w:p>
    <w:p w14:paraId="1266AA4B" w14:textId="77777777" w:rsidR="00781821" w:rsidRDefault="00A91ED9">
      <w:pPr>
        <w:pStyle w:val="normal0"/>
        <w:widowControl/>
      </w:pPr>
      <w:r>
        <w:t xml:space="preserve">The Cancer Genome Atlas (TCGA) project has produced a great amount of information via sequencing of tumor pathologies. Several studies on many of the 33 types of cancer have yielded subtype classifications that can be included in the MultiAssayExperiment data structure. However, this information was published as supplements of publications without standardized formats or centralized availability. We attempted to gather all available molecular subtype information in these publications. In particular, each primary publication was reviewed and subtype classifications were determined from the text. We then reviewed supplementary information to obtain sample subtype classification for each patient. Lastly, this information was added to the </w:t>
      </w:r>
      <w:proofErr w:type="spellStart"/>
      <w:r>
        <w:rPr>
          <w:i/>
        </w:rPr>
        <w:t>colData</w:t>
      </w:r>
      <w:proofErr w:type="spellEnd"/>
      <w:r>
        <w:t xml:space="preserve"> slot in the corresponding MultiAssayExperiment object. In the event that sample subtype classification information was unavailable, we contacted the corresponding authors and asked them to provide the supplementary material.</w:t>
      </w:r>
    </w:p>
    <w:p w14:paraId="079FC41C" w14:textId="77777777" w:rsidR="00781821" w:rsidRDefault="00A91ED9">
      <w:pPr>
        <w:pStyle w:val="Heading3"/>
        <w:widowControl/>
        <w:contextualSpacing w:val="0"/>
      </w:pPr>
      <w:bookmarkStart w:id="11" w:name="_eaei06tp3fvd" w:colFirst="0" w:colLast="0"/>
      <w:bookmarkEnd w:id="11"/>
      <w:r>
        <w:t>Curated clinical data</w:t>
      </w:r>
    </w:p>
    <w:p w14:paraId="173316E1" w14:textId="77777777" w:rsidR="00781821" w:rsidRDefault="00A91ED9">
      <w:pPr>
        <w:pStyle w:val="normal0"/>
        <w:widowControl/>
      </w:pPr>
      <w:r>
        <w:t xml:space="preserve">The TCGA level 4 merged clinical data provided by the Broad Institute’s GDAC </w:t>
      </w:r>
      <w:proofErr w:type="spellStart"/>
      <w:r>
        <w:t>Firehose</w:t>
      </w:r>
      <w:proofErr w:type="spellEnd"/>
      <w:r>
        <w:t xml:space="preserve"> pipeline only includes about 60 to 80 select variables from the original XML format distribution </w:t>
      </w:r>
      <w:hyperlink r:id="rId10">
        <w:r>
          <w:t>(2)</w:t>
        </w:r>
      </w:hyperlink>
      <w:r>
        <w:t xml:space="preserve">. We started from complete level 1 clinical and pathological datasets, which contain hundreds more variables and in some cases have less </w:t>
      </w:r>
      <w:proofErr w:type="spellStart"/>
      <w:r>
        <w:t>missingness</w:t>
      </w:r>
      <w:proofErr w:type="spellEnd"/>
      <w:r>
        <w:t xml:space="preserve"> than the level 4 merged dataset. We included only variables that are not all missing, consolidated follow-up observations, and merged equivalent columns found in both clinical and pathological dataset, and ensured that patient identifiers are consistent across clinical datasets. </w:t>
      </w:r>
    </w:p>
    <w:p w14:paraId="1E016BC4" w14:textId="77777777" w:rsidR="00781821" w:rsidRDefault="00A91ED9">
      <w:pPr>
        <w:pStyle w:val="Heading1"/>
        <w:contextualSpacing w:val="0"/>
      </w:pPr>
      <w:bookmarkStart w:id="12" w:name="_mveyc4tjkehg" w:colFirst="0" w:colLast="0"/>
      <w:bookmarkEnd w:id="12"/>
      <w:r>
        <w:t>Example Analyses</w:t>
      </w:r>
    </w:p>
    <w:p w14:paraId="378FF042" w14:textId="77777777" w:rsidR="00781821" w:rsidRDefault="00A91ED9">
      <w:pPr>
        <w:pStyle w:val="normal0"/>
        <w:widowControl/>
      </w:pPr>
      <w:r>
        <w:t xml:space="preserve">Analyses here are reproducible using the complete code in the vignette/extras folder at </w:t>
      </w:r>
      <w:hyperlink r:id="rId11">
        <w:r>
          <w:rPr>
            <w:color w:val="1155CC"/>
            <w:u w:val="single"/>
          </w:rPr>
          <w:t>https://github.com/waldronlab/multiassayexperiment</w:t>
        </w:r>
      </w:hyperlink>
      <w:r>
        <w:t xml:space="preserve">; only key selections of code are shown here. Reproduction of these examples currently requires the development version of MultiAssayExperiment, available in the Bioconductor development branch 3.6 and on </w:t>
      </w:r>
      <w:proofErr w:type="spellStart"/>
      <w:r>
        <w:t>GitHub</w:t>
      </w:r>
      <w:proofErr w:type="spellEnd"/>
      <w:r>
        <w:t xml:space="preserve"> (</w:t>
      </w:r>
      <w:hyperlink r:id="rId12">
        <w:r>
          <w:rPr>
            <w:color w:val="1155CC"/>
            <w:u w:val="single"/>
          </w:rPr>
          <w:t>https://github.com/waldronlab/</w:t>
        </w:r>
      </w:hyperlink>
      <w:hyperlink r:id="rId13">
        <w:r>
          <w:rPr>
            <w:color w:val="1155CC"/>
            <w:u w:val="single"/>
          </w:rPr>
          <w:t>multiassayexperiment</w:t>
        </w:r>
      </w:hyperlink>
      <w:r>
        <w:t>).</w:t>
      </w:r>
    </w:p>
    <w:p w14:paraId="2800D457" w14:textId="77777777" w:rsidR="00781821" w:rsidRDefault="00A91ED9">
      <w:pPr>
        <w:pStyle w:val="Heading2"/>
        <w:widowControl/>
        <w:contextualSpacing w:val="0"/>
      </w:pPr>
      <w:bookmarkStart w:id="13" w:name="_ylcy9bqpzs2e" w:colFirst="0" w:colLast="0"/>
      <w:bookmarkEnd w:id="13"/>
      <w:r>
        <w:t>Copy number and mutation burden in colon cancer and breast cancer</w:t>
      </w:r>
    </w:p>
    <w:p w14:paraId="42DEE892" w14:textId="77777777" w:rsidR="00781821" w:rsidRDefault="00A91ED9">
      <w:pPr>
        <w:pStyle w:val="normal0"/>
      </w:pPr>
      <w:r>
        <w:t>Datasets were downloaded from</w:t>
      </w:r>
      <w:hyperlink r:id="rId14">
        <w:r>
          <w:t xml:space="preserve"> </w:t>
        </w:r>
      </w:hyperlink>
      <w:hyperlink r:id="rId15">
        <w:r>
          <w:rPr>
            <w:color w:val="0000FF"/>
            <w:sz w:val="20"/>
            <w:szCs w:val="20"/>
            <w:u w:val="single"/>
          </w:rPr>
          <w:t>http://tinyurl.com/MAEOurls</w:t>
        </w:r>
      </w:hyperlink>
      <w:r>
        <w:rPr>
          <w:color w:val="1155CC"/>
          <w:sz w:val="20"/>
          <w:szCs w:val="20"/>
          <w:u w:val="single"/>
        </w:rPr>
        <w:t xml:space="preserve">. </w:t>
      </w:r>
      <w:r>
        <w:t xml:space="preserve">Mutation load was calculated using all somatic variants and then normalized by assuming an average </w:t>
      </w:r>
      <w:proofErr w:type="spellStart"/>
      <w:r>
        <w:t>exome</w:t>
      </w:r>
      <w:proofErr w:type="spellEnd"/>
      <w:r>
        <w:t xml:space="preserve"> capture size of 50Mb. The somatic copy number alteration (SCNA) score was defined as the average GISTIC gene-level copy number group (0: normal, 1: gain/shallow loss, 2: amplification/deep loss). The following code snippet for colon cancer loads the complete TCGA dataset into R, selects the mutation and GISTIC copy number assays, selects only cases where both assays are available, then adds columns to </w:t>
      </w:r>
      <w:proofErr w:type="spellStart"/>
      <w:r>
        <w:t>colData</w:t>
      </w:r>
      <w:proofErr w:type="spellEnd"/>
      <w:r>
        <w:t xml:space="preserve"> for the number of mutations per Mb and the mean absolute copy number. The following code demonstrates loading the colon adenoma TCGA dataset, restricting </w:t>
      </w:r>
      <w:r>
        <w:lastRenderedPageBreak/>
        <w:t>to somatic mutation and copy number assays, selection of cases with complete data, and addition of copy number load to the clinical data:</w:t>
      </w:r>
    </w:p>
    <w:p w14:paraId="7C8CF025" w14:textId="77777777" w:rsidR="00781821" w:rsidRDefault="00A91ED9">
      <w:pPr>
        <w:pStyle w:val="normal0"/>
      </w:pPr>
      <w:r>
        <w:rPr>
          <w:color w:val="1155CC"/>
          <w:sz w:val="20"/>
          <w:szCs w:val="20"/>
          <w:u w:val="single"/>
        </w:rPr>
        <w:t xml:space="preserve"> </w:t>
      </w:r>
      <w:r>
        <w:t xml:space="preserve"> </w:t>
      </w:r>
    </w:p>
    <w:p w14:paraId="45E5A3BE"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mae</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readRDS</w:t>
      </w:r>
      <w:proofErr w:type="spellEnd"/>
      <w:r>
        <w:rPr>
          <w:rFonts w:ascii="Courier New" w:eastAsia="Courier New" w:hAnsi="Courier New" w:cs="Courier New"/>
        </w:rPr>
        <w:t>("</w:t>
      </w:r>
      <w:proofErr w:type="spellStart"/>
      <w:r>
        <w:rPr>
          <w:rFonts w:ascii="Courier New" w:eastAsia="Courier New" w:hAnsi="Courier New" w:cs="Courier New"/>
        </w:rPr>
        <w:t>coadMAEO.rds</w:t>
      </w:r>
      <w:proofErr w:type="spellEnd"/>
      <w:r>
        <w:rPr>
          <w:rFonts w:ascii="Courier New" w:eastAsia="Courier New" w:hAnsi="Courier New" w:cs="Courier New"/>
        </w:rPr>
        <w:t>")</w:t>
      </w:r>
    </w:p>
    <w:p w14:paraId="15C783DF"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mae</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mae</w:t>
      </w:r>
      <w:proofErr w:type="spellEnd"/>
      <w:r>
        <w:rPr>
          <w:rFonts w:ascii="Courier New" w:eastAsia="Courier New" w:hAnsi="Courier New" w:cs="Courier New"/>
        </w:rPr>
        <w:t>[, , c("Mutations", "</w:t>
      </w:r>
      <w:proofErr w:type="spellStart"/>
      <w:r>
        <w:rPr>
          <w:rFonts w:ascii="Courier New" w:eastAsia="Courier New" w:hAnsi="Courier New" w:cs="Courier New"/>
        </w:rPr>
        <w:t>gistict</w:t>
      </w:r>
      <w:proofErr w:type="spellEnd"/>
      <w:r>
        <w:rPr>
          <w:rFonts w:ascii="Courier New" w:eastAsia="Courier New" w:hAnsi="Courier New" w:cs="Courier New"/>
        </w:rPr>
        <w:t>")]</w:t>
      </w:r>
    </w:p>
    <w:p w14:paraId="221ABF4E"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mae</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intersectColumns</w:t>
      </w:r>
      <w:proofErr w:type="spellEnd"/>
      <w:r>
        <w:rPr>
          <w:rFonts w:ascii="Courier New" w:eastAsia="Courier New" w:hAnsi="Courier New" w:cs="Courier New"/>
        </w:rPr>
        <w:t>(</w:t>
      </w:r>
      <w:proofErr w:type="spellStart"/>
      <w:r>
        <w:rPr>
          <w:rFonts w:ascii="Courier New" w:eastAsia="Courier New" w:hAnsi="Courier New" w:cs="Courier New"/>
        </w:rPr>
        <w:t>mae</w:t>
      </w:r>
      <w:proofErr w:type="spellEnd"/>
      <w:r>
        <w:rPr>
          <w:rFonts w:ascii="Courier New" w:eastAsia="Courier New" w:hAnsi="Courier New" w:cs="Courier New"/>
        </w:rPr>
        <w:t>)</w:t>
      </w:r>
    </w:p>
    <w:p w14:paraId="7729DD23" w14:textId="77777777" w:rsidR="00781821" w:rsidRDefault="00A91ED9">
      <w:pPr>
        <w:pStyle w:val="normal0"/>
        <w:rPr>
          <w:rFonts w:ascii="Times New Roman" w:eastAsia="Times New Roman" w:hAnsi="Times New Roman" w:cs="Times New Roman"/>
        </w:rPr>
      </w:pPr>
      <w:proofErr w:type="spellStart"/>
      <w:proofErr w:type="gramStart"/>
      <w:r>
        <w:rPr>
          <w:rFonts w:ascii="Courier New" w:eastAsia="Courier New" w:hAnsi="Courier New" w:cs="Courier New"/>
        </w:rPr>
        <w:t>mae</w:t>
      </w:r>
      <w:proofErr w:type="gramEnd"/>
      <w:r>
        <w:rPr>
          <w:rFonts w:ascii="Courier New" w:eastAsia="Courier New" w:hAnsi="Courier New" w:cs="Courier New"/>
        </w:rPr>
        <w:t>$cnload</w:t>
      </w:r>
      <w:proofErr w:type="spellEnd"/>
      <w:r>
        <w:rPr>
          <w:rFonts w:ascii="Courier New" w:eastAsia="Courier New" w:hAnsi="Courier New" w:cs="Courier New"/>
        </w:rPr>
        <w:t xml:space="preserve"> &lt;- </w:t>
      </w:r>
      <w:proofErr w:type="spellStart"/>
      <w:r>
        <w:rPr>
          <w:rFonts w:ascii="Courier New" w:eastAsia="Courier New" w:hAnsi="Courier New" w:cs="Courier New"/>
        </w:rPr>
        <w:t>colMeans</w:t>
      </w:r>
      <w:proofErr w:type="spellEnd"/>
      <w:r>
        <w:rPr>
          <w:rFonts w:ascii="Courier New" w:eastAsia="Courier New" w:hAnsi="Courier New" w:cs="Courier New"/>
        </w:rPr>
        <w:t>(abs(assay(</w:t>
      </w:r>
      <w:proofErr w:type="spellStart"/>
      <w:r>
        <w:rPr>
          <w:rFonts w:ascii="Courier New" w:eastAsia="Courier New" w:hAnsi="Courier New" w:cs="Courier New"/>
        </w:rPr>
        <w:t>mae</w:t>
      </w:r>
      <w:proofErr w:type="spellEnd"/>
      <w:r>
        <w:rPr>
          <w:rFonts w:ascii="Courier New" w:eastAsia="Courier New" w:hAnsi="Courier New" w:cs="Courier New"/>
        </w:rPr>
        <w:t>[["</w:t>
      </w:r>
      <w:proofErr w:type="spellStart"/>
      <w:r>
        <w:rPr>
          <w:rFonts w:ascii="Courier New" w:eastAsia="Courier New" w:hAnsi="Courier New" w:cs="Courier New"/>
        </w:rPr>
        <w:t>gistict</w:t>
      </w:r>
      <w:proofErr w:type="spellEnd"/>
      <w:r>
        <w:rPr>
          <w:rFonts w:ascii="Courier New" w:eastAsia="Courier New" w:hAnsi="Courier New" w:cs="Courier New"/>
        </w:rPr>
        <w:t>"]])))</w:t>
      </w:r>
    </w:p>
    <w:p w14:paraId="1C1584B3" w14:textId="77777777" w:rsidR="00781821" w:rsidRDefault="00A91ED9">
      <w:pPr>
        <w:pStyle w:val="Heading2"/>
        <w:contextualSpacing w:val="0"/>
      </w:pPr>
      <w:bookmarkStart w:id="14" w:name="_ujphrkpy6mg" w:colFirst="0" w:colLast="0"/>
      <w:bookmarkEnd w:id="14"/>
      <w:r>
        <w:t>Correlation between copy number, RNA, and protein in the NCI-60 cell lines</w:t>
      </w:r>
    </w:p>
    <w:p w14:paraId="0090799C" w14:textId="77777777" w:rsidR="00781821" w:rsidRDefault="00A91ED9">
      <w:pPr>
        <w:pStyle w:val="normal0"/>
      </w:pPr>
      <w:r>
        <w:t xml:space="preserve">The NCI-60 cell line collection compiled by the U.S. National Cancer Institute (NCI) is a very widely used panel for the study of cellular mechanisms of cancer. It is a model system for the tissue types and genetic diversity of human cancers and has been extensively molecularly characterized by multiple genomic assays such as DNA copy number, DNA methylation, gene transcript, </w:t>
      </w:r>
      <w:proofErr w:type="spellStart"/>
      <w:r>
        <w:t>exome</w:t>
      </w:r>
      <w:proofErr w:type="spellEnd"/>
      <w:r>
        <w:t xml:space="preserve"> sequencing, </w:t>
      </w:r>
      <w:proofErr w:type="spellStart"/>
      <w:r>
        <w:t>miRNA</w:t>
      </w:r>
      <w:proofErr w:type="spellEnd"/>
      <w:r>
        <w:t xml:space="preserve"> profiling as well as drug activity levels profiling. We acquired processed data for DNA copy number, transcript and protein levels in tabular format through the </w:t>
      </w:r>
      <w:proofErr w:type="spellStart"/>
      <w:r>
        <w:t>CellMiner</w:t>
      </w:r>
      <w:proofErr w:type="spellEnd"/>
      <w:r>
        <w:t xml:space="preserve"> web application </w:t>
      </w:r>
      <w:hyperlink r:id="rId16">
        <w:r>
          <w:t>(3)</w:t>
        </w:r>
      </w:hyperlink>
      <w:r>
        <w:t xml:space="preserve">. The DNA copy numbers and transcript levels provided by </w:t>
      </w:r>
      <w:proofErr w:type="spellStart"/>
      <w:r>
        <w:t>CellMiner</w:t>
      </w:r>
      <w:proofErr w:type="spellEnd"/>
      <w:r>
        <w:t xml:space="preserve"> were computed as a combined value from multiple platforms. Protein levels were based on reverse-phase protein lysate arrays and processed as described by </w:t>
      </w:r>
      <w:proofErr w:type="spellStart"/>
      <w:r>
        <w:t>Shankavaram</w:t>
      </w:r>
      <w:proofErr w:type="spellEnd"/>
      <w:r>
        <w:t xml:space="preserve"> </w:t>
      </w:r>
      <w:r>
        <w:rPr>
          <w:i/>
        </w:rPr>
        <w:t>et al.</w:t>
      </w:r>
      <w:r>
        <w:t xml:space="preserve"> </w:t>
      </w:r>
      <w:hyperlink r:id="rId17">
        <w:r>
          <w:t>(4)</w:t>
        </w:r>
      </w:hyperlink>
      <w:r>
        <w:t xml:space="preserve">. We assembled those multi-assay processed data into the MultiAssayExperiment object, and we showed the ease of this representation to compare the DNA copy number, transcript and protein levels of the </w:t>
      </w:r>
      <w:r>
        <w:rPr>
          <w:highlight w:val="white"/>
        </w:rPr>
        <w:t>Enabled Homolog (Drosophila)</w:t>
      </w:r>
      <w:r>
        <w:rPr>
          <w:color w:val="333333"/>
          <w:highlight w:val="white"/>
        </w:rPr>
        <w:t xml:space="preserve"> (</w:t>
      </w:r>
      <w:r>
        <w:t xml:space="preserve">ENAH) gene as an example gene. Pearson’s correlation coefficient was calculated between mRNA, protein, and DNA copy number, across all samples, and plotted as a 3x3 </w:t>
      </w:r>
      <w:proofErr w:type="spellStart"/>
      <w:r>
        <w:t>heatmap</w:t>
      </w:r>
      <w:proofErr w:type="spellEnd"/>
      <w:r>
        <w:t>. The following code loads the full NCI-60 dataset then combines the copy number, gene expression, and protein abundance assays for a single protein coding gene (ENAH) into a data frame suitable for calculating correlations between profiles:</w:t>
      </w:r>
    </w:p>
    <w:p w14:paraId="4195FA16" w14:textId="77777777" w:rsidR="00781821" w:rsidRDefault="00781821">
      <w:pPr>
        <w:pStyle w:val="normal0"/>
      </w:pPr>
    </w:p>
    <w:p w14:paraId="31A80279"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ncimae</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readRDS</w:t>
      </w:r>
      <w:proofErr w:type="spellEnd"/>
      <w:r>
        <w:rPr>
          <w:rFonts w:ascii="Courier New" w:eastAsia="Courier New" w:hAnsi="Courier New" w:cs="Courier New"/>
        </w:rPr>
        <w:t>("</w:t>
      </w:r>
      <w:proofErr w:type="spellStart"/>
      <w:r>
        <w:rPr>
          <w:rFonts w:ascii="Courier New" w:eastAsia="Courier New" w:hAnsi="Courier New" w:cs="Courier New"/>
        </w:rPr>
        <w:t>nciMAEO.rds</w:t>
      </w:r>
      <w:proofErr w:type="spellEnd"/>
      <w:r>
        <w:rPr>
          <w:rFonts w:ascii="Courier New" w:eastAsia="Courier New" w:hAnsi="Courier New" w:cs="Courier New"/>
        </w:rPr>
        <w:t>")</w:t>
      </w:r>
    </w:p>
    <w:p w14:paraId="1573B127"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protrna.wide</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wideFormat</w:t>
      </w:r>
      <w:proofErr w:type="spellEnd"/>
      <w:r>
        <w:rPr>
          <w:rFonts w:ascii="Courier New" w:eastAsia="Courier New" w:hAnsi="Courier New" w:cs="Courier New"/>
        </w:rPr>
        <w:t>(</w:t>
      </w:r>
      <w:proofErr w:type="spellStart"/>
      <w:r>
        <w:rPr>
          <w:rFonts w:ascii="Courier New" w:eastAsia="Courier New" w:hAnsi="Courier New" w:cs="Courier New"/>
        </w:rPr>
        <w:t>ncimae</w:t>
      </w:r>
      <w:proofErr w:type="spellEnd"/>
      <w:r>
        <w:rPr>
          <w:rFonts w:ascii="Courier New" w:eastAsia="Courier New" w:hAnsi="Courier New" w:cs="Courier New"/>
        </w:rPr>
        <w:t>[“ENAH”, ,</w:t>
      </w:r>
    </w:p>
    <w:p w14:paraId="125FECCD" w14:textId="77777777" w:rsidR="00781821" w:rsidRDefault="00A91ED9">
      <w:pPr>
        <w:pStyle w:val="normal0"/>
        <w:ind w:left="720" w:firstLine="720"/>
        <w:rPr>
          <w:rFonts w:ascii="Courier New" w:eastAsia="Courier New" w:hAnsi="Courier New" w:cs="Courier New"/>
        </w:rPr>
      </w:pPr>
      <w:proofErr w:type="gramStart"/>
      <w:r>
        <w:rPr>
          <w:rFonts w:ascii="Courier New" w:eastAsia="Courier New" w:hAnsi="Courier New" w:cs="Courier New"/>
        </w:rPr>
        <w:t>c</w:t>
      </w:r>
      <w:proofErr w:type="gramEnd"/>
      <w:r>
        <w:rPr>
          <w:rFonts w:ascii="Courier New" w:eastAsia="Courier New" w:hAnsi="Courier New" w:cs="Courier New"/>
        </w:rPr>
        <w:t xml:space="preserve">(“DNA Agilent", "RNA Agilent", "Protein Agilent")], </w:t>
      </w:r>
    </w:p>
    <w:p w14:paraId="050C40D4" w14:textId="77777777" w:rsidR="00781821" w:rsidRDefault="00A91ED9">
      <w:pPr>
        <w:pStyle w:val="normal0"/>
        <w:ind w:left="720" w:firstLine="720"/>
        <w:rPr>
          <w:rFonts w:ascii="Courier New" w:eastAsia="Courier New" w:hAnsi="Courier New" w:cs="Courier New"/>
        </w:rPr>
      </w:pPr>
      <w:proofErr w:type="gramStart"/>
      <w:r>
        <w:rPr>
          <w:rFonts w:ascii="Courier New" w:eastAsia="Courier New" w:hAnsi="Courier New" w:cs="Courier New"/>
        </w:rPr>
        <w:t>key</w:t>
      </w:r>
      <w:proofErr w:type="gramEnd"/>
      <w:r>
        <w:rPr>
          <w:rFonts w:ascii="Courier New" w:eastAsia="Courier New" w:hAnsi="Courier New" w:cs="Courier New"/>
        </w:rPr>
        <w:t xml:space="preserve"> = “assay”)</w:t>
      </w:r>
    </w:p>
    <w:p w14:paraId="421FBC03"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cor</w:t>
      </w:r>
      <w:proofErr w:type="spellEnd"/>
      <w:proofErr w:type="gramEnd"/>
      <w:r>
        <w:rPr>
          <w:rFonts w:ascii="Courier New" w:eastAsia="Courier New" w:hAnsi="Courier New" w:cs="Courier New"/>
        </w:rPr>
        <w:t>(</w:t>
      </w:r>
      <w:proofErr w:type="spellStart"/>
      <w:r>
        <w:rPr>
          <w:rFonts w:ascii="Courier New" w:eastAsia="Courier New" w:hAnsi="Courier New" w:cs="Courier New"/>
        </w:rPr>
        <w:t>as.data.frame</w:t>
      </w:r>
      <w:proofErr w:type="spellEnd"/>
      <w:r>
        <w:rPr>
          <w:rFonts w:ascii="Courier New" w:eastAsia="Courier New" w:hAnsi="Courier New" w:cs="Courier New"/>
        </w:rPr>
        <w:t>(</w:t>
      </w:r>
      <w:proofErr w:type="spellStart"/>
      <w:r>
        <w:rPr>
          <w:rFonts w:ascii="Courier New" w:eastAsia="Courier New" w:hAnsi="Courier New" w:cs="Courier New"/>
        </w:rPr>
        <w:t>protrna.wide</w:t>
      </w:r>
      <w:proofErr w:type="spellEnd"/>
      <w:r>
        <w:rPr>
          <w:rFonts w:ascii="Courier New" w:eastAsia="Courier New" w:hAnsi="Courier New" w:cs="Courier New"/>
        </w:rPr>
        <w:t>[, c(“DNA Agilent”, “Protein Agilent”, “RNA Agilent”)]))</w:t>
      </w:r>
    </w:p>
    <w:p w14:paraId="567CA55E" w14:textId="77777777" w:rsidR="00781821" w:rsidRDefault="00A91ED9">
      <w:pPr>
        <w:pStyle w:val="Heading3"/>
        <w:contextualSpacing w:val="0"/>
      </w:pPr>
      <w:bookmarkStart w:id="15" w:name="_7xv60a6yjw7i" w:colFirst="0" w:colLast="0"/>
      <w:bookmarkEnd w:id="15"/>
      <w:r>
        <w:t>Methylation Quantitative Trait Loci</w:t>
      </w:r>
    </w:p>
    <w:p w14:paraId="06E0DEAB" w14:textId="77777777" w:rsidR="00781821" w:rsidRDefault="00A91ED9">
      <w:pPr>
        <w:pStyle w:val="normal0"/>
        <w:widowControl/>
      </w:pPr>
      <w:r>
        <w:t xml:space="preserve">High-density SNP genotyping has been fruitful in elucidating regulatory and environmental mediators of cancer risk </w:t>
      </w:r>
      <w:hyperlink r:id="rId18">
        <w:r>
          <w:t>(5,6)</w:t>
        </w:r>
      </w:hyperlink>
      <w:r>
        <w:t xml:space="preserve">.  Collections of variant calls can be coupled with information about variant context and accuracy in the Variant Call Format (VCF; </w:t>
      </w:r>
      <w:hyperlink r:id="rId19">
        <w:r>
          <w:rPr>
            <w:color w:val="1155CC"/>
            <w:u w:val="single"/>
          </w:rPr>
          <w:t>https://samtools.github.io/hts-specs/</w:t>
        </w:r>
      </w:hyperlink>
      <w:r>
        <w:t xml:space="preserve">).  VCF representations of genetic variation in epidemiologic cohorts are interrogated piecemeal after compression and indexing.  VCF collections are incorporated into MultiAssayExperiment instances as references.  To accommodate the typical approach of </w:t>
      </w:r>
      <w:r>
        <w:lastRenderedPageBreak/>
        <w:t>separating variant calls by chromosome, a data structure called “</w:t>
      </w:r>
      <w:proofErr w:type="spellStart"/>
      <w:r>
        <w:t>VcfStack</w:t>
      </w:r>
      <w:proofErr w:type="spellEnd"/>
      <w:r>
        <w:t>” can be used to collect all the references constituting a genome-wide SNP scan.  Infrastructure for MultiAssayExperiment and allied classes facilitates scalable combination of genomic assays and genetic variants, so that simple programming can be used to extract genotypes with genomic addresses near a genomic feature (or any given address), automatically ensuring that assay results are linked to the samples on which they are measured.</w:t>
      </w:r>
    </w:p>
    <w:p w14:paraId="7BCAFF96" w14:textId="77777777" w:rsidR="00781821" w:rsidRDefault="00781821">
      <w:pPr>
        <w:pStyle w:val="normal0"/>
        <w:widowControl/>
      </w:pPr>
    </w:p>
    <w:p w14:paraId="35BC29E9" w14:textId="77777777" w:rsidR="00781821" w:rsidRDefault="00A91ED9">
      <w:pPr>
        <w:pStyle w:val="normal0"/>
      </w:pPr>
      <w:r>
        <w:t xml:space="preserve">A publicly accessible archive of VCFs for the 1000 Genomes project is available at </w:t>
      </w:r>
      <w:hyperlink r:id="rId20">
        <w:r>
          <w:rPr>
            <w:color w:val="1155CC"/>
            <w:u w:val="single"/>
          </w:rPr>
          <w:t>http://1000genomes.s3.amazonaws.com/release/20130502/</w:t>
        </w:r>
      </w:hyperlink>
      <w:r>
        <w:t xml:space="preserve">.  To create panel (d) of Figure 1, we assembled a MultiAssayExperiment instance with the </w:t>
      </w:r>
      <w:proofErr w:type="spellStart"/>
      <w:r>
        <w:t>Illumina</w:t>
      </w:r>
      <w:proofErr w:type="spellEnd"/>
      <w:r>
        <w:t xml:space="preserve"> </w:t>
      </w:r>
      <w:proofErr w:type="spellStart"/>
      <w:r>
        <w:t>Infinium</w:t>
      </w:r>
      <w:proofErr w:type="spellEnd"/>
      <w:r>
        <w:t xml:space="preserve"> HumanMethylation450 data published for the </w:t>
      </w:r>
      <w:proofErr w:type="spellStart"/>
      <w:r>
        <w:t>Yoruban</w:t>
      </w:r>
      <w:proofErr w:type="spellEnd"/>
      <w:r>
        <w:t xml:space="preserve"> </w:t>
      </w:r>
      <w:proofErr w:type="spellStart"/>
      <w:r>
        <w:t>HapMap</w:t>
      </w:r>
      <w:proofErr w:type="spellEnd"/>
      <w:r>
        <w:t xml:space="preserve"> population by </w:t>
      </w:r>
      <w:proofErr w:type="spellStart"/>
      <w:r>
        <w:t>Banovich</w:t>
      </w:r>
      <w:proofErr w:type="spellEnd"/>
      <w:r>
        <w:t xml:space="preserve"> </w:t>
      </w:r>
      <w:r>
        <w:rPr>
          <w:i/>
        </w:rPr>
        <w:t>et al.</w:t>
      </w:r>
      <w:r>
        <w:t xml:space="preserve"> </w:t>
      </w:r>
      <w:hyperlink r:id="rId21">
        <w:r>
          <w:t>(7)</w:t>
        </w:r>
      </w:hyperlink>
      <w:r>
        <w:t xml:space="preserve">, and a reference to the Amazon S3 archive of the complete set of 1000 Genomes genotypes (produced by the </w:t>
      </w:r>
      <w:proofErr w:type="gramStart"/>
      <w:r>
        <w:t>stack1kg(</w:t>
      </w:r>
      <w:proofErr w:type="gramEnd"/>
      <w:r>
        <w:t xml:space="preserve">) function of Bioconductor </w:t>
      </w:r>
      <w:proofErr w:type="spellStart"/>
      <w:r>
        <w:t>ldblock</w:t>
      </w:r>
      <w:proofErr w:type="spellEnd"/>
      <w:r>
        <w:t xml:space="preserve">.)  We selected by name a probe (cg04793911) in the vicinity of gene HLA-DQB1, because Figure 3 of </w:t>
      </w:r>
      <w:proofErr w:type="spellStart"/>
      <w:r>
        <w:t>Banovich</w:t>
      </w:r>
      <w:proofErr w:type="spellEnd"/>
      <w:r>
        <w:t xml:space="preserve"> et al. gives a very detailed multi-</w:t>
      </w:r>
      <w:proofErr w:type="spellStart"/>
      <w:r>
        <w:t>omic</w:t>
      </w:r>
      <w:proofErr w:type="spellEnd"/>
      <w:r>
        <w:t xml:space="preserve"> display of expression and chromatin modification processes nearby.  We then used the </w:t>
      </w:r>
      <w:proofErr w:type="spellStart"/>
      <w:r>
        <w:rPr>
          <w:i/>
        </w:rPr>
        <w:t>cisAssoc</w:t>
      </w:r>
      <w:proofErr w:type="spellEnd"/>
      <w:r>
        <w:t xml:space="preserve"> function from the </w:t>
      </w:r>
      <w:proofErr w:type="spellStart"/>
      <w:r>
        <w:rPr>
          <w:i/>
        </w:rPr>
        <w:t>gQTLstats</w:t>
      </w:r>
      <w:proofErr w:type="spellEnd"/>
      <w:r>
        <w:t xml:space="preserve"> package to search for SNP in the vicinity of the probe.  </w:t>
      </w:r>
      <w:proofErr w:type="gramStart"/>
      <w:r>
        <w:t>Panel (d) of Figure 1 is created by interrogating the MultiAssayExperiment instance only</w:t>
      </w:r>
      <w:proofErr w:type="gramEnd"/>
      <w:r>
        <w:t xml:space="preserve">, and genotype values per sample are acquired from the Amazon cloud in real time as the figure is produced. The following code loads a methylation SummarizedExperiment object from the </w:t>
      </w:r>
      <w:proofErr w:type="spellStart"/>
      <w:r>
        <w:rPr>
          <w:i/>
        </w:rPr>
        <w:t>yriMulti</w:t>
      </w:r>
      <w:proofErr w:type="spellEnd"/>
      <w:r>
        <w:t xml:space="preserve"> package, creates a connection to connection to the remote SNP VCF files, creates a MultiAssayExperiment instance containing these two objects, then calculates </w:t>
      </w:r>
      <w:proofErr w:type="spellStart"/>
      <w:r>
        <w:t>cis</w:t>
      </w:r>
      <w:proofErr w:type="spellEnd"/>
      <w:r>
        <w:t>-correlations of SNPs the methylation site cg04793911:</w:t>
      </w:r>
    </w:p>
    <w:p w14:paraId="0EA09269" w14:textId="77777777" w:rsidR="00781821" w:rsidRDefault="00781821">
      <w:pPr>
        <w:pStyle w:val="normal0"/>
        <w:rPr>
          <w:b/>
          <w:sz w:val="28"/>
          <w:szCs w:val="28"/>
        </w:rPr>
      </w:pPr>
    </w:p>
    <w:p w14:paraId="411D738D" w14:textId="77777777" w:rsidR="00781821" w:rsidRDefault="00A91ED9">
      <w:pPr>
        <w:pStyle w:val="normal0"/>
        <w:rPr>
          <w:rFonts w:ascii="Courier New" w:eastAsia="Courier New" w:hAnsi="Courier New" w:cs="Courier New"/>
        </w:rPr>
      </w:pPr>
      <w:proofErr w:type="gramStart"/>
      <w:r>
        <w:rPr>
          <w:rFonts w:ascii="Courier New" w:eastAsia="Courier New" w:hAnsi="Courier New" w:cs="Courier New"/>
        </w:rPr>
        <w:t>data</w:t>
      </w:r>
      <w:proofErr w:type="gramEnd"/>
      <w:r>
        <w:rPr>
          <w:rFonts w:ascii="Courier New" w:eastAsia="Courier New" w:hAnsi="Courier New" w:cs="Courier New"/>
        </w:rPr>
        <w:t>(</w:t>
      </w:r>
      <w:proofErr w:type="spellStart"/>
      <w:r>
        <w:rPr>
          <w:rFonts w:ascii="Courier New" w:eastAsia="Courier New" w:hAnsi="Courier New" w:cs="Courier New"/>
        </w:rPr>
        <w:t>banovichSE</w:t>
      </w:r>
      <w:proofErr w:type="spellEnd"/>
      <w:r>
        <w:rPr>
          <w:rFonts w:ascii="Courier New" w:eastAsia="Courier New" w:hAnsi="Courier New" w:cs="Courier New"/>
        </w:rPr>
        <w:t>)</w:t>
      </w:r>
    </w:p>
    <w:p w14:paraId="21E6C4E9"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st</w:t>
      </w:r>
      <w:proofErr w:type="spellEnd"/>
      <w:proofErr w:type="gramEnd"/>
      <w:r>
        <w:rPr>
          <w:rFonts w:ascii="Courier New" w:eastAsia="Courier New" w:hAnsi="Courier New" w:cs="Courier New"/>
        </w:rPr>
        <w:t xml:space="preserve"> &lt;- stack1kg()</w:t>
      </w:r>
    </w:p>
    <w:p w14:paraId="2D1CEC92" w14:textId="77777777" w:rsidR="00781821" w:rsidRDefault="00781821">
      <w:pPr>
        <w:pStyle w:val="normal0"/>
        <w:rPr>
          <w:rFonts w:ascii="Courier New" w:eastAsia="Courier New" w:hAnsi="Courier New" w:cs="Courier New"/>
        </w:rPr>
      </w:pPr>
    </w:p>
    <w:p w14:paraId="49AC7348" w14:textId="77777777" w:rsidR="00781821" w:rsidRDefault="00A91ED9">
      <w:pPr>
        <w:pStyle w:val="normal0"/>
        <w:jc w:val="left"/>
        <w:rPr>
          <w:rFonts w:ascii="Courier New" w:eastAsia="Courier New" w:hAnsi="Courier New" w:cs="Courier New"/>
        </w:rPr>
      </w:pPr>
      <w:proofErr w:type="spellStart"/>
      <w:proofErr w:type="gramStart"/>
      <w:r>
        <w:rPr>
          <w:rFonts w:ascii="Courier New" w:eastAsia="Courier New" w:hAnsi="Courier New" w:cs="Courier New"/>
        </w:rPr>
        <w:t>multiban</w:t>
      </w:r>
      <w:proofErr w:type="spellEnd"/>
      <w:proofErr w:type="gramEnd"/>
      <w:r>
        <w:rPr>
          <w:rFonts w:ascii="Courier New" w:eastAsia="Courier New" w:hAnsi="Courier New" w:cs="Courier New"/>
        </w:rPr>
        <w:t xml:space="preserve"> &lt;- MultiAssayExperiment(list(meth = </w:t>
      </w:r>
      <w:proofErr w:type="spellStart"/>
      <w:r>
        <w:rPr>
          <w:rFonts w:ascii="Courier New" w:eastAsia="Courier New" w:hAnsi="Courier New" w:cs="Courier New"/>
        </w:rPr>
        <w:t>banovichSE</w:t>
      </w:r>
      <w:proofErr w:type="spellEnd"/>
      <w:r>
        <w:rPr>
          <w:rFonts w:ascii="Courier New" w:eastAsia="Courier New" w:hAnsi="Courier New" w:cs="Courier New"/>
        </w:rPr>
        <w:t xml:space="preserve">, </w:t>
      </w:r>
      <w:proofErr w:type="spellStart"/>
      <w:r>
        <w:rPr>
          <w:rFonts w:ascii="Courier New" w:eastAsia="Courier New" w:hAnsi="Courier New" w:cs="Courier New"/>
        </w:rPr>
        <w:t>snp</w:t>
      </w:r>
      <w:proofErr w:type="spellEnd"/>
      <w:r>
        <w:rPr>
          <w:rFonts w:ascii="Courier New" w:eastAsia="Courier New" w:hAnsi="Courier New" w:cs="Courier New"/>
        </w:rPr>
        <w:t xml:space="preserve"> = </w:t>
      </w:r>
      <w:proofErr w:type="spellStart"/>
      <w:r>
        <w:rPr>
          <w:rFonts w:ascii="Courier New" w:eastAsia="Courier New" w:hAnsi="Courier New" w:cs="Courier New"/>
        </w:rPr>
        <w:t>st</w:t>
      </w:r>
      <w:proofErr w:type="spellEnd"/>
      <w:r>
        <w:rPr>
          <w:rFonts w:ascii="Courier New" w:eastAsia="Courier New" w:hAnsi="Courier New" w:cs="Courier New"/>
        </w:rPr>
        <w:t>),</w:t>
      </w:r>
    </w:p>
    <w:p w14:paraId="77CF6D9D" w14:textId="77777777" w:rsidR="00781821" w:rsidRDefault="00A91ED9">
      <w:pPr>
        <w:pStyle w:val="normal0"/>
        <w:ind w:left="2880" w:firstLine="720"/>
        <w:jc w:val="left"/>
        <w:rPr>
          <w:rFonts w:ascii="Courier New" w:eastAsia="Courier New" w:hAnsi="Courier New" w:cs="Courier New"/>
        </w:rPr>
      </w:pPr>
      <w:proofErr w:type="spellStart"/>
      <w:proofErr w:type="gramStart"/>
      <w:r>
        <w:rPr>
          <w:rFonts w:ascii="Courier New" w:eastAsia="Courier New" w:hAnsi="Courier New" w:cs="Courier New"/>
        </w:rPr>
        <w:t>colData</w:t>
      </w:r>
      <w:proofErr w:type="spellEnd"/>
      <w:proofErr w:type="gramEnd"/>
      <w:r>
        <w:rPr>
          <w:rFonts w:ascii="Courier New" w:eastAsia="Courier New" w:hAnsi="Courier New" w:cs="Courier New"/>
        </w:rPr>
        <w:t xml:space="preserve"> = </w:t>
      </w:r>
      <w:proofErr w:type="spellStart"/>
      <w:r>
        <w:rPr>
          <w:rFonts w:ascii="Courier New" w:eastAsia="Courier New" w:hAnsi="Courier New" w:cs="Courier New"/>
        </w:rPr>
        <w:t>colData</w:t>
      </w:r>
      <w:proofErr w:type="spellEnd"/>
      <w:r>
        <w:rPr>
          <w:rFonts w:ascii="Courier New" w:eastAsia="Courier New" w:hAnsi="Courier New" w:cs="Courier New"/>
        </w:rPr>
        <w:t>(</w:t>
      </w:r>
      <w:proofErr w:type="spellStart"/>
      <w:r>
        <w:rPr>
          <w:rFonts w:ascii="Courier New" w:eastAsia="Courier New" w:hAnsi="Courier New" w:cs="Courier New"/>
        </w:rPr>
        <w:t>banovichSE</w:t>
      </w:r>
      <w:proofErr w:type="spellEnd"/>
      <w:r>
        <w:rPr>
          <w:rFonts w:ascii="Courier New" w:eastAsia="Courier New" w:hAnsi="Courier New" w:cs="Courier New"/>
        </w:rPr>
        <w:t>))</w:t>
      </w:r>
    </w:p>
    <w:p w14:paraId="6BAD25C8" w14:textId="77777777" w:rsidR="00781821" w:rsidRDefault="00A91ED9">
      <w:pPr>
        <w:pStyle w:val="normal0"/>
        <w:jc w:val="left"/>
        <w:rPr>
          <w:rFonts w:ascii="Courier New" w:eastAsia="Courier New" w:hAnsi="Courier New" w:cs="Courier New"/>
        </w:rPr>
      </w:pPr>
      <w:proofErr w:type="spellStart"/>
      <w:proofErr w:type="gramStart"/>
      <w:r>
        <w:rPr>
          <w:rFonts w:ascii="Courier New" w:eastAsia="Courier New" w:hAnsi="Courier New" w:cs="Courier New"/>
        </w:rPr>
        <w:t>multibanfocus</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multiban</w:t>
      </w:r>
      <w:proofErr w:type="spellEnd"/>
      <w:r>
        <w:rPr>
          <w:rFonts w:ascii="Courier New" w:eastAsia="Courier New" w:hAnsi="Courier New" w:cs="Courier New"/>
        </w:rPr>
        <w:t>[</w:t>
      </w:r>
      <w:proofErr w:type="spellStart"/>
      <w:r>
        <w:rPr>
          <w:rFonts w:ascii="Courier New" w:eastAsia="Courier New" w:hAnsi="Courier New" w:cs="Courier New"/>
        </w:rPr>
        <w:t>rowRanges</w:t>
      </w:r>
      <w:proofErr w:type="spellEnd"/>
      <w:r>
        <w:rPr>
          <w:rFonts w:ascii="Courier New" w:eastAsia="Courier New" w:hAnsi="Courier New" w:cs="Courier New"/>
        </w:rPr>
        <w:t>(</w:t>
      </w:r>
      <w:proofErr w:type="spellStart"/>
      <w:r>
        <w:rPr>
          <w:rFonts w:ascii="Courier New" w:eastAsia="Courier New" w:hAnsi="Courier New" w:cs="Courier New"/>
        </w:rPr>
        <w:t>banovichSE</w:t>
      </w:r>
      <w:proofErr w:type="spellEnd"/>
      <w:r>
        <w:rPr>
          <w:rFonts w:ascii="Courier New" w:eastAsia="Courier New" w:hAnsi="Courier New" w:cs="Courier New"/>
        </w:rPr>
        <w:t>)[“cg04793911”], , ]</w:t>
      </w:r>
    </w:p>
    <w:p w14:paraId="6C8F4C56" w14:textId="77777777" w:rsidR="00781821" w:rsidRDefault="00A91ED9">
      <w:pPr>
        <w:pStyle w:val="normal0"/>
        <w:jc w:val="left"/>
        <w:rPr>
          <w:rFonts w:ascii="Courier New" w:eastAsia="Courier New" w:hAnsi="Courier New" w:cs="Courier New"/>
        </w:rPr>
      </w:pPr>
      <w:proofErr w:type="spellStart"/>
      <w:proofErr w:type="gramStart"/>
      <w:r>
        <w:rPr>
          <w:rFonts w:ascii="Courier New" w:eastAsia="Courier New" w:hAnsi="Courier New" w:cs="Courier New"/>
        </w:rPr>
        <w:t>assoc</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cisAssoc</w:t>
      </w:r>
      <w:proofErr w:type="spellEnd"/>
      <w:r>
        <w:rPr>
          <w:rFonts w:ascii="Courier New" w:eastAsia="Courier New" w:hAnsi="Courier New" w:cs="Courier New"/>
        </w:rPr>
        <w:t>(</w:t>
      </w:r>
      <w:proofErr w:type="spellStart"/>
      <w:r>
        <w:rPr>
          <w:rFonts w:ascii="Courier New" w:eastAsia="Courier New" w:hAnsi="Courier New" w:cs="Courier New"/>
        </w:rPr>
        <w:t>multibanfocus</w:t>
      </w:r>
      <w:proofErr w:type="spellEnd"/>
      <w:r>
        <w:rPr>
          <w:rFonts w:ascii="Courier New" w:eastAsia="Courier New" w:hAnsi="Courier New" w:cs="Courier New"/>
        </w:rPr>
        <w:t>[[“meth”]],</w:t>
      </w:r>
    </w:p>
    <w:p w14:paraId="5070619F" w14:textId="77777777" w:rsidR="00781821" w:rsidRDefault="00A91ED9">
      <w:pPr>
        <w:pStyle w:val="normal0"/>
        <w:ind w:left="720" w:firstLine="720"/>
        <w:jc w:val="left"/>
        <w:rPr>
          <w:rFonts w:ascii="Courier New" w:eastAsia="Courier New" w:hAnsi="Courier New" w:cs="Courier New"/>
        </w:rPr>
      </w:pPr>
      <w:proofErr w:type="spellStart"/>
      <w:proofErr w:type="gramStart"/>
      <w:r>
        <w:rPr>
          <w:rFonts w:ascii="Courier New" w:eastAsia="Courier New" w:hAnsi="Courier New" w:cs="Courier New"/>
        </w:rPr>
        <w:t>TabixFile</w:t>
      </w:r>
      <w:proofErr w:type="spellEnd"/>
      <w:r>
        <w:rPr>
          <w:rFonts w:ascii="Courier New" w:eastAsia="Courier New" w:hAnsi="Courier New" w:cs="Courier New"/>
        </w:rPr>
        <w:t>(</w:t>
      </w:r>
      <w:proofErr w:type="gramEnd"/>
      <w:r>
        <w:rPr>
          <w:rFonts w:ascii="Courier New" w:eastAsia="Courier New" w:hAnsi="Courier New" w:cs="Courier New"/>
        </w:rPr>
        <w:t>files(</w:t>
      </w:r>
      <w:proofErr w:type="spellStart"/>
      <w:r>
        <w:rPr>
          <w:rFonts w:ascii="Courier New" w:eastAsia="Courier New" w:hAnsi="Courier New" w:cs="Courier New"/>
        </w:rPr>
        <w:t>multibanfocus</w:t>
      </w:r>
      <w:proofErr w:type="spellEnd"/>
      <w:r>
        <w:rPr>
          <w:rFonts w:ascii="Courier New" w:eastAsia="Courier New" w:hAnsi="Courier New" w:cs="Courier New"/>
        </w:rPr>
        <w:t>[[“</w:t>
      </w:r>
      <w:proofErr w:type="spellStart"/>
      <w:r>
        <w:rPr>
          <w:rFonts w:ascii="Courier New" w:eastAsia="Courier New" w:hAnsi="Courier New" w:cs="Courier New"/>
        </w:rPr>
        <w:t>snp</w:t>
      </w:r>
      <w:proofErr w:type="spellEnd"/>
      <w:r>
        <w:rPr>
          <w:rFonts w:ascii="Courier New" w:eastAsia="Courier New" w:hAnsi="Courier New" w:cs="Courier New"/>
        </w:rPr>
        <w:t>”]])))</w:t>
      </w:r>
    </w:p>
    <w:p w14:paraId="025DFDA3" w14:textId="77777777" w:rsidR="00781821" w:rsidRDefault="00781821">
      <w:pPr>
        <w:pStyle w:val="normal0"/>
        <w:rPr>
          <w:b/>
          <w:sz w:val="28"/>
          <w:szCs w:val="28"/>
        </w:rPr>
      </w:pPr>
    </w:p>
    <w:p w14:paraId="6AD806C4" w14:textId="77777777" w:rsidR="00781821" w:rsidRDefault="00A91ED9">
      <w:pPr>
        <w:pStyle w:val="normal0"/>
        <w:rPr>
          <w:b/>
          <w:sz w:val="28"/>
          <w:szCs w:val="28"/>
        </w:rPr>
      </w:pPr>
      <w:r>
        <w:rPr>
          <w:b/>
          <w:sz w:val="28"/>
          <w:szCs w:val="28"/>
        </w:rPr>
        <w:t xml:space="preserve">Integrated Single Sample Gene Set Enrichment Analysis </w:t>
      </w:r>
    </w:p>
    <w:p w14:paraId="7C888204" w14:textId="165C1E61" w:rsidR="00781821" w:rsidRDefault="00A91ED9">
      <w:pPr>
        <w:pStyle w:val="normal0"/>
        <w:rPr>
          <w:highlight w:val="white"/>
        </w:rPr>
      </w:pPr>
      <w:r>
        <w:t>Gene expression (RNASeq2GeneNorm), proteomics (</w:t>
      </w:r>
      <w:proofErr w:type="spellStart"/>
      <w:r>
        <w:t>RPPAArray</w:t>
      </w:r>
      <w:proofErr w:type="spellEnd"/>
      <w:r>
        <w:t>) and copy number (</w:t>
      </w:r>
      <w:proofErr w:type="spellStart"/>
      <w:r>
        <w:t>gistica</w:t>
      </w:r>
      <w:proofErr w:type="spellEnd"/>
      <w:r>
        <w:t xml:space="preserve">) data of TCGA Ovarian Serous </w:t>
      </w:r>
      <w:proofErr w:type="spellStart"/>
      <w:r>
        <w:t>Cystadenocarcinoma</w:t>
      </w:r>
      <w:proofErr w:type="spellEnd"/>
      <w:r>
        <w:t xml:space="preserve"> (n=591) were downloaded as a MultiAssayExperiment object from Amazon </w:t>
      </w:r>
      <w:hyperlink r:id="rId22">
        <w:r>
          <w:rPr>
            <w:color w:val="1155CC"/>
            <w:u w:val="single"/>
          </w:rPr>
          <w:t>http://s3.amazonaws.com/multiassayexperiments/ovMAEO.rds</w:t>
        </w:r>
      </w:hyperlink>
      <w:r>
        <w:t xml:space="preserve"> These data had been prepared using the </w:t>
      </w:r>
      <w:proofErr w:type="spellStart"/>
      <w:r>
        <w:t>curatedTCGAData</w:t>
      </w:r>
      <w:proofErr w:type="spellEnd"/>
      <w:r>
        <w:t xml:space="preserve"> pipeline described above and are described in </w:t>
      </w:r>
      <w:r w:rsidRPr="00C066F2">
        <w:rPr>
          <w:b/>
        </w:rPr>
        <w:t xml:space="preserve">Supplemental Table </w:t>
      </w:r>
      <w:r w:rsidR="00581056">
        <w:rPr>
          <w:b/>
        </w:rPr>
        <w:t>2</w:t>
      </w:r>
      <w:r>
        <w:t xml:space="preserve">. Data were projected onto the common scale using multiple factor analysis </w:t>
      </w:r>
      <w:hyperlink r:id="rId23">
        <w:r>
          <w:t>(8)</w:t>
        </w:r>
      </w:hyperlink>
      <w:r>
        <w:rPr>
          <w:highlight w:val="white"/>
        </w:rPr>
        <w:t xml:space="preserve"> using the </w:t>
      </w:r>
      <w:proofErr w:type="spellStart"/>
      <w:r>
        <w:rPr>
          <w:highlight w:val="white"/>
        </w:rPr>
        <w:t>mogsa</w:t>
      </w:r>
      <w:proofErr w:type="spellEnd"/>
      <w:r>
        <w:rPr>
          <w:highlight w:val="white"/>
        </w:rPr>
        <w:t xml:space="preserve"> R/Bioconductor function </w:t>
      </w:r>
      <w:proofErr w:type="spellStart"/>
      <w:proofErr w:type="gramStart"/>
      <w:r>
        <w:rPr>
          <w:i/>
          <w:highlight w:val="white"/>
        </w:rPr>
        <w:t>mcia</w:t>
      </w:r>
      <w:proofErr w:type="spellEnd"/>
      <w:r>
        <w:rPr>
          <w:highlight w:val="white"/>
        </w:rPr>
        <w:t>(</w:t>
      </w:r>
      <w:proofErr w:type="gramEnd"/>
      <w:r>
        <w:rPr>
          <w:highlight w:val="white"/>
        </w:rPr>
        <w:t xml:space="preserve">) and the first 15 principal components of the joint data decomposition were retained. </w:t>
      </w:r>
      <w:r>
        <w:t xml:space="preserve">Multiple factor analysis extracts principal component than are maximally covariant between datasets (for a detailed introduction see review </w:t>
      </w:r>
      <w:hyperlink r:id="rId24">
        <w:r>
          <w:t>(9)</w:t>
        </w:r>
      </w:hyperlink>
      <w:r>
        <w:t xml:space="preserve">).  Each principal component is orthogonal and captures different information.  </w:t>
      </w:r>
      <w:proofErr w:type="gramStart"/>
      <w:r>
        <w:t>Component are</w:t>
      </w:r>
      <w:proofErr w:type="gramEnd"/>
      <w:r>
        <w:t xml:space="preserve"> ranked </w:t>
      </w:r>
      <w:r>
        <w:lastRenderedPageBreak/>
        <w:t xml:space="preserve">such that the first component captures the most variant correlations between and within datasets. Each component can be represented in feature space as a vector </w:t>
      </w:r>
      <w:proofErr w:type="gramStart"/>
      <w:r>
        <w:t>of  all</w:t>
      </w:r>
      <w:proofErr w:type="gramEnd"/>
      <w:r>
        <w:t xml:space="preserve"> </w:t>
      </w:r>
      <w:proofErr w:type="spellStart"/>
      <w:r>
        <w:t>RNAseq</w:t>
      </w:r>
      <w:proofErr w:type="spellEnd"/>
      <w:r>
        <w:t>, protein, copy number features, the length of the vector will equal the union of all features. Thus features from diverse multi-omics data are transformed onto the same scale, allowing one to easily compute gene set scores over all features.  We have described this single sample gene set analysis (</w:t>
      </w:r>
      <w:proofErr w:type="spellStart"/>
      <w:r>
        <w:t>ssGSA</w:t>
      </w:r>
      <w:proofErr w:type="spellEnd"/>
      <w:r>
        <w:t xml:space="preserve">) </w:t>
      </w:r>
      <w:proofErr w:type="spellStart"/>
      <w:r>
        <w:t>aprpoach</w:t>
      </w:r>
      <w:proofErr w:type="spellEnd"/>
      <w:r>
        <w:t xml:space="preserve"> called multi-omics GSA (</w:t>
      </w:r>
      <w:proofErr w:type="spellStart"/>
      <w:r>
        <w:t>moGSA</w:t>
      </w:r>
      <w:proofErr w:type="spellEnd"/>
      <w:r>
        <w:t xml:space="preserve">), and in experiments using simulated data </w:t>
      </w:r>
      <w:proofErr w:type="spellStart"/>
      <w:r>
        <w:t>moGSA</w:t>
      </w:r>
      <w:proofErr w:type="spellEnd"/>
      <w:r>
        <w:t xml:space="preserve"> outperforms </w:t>
      </w:r>
      <w:proofErr w:type="spellStart"/>
      <w:r>
        <w:t>ssGSEA</w:t>
      </w:r>
      <w:proofErr w:type="spellEnd"/>
      <w:r>
        <w:t xml:space="preserve"> and GSVA </w:t>
      </w:r>
      <w:hyperlink r:id="rId25">
        <w:r>
          <w:t>(10)</w:t>
        </w:r>
      </w:hyperlink>
      <w:r>
        <w:rPr>
          <w:highlight w:val="white"/>
        </w:rPr>
        <w:t xml:space="preserve">.  </w:t>
      </w:r>
    </w:p>
    <w:p w14:paraId="1BF0CB1E" w14:textId="77777777" w:rsidR="00781821" w:rsidRDefault="00781821">
      <w:pPr>
        <w:pStyle w:val="normal0"/>
      </w:pPr>
    </w:p>
    <w:p w14:paraId="7FACF485" w14:textId="77777777" w:rsidR="00781821" w:rsidRDefault="00A91ED9">
      <w:pPr>
        <w:pStyle w:val="normal0"/>
      </w:pPr>
      <w:r>
        <w:t xml:space="preserve">We computed </w:t>
      </w:r>
      <w:proofErr w:type="spellStart"/>
      <w:r>
        <w:t>moGSA</w:t>
      </w:r>
      <w:proofErr w:type="spellEnd"/>
      <w:r>
        <w:t xml:space="preserve"> single sample </w:t>
      </w:r>
      <w:proofErr w:type="spellStart"/>
      <w:r>
        <w:t>genset</w:t>
      </w:r>
      <w:proofErr w:type="spellEnd"/>
      <w:r>
        <w:t xml:space="preserve"> scores for the 50 cancer hallmark gene sets </w:t>
      </w:r>
      <w:hyperlink r:id="rId26">
        <w:r>
          <w:t>(11)</w:t>
        </w:r>
      </w:hyperlink>
      <w:r>
        <w:t xml:space="preserve">. Ovarian cancer molecular subtypes have been described and were extracted from the supplementary data provided by </w:t>
      </w:r>
      <w:proofErr w:type="spellStart"/>
      <w:r>
        <w:t>Verhaak</w:t>
      </w:r>
      <w:proofErr w:type="spellEnd"/>
      <w:r>
        <w:t xml:space="preserve"> </w:t>
      </w:r>
      <w:r>
        <w:rPr>
          <w:i/>
        </w:rPr>
        <w:t>et al.</w:t>
      </w:r>
      <w:r>
        <w:t xml:space="preserve"> </w:t>
      </w:r>
      <w:hyperlink r:id="rId27">
        <w:r>
          <w:t>(12)</w:t>
        </w:r>
      </w:hyperlink>
      <w:r>
        <w:t xml:space="preserve">. </w:t>
      </w:r>
      <w:proofErr w:type="spellStart"/>
      <w:r>
        <w:t>Germline</w:t>
      </w:r>
      <w:proofErr w:type="spellEnd"/>
      <w:r>
        <w:t xml:space="preserve"> BRCA1 and BRCA2 status of TCGA ovarian tumor were extracted from the supplementary </w:t>
      </w:r>
      <w:proofErr w:type="spellStart"/>
      <w:r>
        <w:t>pdf</w:t>
      </w:r>
      <w:proofErr w:type="spellEnd"/>
      <w:r>
        <w:t xml:space="preserve"> file provided with the TCGA publication </w:t>
      </w:r>
      <w:hyperlink r:id="rId28">
        <w:r>
          <w:t>(13)</w:t>
        </w:r>
      </w:hyperlink>
      <w:r>
        <w:t xml:space="preserve">.  </w:t>
      </w:r>
    </w:p>
    <w:p w14:paraId="292D7C1E" w14:textId="77777777" w:rsidR="00781821" w:rsidRDefault="00781821">
      <w:pPr>
        <w:pStyle w:val="normal0"/>
      </w:pPr>
    </w:p>
    <w:p w14:paraId="50FF50A8" w14:textId="77777777" w:rsidR="00781821" w:rsidRDefault="00A91ED9">
      <w:pPr>
        <w:pStyle w:val="normal0"/>
      </w:pPr>
      <w:r>
        <w:t>Hierarchical cluster analysis of the Pearson correlation between cancer hallmark signature scores of the serous ovarian tumors identified 4 major clusters, which were broadly consistent with the published molecular subtypes in serous ovarian cancer (</w:t>
      </w:r>
      <w:r>
        <w:rPr>
          <w:b/>
        </w:rPr>
        <w:t>Supplemental Figure 1</w:t>
      </w:r>
      <w:r>
        <w:t>), but did not distinguish ovarian tumors by BRCA1 or BRCA2 mutation status (</w:t>
      </w:r>
      <w:r>
        <w:rPr>
          <w:b/>
        </w:rPr>
        <w:t>Supplemental Figure 2</w:t>
      </w:r>
      <w:r>
        <w:t xml:space="preserve">), which is consistent with published reports </w:t>
      </w:r>
      <w:hyperlink r:id="rId29">
        <w:r>
          <w:t>(12)</w:t>
        </w:r>
      </w:hyperlink>
      <w:r>
        <w:t xml:space="preserve">. The following code loads the ovarian cancer MultiAssayExperiment object, selects the needed assays and cases with complete data for those assays, then generates a list of matrices compatible as input to the </w:t>
      </w:r>
      <w:r>
        <w:rPr>
          <w:rFonts w:ascii="Courier New" w:eastAsia="Courier New" w:hAnsi="Courier New" w:cs="Courier New"/>
        </w:rPr>
        <w:t>moa</w:t>
      </w:r>
      <w:r>
        <w:t xml:space="preserve"> function from the </w:t>
      </w:r>
      <w:proofErr w:type="spellStart"/>
      <w:r>
        <w:rPr>
          <w:rFonts w:ascii="Courier New" w:eastAsia="Courier New" w:hAnsi="Courier New" w:cs="Courier New"/>
        </w:rPr>
        <w:t>mogsa</w:t>
      </w:r>
      <w:proofErr w:type="spellEnd"/>
      <w:r>
        <w:t xml:space="preserve"> package:</w:t>
      </w:r>
    </w:p>
    <w:p w14:paraId="6DC61AFD" w14:textId="77777777" w:rsidR="00781821" w:rsidRDefault="00781821">
      <w:pPr>
        <w:pStyle w:val="normal0"/>
      </w:pPr>
    </w:p>
    <w:p w14:paraId="64065392"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ovMAEO</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readRDS</w:t>
      </w:r>
      <w:proofErr w:type="spellEnd"/>
      <w:r>
        <w:rPr>
          <w:rFonts w:ascii="Courier New" w:eastAsia="Courier New" w:hAnsi="Courier New" w:cs="Courier New"/>
        </w:rPr>
        <w:t>(</w:t>
      </w:r>
      <w:proofErr w:type="spellStart"/>
      <w:r>
        <w:rPr>
          <w:rFonts w:ascii="Courier New" w:eastAsia="Courier New" w:hAnsi="Courier New" w:cs="Courier New"/>
        </w:rPr>
        <w:t>ovMAEO.rds</w:t>
      </w:r>
      <w:proofErr w:type="spellEnd"/>
      <w:r>
        <w:rPr>
          <w:rFonts w:ascii="Courier New" w:eastAsia="Courier New" w:hAnsi="Courier New" w:cs="Courier New"/>
        </w:rPr>
        <w:t>)</w:t>
      </w:r>
    </w:p>
    <w:p w14:paraId="61C0E506"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mogsaMAEO</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ovMAEO</w:t>
      </w:r>
      <w:proofErr w:type="spellEnd"/>
      <w:r>
        <w:rPr>
          <w:rFonts w:ascii="Courier New" w:eastAsia="Courier New" w:hAnsi="Courier New" w:cs="Courier New"/>
        </w:rPr>
        <w:t>[, , c(“RNASeq2GeneNorm", "</w:t>
      </w:r>
      <w:proofErr w:type="spellStart"/>
      <w:r>
        <w:rPr>
          <w:rFonts w:ascii="Courier New" w:eastAsia="Courier New" w:hAnsi="Courier New" w:cs="Courier New"/>
        </w:rPr>
        <w:t>RPPAArray</w:t>
      </w:r>
      <w:proofErr w:type="spellEnd"/>
      <w:r>
        <w:rPr>
          <w:rFonts w:ascii="Courier New" w:eastAsia="Courier New" w:hAnsi="Courier New" w:cs="Courier New"/>
        </w:rPr>
        <w:t>", "</w:t>
      </w:r>
      <w:proofErr w:type="spellStart"/>
      <w:r>
        <w:rPr>
          <w:rFonts w:ascii="Courier New" w:eastAsia="Courier New" w:hAnsi="Courier New" w:cs="Courier New"/>
        </w:rPr>
        <w:t>gistica</w:t>
      </w:r>
      <w:proofErr w:type="spellEnd"/>
      <w:r>
        <w:rPr>
          <w:rFonts w:ascii="Courier New" w:eastAsia="Courier New" w:hAnsi="Courier New" w:cs="Courier New"/>
        </w:rPr>
        <w:t>") ]</w:t>
      </w:r>
    </w:p>
    <w:p w14:paraId="401F00FB"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mogsaMAEO</w:t>
      </w:r>
      <w:proofErr w:type="spellEnd"/>
      <w:proofErr w:type="gramEnd"/>
      <w:r>
        <w:rPr>
          <w:rFonts w:ascii="Courier New" w:eastAsia="Courier New" w:hAnsi="Courier New" w:cs="Courier New"/>
        </w:rPr>
        <w:t xml:space="preserve"> &lt;- </w:t>
      </w:r>
      <w:proofErr w:type="spellStart"/>
      <w:r>
        <w:rPr>
          <w:rFonts w:ascii="Courier New" w:eastAsia="Courier New" w:hAnsi="Courier New" w:cs="Courier New"/>
        </w:rPr>
        <w:t>intersectColumns</w:t>
      </w:r>
      <w:proofErr w:type="spellEnd"/>
      <w:r>
        <w:rPr>
          <w:rFonts w:ascii="Courier New" w:eastAsia="Courier New" w:hAnsi="Courier New" w:cs="Courier New"/>
        </w:rPr>
        <w:t>(</w:t>
      </w:r>
      <w:proofErr w:type="spellStart"/>
      <w:r>
        <w:rPr>
          <w:rFonts w:ascii="Courier New" w:eastAsia="Courier New" w:hAnsi="Courier New" w:cs="Courier New"/>
        </w:rPr>
        <w:t>mogsaMAEO</w:t>
      </w:r>
      <w:proofErr w:type="spellEnd"/>
      <w:r>
        <w:rPr>
          <w:rFonts w:ascii="Courier New" w:eastAsia="Courier New" w:hAnsi="Courier New" w:cs="Courier New"/>
        </w:rPr>
        <w:t>)</w:t>
      </w:r>
    </w:p>
    <w:p w14:paraId="007562F2"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assayMats</w:t>
      </w:r>
      <w:proofErr w:type="spellEnd"/>
      <w:proofErr w:type="gramEnd"/>
      <w:r>
        <w:rPr>
          <w:rFonts w:ascii="Courier New" w:eastAsia="Courier New" w:hAnsi="Courier New" w:cs="Courier New"/>
        </w:rPr>
        <w:t xml:space="preserve"> &lt;- assays(</w:t>
      </w:r>
      <w:proofErr w:type="spellStart"/>
      <w:r>
        <w:rPr>
          <w:rFonts w:ascii="Courier New" w:eastAsia="Courier New" w:hAnsi="Courier New" w:cs="Courier New"/>
        </w:rPr>
        <w:t>mogsaMAEO</w:t>
      </w:r>
      <w:proofErr w:type="spellEnd"/>
      <w:r>
        <w:rPr>
          <w:rFonts w:ascii="Courier New" w:eastAsia="Courier New" w:hAnsi="Courier New" w:cs="Courier New"/>
        </w:rPr>
        <w:t>)</w:t>
      </w:r>
    </w:p>
    <w:p w14:paraId="32619583" w14:textId="77777777" w:rsidR="00781821" w:rsidRDefault="00A91ED9">
      <w:pPr>
        <w:pStyle w:val="normal0"/>
        <w:rPr>
          <w:rFonts w:ascii="Courier New" w:eastAsia="Courier New" w:hAnsi="Courier New" w:cs="Courier New"/>
        </w:rPr>
      </w:pPr>
      <w:proofErr w:type="spellStart"/>
      <w:proofErr w:type="gramStart"/>
      <w:r>
        <w:rPr>
          <w:rFonts w:ascii="Courier New" w:eastAsia="Courier New" w:hAnsi="Courier New" w:cs="Courier New"/>
        </w:rPr>
        <w:t>ov.moa</w:t>
      </w:r>
      <w:proofErr w:type="spellEnd"/>
      <w:proofErr w:type="gramEnd"/>
      <w:r>
        <w:rPr>
          <w:rFonts w:ascii="Courier New" w:eastAsia="Courier New" w:hAnsi="Courier New" w:cs="Courier New"/>
        </w:rPr>
        <w:t xml:space="preserve"> &lt;- moa(</w:t>
      </w:r>
      <w:proofErr w:type="spellStart"/>
      <w:r>
        <w:rPr>
          <w:rFonts w:ascii="Courier New" w:eastAsia="Courier New" w:hAnsi="Courier New" w:cs="Courier New"/>
        </w:rPr>
        <w:t>assayMats</w:t>
      </w:r>
      <w:proofErr w:type="spellEnd"/>
      <w:r>
        <w:rPr>
          <w:rFonts w:ascii="Courier New" w:eastAsia="Courier New" w:hAnsi="Courier New" w:cs="Courier New"/>
        </w:rPr>
        <w:t xml:space="preserve">, </w:t>
      </w:r>
      <w:proofErr w:type="spellStart"/>
      <w:r>
        <w:rPr>
          <w:rFonts w:ascii="Courier New" w:eastAsia="Courier New" w:hAnsi="Courier New" w:cs="Courier New"/>
        </w:rPr>
        <w:t>proc.row</w:t>
      </w:r>
      <w:proofErr w:type="spellEnd"/>
      <w:r>
        <w:rPr>
          <w:rFonts w:ascii="Courier New" w:eastAsia="Courier New" w:hAnsi="Courier New" w:cs="Courier New"/>
        </w:rPr>
        <w:t xml:space="preserve"> = “center_ssq1”, </w:t>
      </w:r>
      <w:proofErr w:type="spellStart"/>
      <w:r>
        <w:rPr>
          <w:rFonts w:ascii="Courier New" w:eastAsia="Courier New" w:hAnsi="Courier New" w:cs="Courier New"/>
        </w:rPr>
        <w:t>w.data</w:t>
      </w:r>
      <w:proofErr w:type="spellEnd"/>
      <w:r>
        <w:rPr>
          <w:rFonts w:ascii="Courier New" w:eastAsia="Courier New" w:hAnsi="Courier New" w:cs="Courier New"/>
        </w:rPr>
        <w:t xml:space="preserve"> = “inertia”)</w:t>
      </w:r>
    </w:p>
    <w:p w14:paraId="03B89F0E" w14:textId="77777777" w:rsidR="00C066F2" w:rsidRDefault="00C066F2">
      <w:pPr>
        <w:rPr>
          <w:b/>
        </w:rPr>
      </w:pPr>
      <w:r>
        <w:rPr>
          <w:b/>
        </w:rPr>
        <w:br w:type="page"/>
      </w:r>
    </w:p>
    <w:p w14:paraId="64B193E3" w14:textId="3F42E0D8" w:rsidR="00781821" w:rsidRDefault="00A91ED9">
      <w:pPr>
        <w:pStyle w:val="normal0"/>
      </w:pPr>
      <w:proofErr w:type="gramStart"/>
      <w:r>
        <w:rPr>
          <w:b/>
        </w:rPr>
        <w:lastRenderedPageBreak/>
        <w:t>Supplemental Figure 1.</w:t>
      </w:r>
      <w:proofErr w:type="gramEnd"/>
      <w:r>
        <w:rPr>
          <w:b/>
        </w:rPr>
        <w:t xml:space="preserve"> </w:t>
      </w:r>
      <w:proofErr w:type="spellStart"/>
      <w:r>
        <w:rPr>
          <w:b/>
        </w:rPr>
        <w:t>Mogsa</w:t>
      </w:r>
      <w:proofErr w:type="spellEnd"/>
      <w:r>
        <w:rPr>
          <w:b/>
        </w:rPr>
        <w:t xml:space="preserve"> enrichment scores for Hallmark gene sets</w:t>
      </w:r>
      <w:r>
        <w:t>, calculated from platforms in the TCGA ovarian cancer cohort. The top color bar is coded by subtype.</w:t>
      </w:r>
    </w:p>
    <w:p w14:paraId="0B8353E2" w14:textId="77777777" w:rsidR="00781821" w:rsidRDefault="00781821">
      <w:pPr>
        <w:pStyle w:val="normal0"/>
      </w:pPr>
    </w:p>
    <w:p w14:paraId="4835A9D1" w14:textId="77777777" w:rsidR="00781821" w:rsidRDefault="00781821">
      <w:pPr>
        <w:pStyle w:val="normal0"/>
      </w:pPr>
    </w:p>
    <w:p w14:paraId="4DC090EA" w14:textId="77777777" w:rsidR="00781821" w:rsidRDefault="00A91ED9">
      <w:pPr>
        <w:pStyle w:val="normal0"/>
      </w:pPr>
      <w:r>
        <w:rPr>
          <w:noProof/>
        </w:rPr>
        <w:drawing>
          <wp:inline distT="114300" distB="114300" distL="114300" distR="114300" wp14:anchorId="2AF31825" wp14:editId="4AF1FD83">
            <wp:extent cx="5943600" cy="4457700"/>
            <wp:effectExtent l="0" t="0" r="0" b="0"/>
            <wp:docPr id="3" name="image6.png" descr="subtypesHeat.png"/>
            <wp:cNvGraphicFramePr/>
            <a:graphic xmlns:a="http://schemas.openxmlformats.org/drawingml/2006/main">
              <a:graphicData uri="http://schemas.openxmlformats.org/drawingml/2006/picture">
                <pic:pic xmlns:pic="http://schemas.openxmlformats.org/drawingml/2006/picture">
                  <pic:nvPicPr>
                    <pic:cNvPr id="0" name="image6.png" descr="subtypesHeat.png"/>
                    <pic:cNvPicPr preferRelativeResize="0"/>
                  </pic:nvPicPr>
                  <pic:blipFill>
                    <a:blip r:embed="rId30"/>
                    <a:srcRect/>
                    <a:stretch>
                      <a:fillRect/>
                    </a:stretch>
                  </pic:blipFill>
                  <pic:spPr>
                    <a:xfrm>
                      <a:off x="0" y="0"/>
                      <a:ext cx="5943600" cy="4457700"/>
                    </a:xfrm>
                    <a:prstGeom prst="rect">
                      <a:avLst/>
                    </a:prstGeom>
                    <a:ln/>
                  </pic:spPr>
                </pic:pic>
              </a:graphicData>
            </a:graphic>
          </wp:inline>
        </w:drawing>
      </w:r>
    </w:p>
    <w:p w14:paraId="6F84409D" w14:textId="77777777" w:rsidR="00781821" w:rsidRDefault="00781821">
      <w:pPr>
        <w:pStyle w:val="normal0"/>
      </w:pPr>
    </w:p>
    <w:p w14:paraId="3FAFBE8C" w14:textId="77777777" w:rsidR="00781821" w:rsidRDefault="00781821">
      <w:pPr>
        <w:pStyle w:val="normal0"/>
        <w:rPr>
          <w:b/>
        </w:rPr>
      </w:pPr>
    </w:p>
    <w:p w14:paraId="542DCFE8" w14:textId="77777777" w:rsidR="00781821" w:rsidRDefault="00A91ED9">
      <w:pPr>
        <w:pStyle w:val="normal0"/>
        <w:rPr>
          <w:b/>
        </w:rPr>
      </w:pPr>
      <w:r>
        <w:br w:type="page"/>
      </w:r>
    </w:p>
    <w:p w14:paraId="7C8DE952" w14:textId="77777777" w:rsidR="00781821" w:rsidRDefault="00A91ED9">
      <w:pPr>
        <w:pStyle w:val="normal0"/>
      </w:pPr>
      <w:proofErr w:type="gramStart"/>
      <w:r>
        <w:rPr>
          <w:b/>
        </w:rPr>
        <w:lastRenderedPageBreak/>
        <w:t>Supplemental Figure 2.</w:t>
      </w:r>
      <w:proofErr w:type="gramEnd"/>
      <w:r>
        <w:rPr>
          <w:b/>
        </w:rPr>
        <w:t xml:space="preserve"> </w:t>
      </w:r>
      <w:proofErr w:type="spellStart"/>
      <w:r>
        <w:rPr>
          <w:b/>
        </w:rPr>
        <w:t>Mogsa</w:t>
      </w:r>
      <w:proofErr w:type="spellEnd"/>
      <w:r>
        <w:rPr>
          <w:b/>
        </w:rPr>
        <w:t xml:space="preserve"> enrichment scores for Hallmark gene sets</w:t>
      </w:r>
      <w:r>
        <w:t>, calculated from platforms in the TCGA ovarian cancer cohort. The top color bar is coded by BRCA mutation status.</w:t>
      </w:r>
    </w:p>
    <w:p w14:paraId="6B3CDA29" w14:textId="77777777" w:rsidR="00781821" w:rsidRDefault="00781821">
      <w:pPr>
        <w:pStyle w:val="normal0"/>
      </w:pPr>
    </w:p>
    <w:p w14:paraId="188A3BFA" w14:textId="77777777" w:rsidR="00781821" w:rsidRDefault="00781821">
      <w:pPr>
        <w:pStyle w:val="normal0"/>
      </w:pPr>
    </w:p>
    <w:p w14:paraId="0A2B9AA6" w14:textId="77777777" w:rsidR="00781821" w:rsidRDefault="00A91ED9">
      <w:pPr>
        <w:pStyle w:val="normal0"/>
      </w:pPr>
      <w:r>
        <w:rPr>
          <w:noProof/>
        </w:rPr>
        <w:drawing>
          <wp:inline distT="114300" distB="114300" distL="114300" distR="114300" wp14:anchorId="40975BAA" wp14:editId="09A450C4">
            <wp:extent cx="5943600" cy="4457700"/>
            <wp:effectExtent l="0" t="0" r="0" b="0"/>
            <wp:docPr id="1" name="image4.png" descr="mutationTypes.png"/>
            <wp:cNvGraphicFramePr/>
            <a:graphic xmlns:a="http://schemas.openxmlformats.org/drawingml/2006/main">
              <a:graphicData uri="http://schemas.openxmlformats.org/drawingml/2006/picture">
                <pic:pic xmlns:pic="http://schemas.openxmlformats.org/drawingml/2006/picture">
                  <pic:nvPicPr>
                    <pic:cNvPr id="0" name="image4.png" descr="mutationTypes.png"/>
                    <pic:cNvPicPr preferRelativeResize="0"/>
                  </pic:nvPicPr>
                  <pic:blipFill>
                    <a:blip r:embed="rId31"/>
                    <a:srcRect/>
                    <a:stretch>
                      <a:fillRect/>
                    </a:stretch>
                  </pic:blipFill>
                  <pic:spPr>
                    <a:xfrm>
                      <a:off x="0" y="0"/>
                      <a:ext cx="5943600" cy="4457700"/>
                    </a:xfrm>
                    <a:prstGeom prst="rect">
                      <a:avLst/>
                    </a:prstGeom>
                    <a:ln/>
                  </pic:spPr>
                </pic:pic>
              </a:graphicData>
            </a:graphic>
          </wp:inline>
        </w:drawing>
      </w:r>
    </w:p>
    <w:p w14:paraId="45D887F4" w14:textId="77777777" w:rsidR="00781821" w:rsidRDefault="00781821">
      <w:pPr>
        <w:pStyle w:val="normal0"/>
      </w:pPr>
    </w:p>
    <w:p w14:paraId="1EE47794" w14:textId="77777777" w:rsidR="00781821" w:rsidRDefault="00781821">
      <w:pPr>
        <w:pStyle w:val="normal0"/>
      </w:pPr>
    </w:p>
    <w:p w14:paraId="3DCC3DBC" w14:textId="77777777" w:rsidR="00781821" w:rsidRDefault="00781821">
      <w:pPr>
        <w:pStyle w:val="normal0"/>
        <w:widowControl/>
        <w:rPr>
          <w:b/>
        </w:rPr>
      </w:pPr>
    </w:p>
    <w:p w14:paraId="5F692E63" w14:textId="77777777" w:rsidR="00781821" w:rsidRDefault="00A91ED9">
      <w:pPr>
        <w:pStyle w:val="normal0"/>
        <w:widowControl/>
        <w:rPr>
          <w:b/>
        </w:rPr>
      </w:pPr>
      <w:r>
        <w:br w:type="page"/>
      </w:r>
    </w:p>
    <w:p w14:paraId="612564AE" w14:textId="77777777" w:rsidR="00781821" w:rsidRDefault="00A91ED9">
      <w:pPr>
        <w:pStyle w:val="normal0"/>
        <w:widowControl/>
      </w:pPr>
      <w:proofErr w:type="gramStart"/>
      <w:r>
        <w:rPr>
          <w:b/>
        </w:rPr>
        <w:lastRenderedPageBreak/>
        <w:t>Supplemental Figure 3.</w:t>
      </w:r>
      <w:proofErr w:type="gramEnd"/>
      <w:r>
        <w:rPr>
          <w:b/>
        </w:rPr>
        <w:t xml:space="preserve"> DNA copy number, mRNA, and protein</w:t>
      </w:r>
      <w:r>
        <w:t xml:space="preserve"> levels of Enabled Homolog (Drosophila) (</w:t>
      </w:r>
      <w:r>
        <w:rPr>
          <w:i/>
        </w:rPr>
        <w:t>ENAH</w:t>
      </w:r>
      <w:r>
        <w:t>) gene in the NCI-60 cell lines show much higher correlation between mRNA and protein abundance (r=0.71), than between mRNA or protein with copy number.</w:t>
      </w:r>
    </w:p>
    <w:p w14:paraId="72944372" w14:textId="77777777" w:rsidR="00781821" w:rsidRDefault="00781821">
      <w:pPr>
        <w:pStyle w:val="normal0"/>
        <w:widowControl/>
      </w:pPr>
    </w:p>
    <w:p w14:paraId="3CEC5D42" w14:textId="77777777" w:rsidR="00781821" w:rsidRDefault="00781821">
      <w:pPr>
        <w:pStyle w:val="normal0"/>
        <w:widowControl/>
      </w:pPr>
    </w:p>
    <w:p w14:paraId="52C275BB" w14:textId="77777777" w:rsidR="00781821" w:rsidRDefault="00A91ED9">
      <w:pPr>
        <w:pStyle w:val="normal0"/>
        <w:widowControl/>
      </w:pPr>
      <w:r>
        <w:rPr>
          <w:noProof/>
        </w:rPr>
        <w:drawing>
          <wp:inline distT="114300" distB="114300" distL="114300" distR="114300" wp14:anchorId="7FBB3808" wp14:editId="4C617A06">
            <wp:extent cx="4357688" cy="4357688"/>
            <wp:effectExtent l="0" t="0" r="0" b="0"/>
            <wp:docPr id="2" name="image5.png" descr="nci60cell.png"/>
            <wp:cNvGraphicFramePr/>
            <a:graphic xmlns:a="http://schemas.openxmlformats.org/drawingml/2006/main">
              <a:graphicData uri="http://schemas.openxmlformats.org/drawingml/2006/picture">
                <pic:pic xmlns:pic="http://schemas.openxmlformats.org/drawingml/2006/picture">
                  <pic:nvPicPr>
                    <pic:cNvPr id="0" name="image5.png" descr="nci60cell.png"/>
                    <pic:cNvPicPr preferRelativeResize="0"/>
                  </pic:nvPicPr>
                  <pic:blipFill>
                    <a:blip r:embed="rId32"/>
                    <a:srcRect/>
                    <a:stretch>
                      <a:fillRect/>
                    </a:stretch>
                  </pic:blipFill>
                  <pic:spPr>
                    <a:xfrm>
                      <a:off x="0" y="0"/>
                      <a:ext cx="4357688" cy="4357688"/>
                    </a:xfrm>
                    <a:prstGeom prst="rect">
                      <a:avLst/>
                    </a:prstGeom>
                    <a:ln/>
                  </pic:spPr>
                </pic:pic>
              </a:graphicData>
            </a:graphic>
          </wp:inline>
        </w:drawing>
      </w:r>
    </w:p>
    <w:p w14:paraId="092B6F16" w14:textId="77777777" w:rsidR="00781821" w:rsidRDefault="00781821">
      <w:pPr>
        <w:pStyle w:val="normal0"/>
        <w:widowControl/>
      </w:pPr>
    </w:p>
    <w:p w14:paraId="625164E6" w14:textId="77777777" w:rsidR="00781821" w:rsidRDefault="00A91ED9">
      <w:pPr>
        <w:pStyle w:val="normal0"/>
        <w:widowControl/>
      </w:pPr>
      <w:r>
        <w:br w:type="page"/>
      </w:r>
    </w:p>
    <w:p w14:paraId="6798B773" w14:textId="77777777" w:rsidR="00781821" w:rsidRDefault="00781821">
      <w:pPr>
        <w:pStyle w:val="normal0"/>
        <w:widowControl/>
        <w:jc w:val="left"/>
      </w:pPr>
    </w:p>
    <w:tbl>
      <w:tblPr>
        <w:tblStyle w:val="a"/>
        <w:tblW w:w="10545"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2385"/>
        <w:gridCol w:w="4425"/>
        <w:gridCol w:w="2250"/>
        <w:gridCol w:w="1485"/>
      </w:tblGrid>
      <w:tr w:rsidR="00781821" w14:paraId="0E6EA9D4" w14:textId="77777777">
        <w:trPr>
          <w:trHeight w:val="620"/>
        </w:trPr>
        <w:tc>
          <w:tcPr>
            <w:tcW w:w="10545" w:type="dxa"/>
            <w:gridSpan w:val="4"/>
            <w:tcBorders>
              <w:top w:val="nil"/>
              <w:left w:val="nil"/>
              <w:bottom w:val="single" w:sz="6" w:space="0" w:color="000000"/>
              <w:right w:val="nil"/>
            </w:tcBorders>
            <w:tcMar>
              <w:top w:w="40" w:type="dxa"/>
              <w:left w:w="40" w:type="dxa"/>
              <w:bottom w:w="40" w:type="dxa"/>
              <w:right w:w="40" w:type="dxa"/>
            </w:tcMar>
            <w:vAlign w:val="center"/>
          </w:tcPr>
          <w:p w14:paraId="68C2A632" w14:textId="77777777" w:rsidR="00781821" w:rsidRDefault="00A91ED9">
            <w:pPr>
              <w:pStyle w:val="normal0"/>
              <w:widowControl/>
              <w:jc w:val="left"/>
              <w:rPr>
                <w:sz w:val="20"/>
                <w:szCs w:val="20"/>
              </w:rPr>
            </w:pPr>
            <w:r>
              <w:rPr>
                <w:b/>
                <w:sz w:val="20"/>
                <w:szCs w:val="20"/>
              </w:rPr>
              <w:t>Supplemental Table 1</w:t>
            </w:r>
            <w:r>
              <w:rPr>
                <w:sz w:val="20"/>
                <w:szCs w:val="20"/>
              </w:rPr>
              <w:t xml:space="preserve">. Comparison between MultiAssayExperiment and </w:t>
            </w:r>
            <w:proofErr w:type="spellStart"/>
            <w:r>
              <w:rPr>
                <w:sz w:val="20"/>
                <w:szCs w:val="20"/>
              </w:rPr>
              <w:t>MultiDataSet</w:t>
            </w:r>
            <w:proofErr w:type="spellEnd"/>
          </w:p>
        </w:tc>
      </w:tr>
      <w:tr w:rsidR="00781821" w14:paraId="181F2456" w14:textId="77777777">
        <w:trPr>
          <w:trHeight w:val="300"/>
        </w:trPr>
        <w:tc>
          <w:tcPr>
            <w:tcW w:w="2385" w:type="dxa"/>
            <w:tcBorders>
              <w:top w:val="nil"/>
              <w:left w:val="nil"/>
              <w:bottom w:val="nil"/>
              <w:right w:val="nil"/>
            </w:tcBorders>
            <w:tcMar>
              <w:top w:w="40" w:type="dxa"/>
              <w:left w:w="40" w:type="dxa"/>
              <w:bottom w:w="40" w:type="dxa"/>
              <w:right w:w="40" w:type="dxa"/>
            </w:tcMar>
            <w:vAlign w:val="bottom"/>
          </w:tcPr>
          <w:p w14:paraId="4675DF70" w14:textId="77777777" w:rsidR="00781821" w:rsidRDefault="00781821">
            <w:pPr>
              <w:pStyle w:val="normal0"/>
              <w:widowControl/>
              <w:jc w:val="left"/>
              <w:rPr>
                <w:sz w:val="20"/>
                <w:szCs w:val="20"/>
              </w:rPr>
            </w:pPr>
          </w:p>
        </w:tc>
        <w:tc>
          <w:tcPr>
            <w:tcW w:w="4425" w:type="dxa"/>
            <w:tcBorders>
              <w:top w:val="nil"/>
              <w:left w:val="nil"/>
              <w:bottom w:val="nil"/>
              <w:right w:val="nil"/>
            </w:tcBorders>
            <w:tcMar>
              <w:top w:w="40" w:type="dxa"/>
              <w:left w:w="40" w:type="dxa"/>
              <w:bottom w:w="40" w:type="dxa"/>
              <w:right w:w="40" w:type="dxa"/>
            </w:tcMar>
            <w:vAlign w:val="bottom"/>
          </w:tcPr>
          <w:p w14:paraId="3309B915" w14:textId="77777777" w:rsidR="00781821" w:rsidRDefault="00781821">
            <w:pPr>
              <w:pStyle w:val="normal0"/>
              <w:widowControl/>
              <w:jc w:val="left"/>
              <w:rPr>
                <w:sz w:val="20"/>
                <w:szCs w:val="20"/>
              </w:rPr>
            </w:pPr>
          </w:p>
        </w:tc>
        <w:tc>
          <w:tcPr>
            <w:tcW w:w="3735" w:type="dxa"/>
            <w:gridSpan w:val="2"/>
            <w:tcBorders>
              <w:top w:val="nil"/>
              <w:left w:val="nil"/>
              <w:bottom w:val="single" w:sz="6" w:space="0" w:color="000000"/>
              <w:right w:val="nil"/>
            </w:tcBorders>
            <w:tcMar>
              <w:top w:w="40" w:type="dxa"/>
              <w:left w:w="40" w:type="dxa"/>
              <w:bottom w:w="40" w:type="dxa"/>
              <w:right w:w="40" w:type="dxa"/>
            </w:tcMar>
            <w:vAlign w:val="bottom"/>
          </w:tcPr>
          <w:p w14:paraId="170E3BF7" w14:textId="77777777" w:rsidR="00781821" w:rsidRDefault="00A91ED9">
            <w:pPr>
              <w:pStyle w:val="normal0"/>
              <w:widowControl/>
              <w:jc w:val="center"/>
              <w:rPr>
                <w:sz w:val="20"/>
                <w:szCs w:val="20"/>
              </w:rPr>
            </w:pPr>
            <w:r>
              <w:rPr>
                <w:b/>
                <w:sz w:val="20"/>
                <w:szCs w:val="20"/>
              </w:rPr>
              <w:t>Package</w:t>
            </w:r>
          </w:p>
        </w:tc>
      </w:tr>
      <w:tr w:rsidR="00781821" w14:paraId="6D4AB768" w14:textId="77777777">
        <w:trPr>
          <w:trHeight w:val="300"/>
        </w:trPr>
        <w:tc>
          <w:tcPr>
            <w:tcW w:w="2385" w:type="dxa"/>
            <w:tcBorders>
              <w:top w:val="nil"/>
              <w:left w:val="nil"/>
              <w:bottom w:val="single" w:sz="6" w:space="0" w:color="000000"/>
              <w:right w:val="nil"/>
            </w:tcBorders>
            <w:tcMar>
              <w:top w:w="40" w:type="dxa"/>
              <w:left w:w="40" w:type="dxa"/>
              <w:bottom w:w="40" w:type="dxa"/>
              <w:right w:w="40" w:type="dxa"/>
            </w:tcMar>
            <w:vAlign w:val="bottom"/>
          </w:tcPr>
          <w:p w14:paraId="7DC1B428" w14:textId="77777777" w:rsidR="00781821" w:rsidRDefault="00A91ED9">
            <w:pPr>
              <w:pStyle w:val="normal0"/>
              <w:widowControl/>
              <w:jc w:val="left"/>
              <w:rPr>
                <w:sz w:val="20"/>
                <w:szCs w:val="20"/>
              </w:rPr>
            </w:pPr>
            <w:r>
              <w:rPr>
                <w:b/>
                <w:sz w:val="20"/>
                <w:szCs w:val="20"/>
              </w:rPr>
              <w:t>Feature</w:t>
            </w:r>
          </w:p>
        </w:tc>
        <w:tc>
          <w:tcPr>
            <w:tcW w:w="4425" w:type="dxa"/>
            <w:tcBorders>
              <w:top w:val="nil"/>
              <w:left w:val="nil"/>
              <w:bottom w:val="single" w:sz="6" w:space="0" w:color="000000"/>
              <w:right w:val="nil"/>
            </w:tcBorders>
            <w:tcMar>
              <w:top w:w="40" w:type="dxa"/>
              <w:left w:w="40" w:type="dxa"/>
              <w:bottom w:w="40" w:type="dxa"/>
              <w:right w:w="40" w:type="dxa"/>
            </w:tcMar>
            <w:vAlign w:val="bottom"/>
          </w:tcPr>
          <w:p w14:paraId="0B295639" w14:textId="77777777" w:rsidR="00781821" w:rsidRDefault="00A91ED9">
            <w:pPr>
              <w:pStyle w:val="normal0"/>
              <w:widowControl/>
              <w:jc w:val="left"/>
              <w:rPr>
                <w:sz w:val="20"/>
                <w:szCs w:val="20"/>
              </w:rPr>
            </w:pPr>
            <w:r>
              <w:rPr>
                <w:b/>
                <w:sz w:val="20"/>
                <w:szCs w:val="20"/>
              </w:rPr>
              <w:t>Description</w:t>
            </w:r>
          </w:p>
        </w:tc>
        <w:tc>
          <w:tcPr>
            <w:tcW w:w="2250" w:type="dxa"/>
            <w:tcBorders>
              <w:top w:val="nil"/>
              <w:left w:val="nil"/>
              <w:bottom w:val="single" w:sz="6" w:space="0" w:color="000000"/>
              <w:right w:val="nil"/>
            </w:tcBorders>
            <w:tcMar>
              <w:top w:w="40" w:type="dxa"/>
              <w:left w:w="40" w:type="dxa"/>
              <w:bottom w:w="40" w:type="dxa"/>
              <w:right w:w="40" w:type="dxa"/>
            </w:tcMar>
            <w:vAlign w:val="bottom"/>
          </w:tcPr>
          <w:p w14:paraId="4BDD8D91" w14:textId="77777777" w:rsidR="00781821" w:rsidRDefault="00A91ED9">
            <w:pPr>
              <w:pStyle w:val="normal0"/>
              <w:widowControl/>
              <w:jc w:val="center"/>
              <w:rPr>
                <w:sz w:val="20"/>
                <w:szCs w:val="20"/>
              </w:rPr>
            </w:pPr>
            <w:r>
              <w:rPr>
                <w:b/>
                <w:sz w:val="20"/>
                <w:szCs w:val="20"/>
              </w:rPr>
              <w:t>MultiAssayExperiment</w:t>
            </w:r>
          </w:p>
        </w:tc>
        <w:tc>
          <w:tcPr>
            <w:tcW w:w="1485" w:type="dxa"/>
            <w:tcBorders>
              <w:top w:val="nil"/>
              <w:left w:val="nil"/>
              <w:bottom w:val="single" w:sz="6" w:space="0" w:color="000000"/>
              <w:right w:val="nil"/>
            </w:tcBorders>
            <w:tcMar>
              <w:top w:w="40" w:type="dxa"/>
              <w:left w:w="40" w:type="dxa"/>
              <w:bottom w:w="40" w:type="dxa"/>
              <w:right w:w="40" w:type="dxa"/>
            </w:tcMar>
            <w:vAlign w:val="bottom"/>
          </w:tcPr>
          <w:p w14:paraId="0D8CCABF" w14:textId="77777777" w:rsidR="00781821" w:rsidRDefault="00A91ED9">
            <w:pPr>
              <w:pStyle w:val="normal0"/>
              <w:widowControl/>
              <w:jc w:val="center"/>
              <w:rPr>
                <w:sz w:val="20"/>
                <w:szCs w:val="20"/>
              </w:rPr>
            </w:pPr>
            <w:proofErr w:type="spellStart"/>
            <w:r>
              <w:rPr>
                <w:b/>
                <w:sz w:val="20"/>
                <w:szCs w:val="20"/>
              </w:rPr>
              <w:t>MultiDataSet</w:t>
            </w:r>
            <w:proofErr w:type="spellEnd"/>
          </w:p>
        </w:tc>
      </w:tr>
      <w:tr w:rsidR="00781821" w14:paraId="1122946D" w14:textId="77777777">
        <w:trPr>
          <w:trHeight w:val="360"/>
        </w:trPr>
        <w:tc>
          <w:tcPr>
            <w:tcW w:w="2385" w:type="dxa"/>
            <w:tcBorders>
              <w:top w:val="nil"/>
              <w:left w:val="nil"/>
              <w:bottom w:val="nil"/>
              <w:right w:val="nil"/>
            </w:tcBorders>
            <w:tcMar>
              <w:top w:w="40" w:type="dxa"/>
              <w:left w:w="40" w:type="dxa"/>
              <w:bottom w:w="40" w:type="dxa"/>
              <w:right w:w="40" w:type="dxa"/>
            </w:tcMar>
            <w:vAlign w:val="center"/>
          </w:tcPr>
          <w:p w14:paraId="666B0F8F" w14:textId="77777777" w:rsidR="00781821" w:rsidRDefault="00A91ED9">
            <w:pPr>
              <w:pStyle w:val="normal0"/>
              <w:widowControl/>
              <w:spacing w:line="240" w:lineRule="auto"/>
              <w:jc w:val="left"/>
              <w:rPr>
                <w:sz w:val="20"/>
                <w:szCs w:val="20"/>
              </w:rPr>
            </w:pPr>
            <w:r>
              <w:t>Integrative representation</w:t>
            </w:r>
          </w:p>
        </w:tc>
        <w:tc>
          <w:tcPr>
            <w:tcW w:w="4425" w:type="dxa"/>
            <w:tcBorders>
              <w:top w:val="nil"/>
              <w:left w:val="nil"/>
              <w:bottom w:val="nil"/>
              <w:right w:val="nil"/>
            </w:tcBorders>
            <w:tcMar>
              <w:top w:w="40" w:type="dxa"/>
              <w:left w:w="40" w:type="dxa"/>
              <w:bottom w:w="40" w:type="dxa"/>
              <w:right w:w="40" w:type="dxa"/>
            </w:tcMar>
            <w:vAlign w:val="center"/>
          </w:tcPr>
          <w:p w14:paraId="3440C7AD" w14:textId="77777777" w:rsidR="00781821" w:rsidRDefault="00A91ED9">
            <w:pPr>
              <w:pStyle w:val="normal0"/>
              <w:widowControl/>
              <w:spacing w:line="240" w:lineRule="auto"/>
              <w:jc w:val="left"/>
              <w:rPr>
                <w:sz w:val="20"/>
                <w:szCs w:val="20"/>
              </w:rPr>
            </w:pPr>
            <w:r>
              <w:rPr>
                <w:sz w:val="20"/>
                <w:szCs w:val="20"/>
              </w:rPr>
              <w:t>Allows the analysis of multiple data types</w:t>
            </w:r>
          </w:p>
        </w:tc>
        <w:tc>
          <w:tcPr>
            <w:tcW w:w="2250" w:type="dxa"/>
            <w:tcBorders>
              <w:top w:val="nil"/>
              <w:left w:val="nil"/>
              <w:bottom w:val="nil"/>
              <w:right w:val="nil"/>
            </w:tcBorders>
            <w:tcMar>
              <w:top w:w="40" w:type="dxa"/>
              <w:left w:w="40" w:type="dxa"/>
              <w:bottom w:w="40" w:type="dxa"/>
              <w:right w:w="40" w:type="dxa"/>
            </w:tcMar>
            <w:vAlign w:val="center"/>
          </w:tcPr>
          <w:p w14:paraId="343912D0"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c>
          <w:tcPr>
            <w:tcW w:w="1485" w:type="dxa"/>
            <w:tcBorders>
              <w:top w:val="nil"/>
              <w:left w:val="nil"/>
              <w:bottom w:val="nil"/>
              <w:right w:val="nil"/>
            </w:tcBorders>
            <w:tcMar>
              <w:top w:w="40" w:type="dxa"/>
              <w:left w:w="40" w:type="dxa"/>
              <w:bottom w:w="40" w:type="dxa"/>
              <w:right w:w="40" w:type="dxa"/>
            </w:tcMar>
            <w:vAlign w:val="center"/>
          </w:tcPr>
          <w:p w14:paraId="0C937CAC"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r>
      <w:tr w:rsidR="00781821" w14:paraId="098BE67A" w14:textId="77777777">
        <w:trPr>
          <w:trHeight w:val="60"/>
        </w:trPr>
        <w:tc>
          <w:tcPr>
            <w:tcW w:w="2385" w:type="dxa"/>
            <w:tcBorders>
              <w:top w:val="nil"/>
              <w:left w:val="nil"/>
              <w:bottom w:val="nil"/>
              <w:right w:val="nil"/>
            </w:tcBorders>
            <w:tcMar>
              <w:top w:w="40" w:type="dxa"/>
              <w:left w:w="40" w:type="dxa"/>
              <w:bottom w:w="40" w:type="dxa"/>
              <w:right w:w="40" w:type="dxa"/>
            </w:tcMar>
            <w:vAlign w:val="center"/>
          </w:tcPr>
          <w:p w14:paraId="76A4C713" w14:textId="77777777" w:rsidR="00781821" w:rsidRDefault="00A91ED9">
            <w:pPr>
              <w:pStyle w:val="normal0"/>
              <w:widowControl/>
              <w:spacing w:line="240" w:lineRule="auto"/>
              <w:jc w:val="left"/>
            </w:pPr>
            <w:r>
              <w:t xml:space="preserve">Coordinated </w:t>
            </w:r>
            <w:proofErr w:type="spellStart"/>
            <w:r>
              <w:t>subsetting</w:t>
            </w:r>
            <w:proofErr w:type="spellEnd"/>
          </w:p>
        </w:tc>
        <w:tc>
          <w:tcPr>
            <w:tcW w:w="4425" w:type="dxa"/>
            <w:tcBorders>
              <w:top w:val="nil"/>
              <w:left w:val="nil"/>
              <w:bottom w:val="nil"/>
              <w:right w:val="nil"/>
            </w:tcBorders>
            <w:tcMar>
              <w:top w:w="40" w:type="dxa"/>
              <w:left w:w="40" w:type="dxa"/>
              <w:bottom w:w="40" w:type="dxa"/>
              <w:right w:w="40" w:type="dxa"/>
            </w:tcMar>
            <w:vAlign w:val="center"/>
          </w:tcPr>
          <w:p w14:paraId="2A762DEC" w14:textId="77777777" w:rsidR="00781821" w:rsidRDefault="00A91ED9">
            <w:pPr>
              <w:pStyle w:val="normal0"/>
              <w:widowControl/>
              <w:spacing w:line="240" w:lineRule="auto"/>
              <w:jc w:val="left"/>
              <w:rPr>
                <w:sz w:val="20"/>
                <w:szCs w:val="20"/>
              </w:rPr>
            </w:pPr>
            <w:r>
              <w:rPr>
                <w:sz w:val="20"/>
                <w:szCs w:val="20"/>
              </w:rPr>
              <w:t>Subset rows/columns across multiple assays</w:t>
            </w:r>
          </w:p>
        </w:tc>
        <w:tc>
          <w:tcPr>
            <w:tcW w:w="2250" w:type="dxa"/>
            <w:tcBorders>
              <w:top w:val="nil"/>
              <w:left w:val="nil"/>
              <w:bottom w:val="nil"/>
              <w:right w:val="nil"/>
            </w:tcBorders>
            <w:tcMar>
              <w:top w:w="40" w:type="dxa"/>
              <w:left w:w="40" w:type="dxa"/>
              <w:bottom w:w="40" w:type="dxa"/>
              <w:right w:w="40" w:type="dxa"/>
            </w:tcMar>
            <w:vAlign w:val="center"/>
          </w:tcPr>
          <w:p w14:paraId="12CC80B1" w14:textId="77777777" w:rsidR="00781821" w:rsidRDefault="00A91ED9">
            <w:pPr>
              <w:pStyle w:val="normal0"/>
              <w:widowControl/>
              <w:spacing w:line="240" w:lineRule="auto"/>
              <w:jc w:val="center"/>
              <w:rPr>
                <w:sz w:val="28"/>
                <w:szCs w:val="28"/>
              </w:rPr>
            </w:pPr>
            <w:r>
              <w:rPr>
                <w:rFonts w:ascii="Arial Unicode MS" w:eastAsia="Arial Unicode MS" w:hAnsi="Arial Unicode MS" w:cs="Arial Unicode MS"/>
                <w:sz w:val="28"/>
                <w:szCs w:val="28"/>
              </w:rPr>
              <w:t>✔</w:t>
            </w:r>
          </w:p>
        </w:tc>
        <w:tc>
          <w:tcPr>
            <w:tcW w:w="1485" w:type="dxa"/>
            <w:tcBorders>
              <w:top w:val="nil"/>
              <w:left w:val="nil"/>
              <w:bottom w:val="nil"/>
              <w:right w:val="nil"/>
            </w:tcBorders>
            <w:tcMar>
              <w:top w:w="40" w:type="dxa"/>
              <w:left w:w="40" w:type="dxa"/>
              <w:bottom w:w="40" w:type="dxa"/>
              <w:right w:w="40" w:type="dxa"/>
            </w:tcMar>
            <w:vAlign w:val="bottom"/>
          </w:tcPr>
          <w:p w14:paraId="4A71C47E" w14:textId="77777777" w:rsidR="00781821" w:rsidRDefault="00A91ED9">
            <w:pPr>
              <w:pStyle w:val="normal0"/>
              <w:widowControl/>
              <w:spacing w:line="240" w:lineRule="auto"/>
              <w:jc w:val="center"/>
              <w:rPr>
                <w:sz w:val="28"/>
                <w:szCs w:val="28"/>
              </w:rPr>
            </w:pPr>
            <w:r>
              <w:rPr>
                <w:rFonts w:ascii="Arial Unicode MS" w:eastAsia="Arial Unicode MS" w:hAnsi="Arial Unicode MS" w:cs="Arial Unicode MS"/>
                <w:sz w:val="28"/>
                <w:szCs w:val="28"/>
              </w:rPr>
              <w:t>✔</w:t>
            </w:r>
          </w:p>
        </w:tc>
      </w:tr>
      <w:tr w:rsidR="00781821" w14:paraId="30DFF282" w14:textId="77777777">
        <w:trPr>
          <w:trHeight w:val="60"/>
        </w:trPr>
        <w:tc>
          <w:tcPr>
            <w:tcW w:w="2385" w:type="dxa"/>
            <w:tcBorders>
              <w:top w:val="nil"/>
              <w:left w:val="nil"/>
              <w:bottom w:val="nil"/>
              <w:right w:val="nil"/>
            </w:tcBorders>
            <w:tcMar>
              <w:top w:w="40" w:type="dxa"/>
              <w:left w:w="40" w:type="dxa"/>
              <w:bottom w:w="40" w:type="dxa"/>
              <w:right w:w="40" w:type="dxa"/>
            </w:tcMar>
            <w:vAlign w:val="center"/>
          </w:tcPr>
          <w:p w14:paraId="57157B7C" w14:textId="77777777" w:rsidR="00781821" w:rsidRDefault="00A91ED9">
            <w:pPr>
              <w:pStyle w:val="normal0"/>
              <w:widowControl/>
              <w:spacing w:line="240" w:lineRule="auto"/>
              <w:jc w:val="left"/>
            </w:pPr>
            <w:r>
              <w:t>Concatenation</w:t>
            </w:r>
          </w:p>
        </w:tc>
        <w:tc>
          <w:tcPr>
            <w:tcW w:w="4425" w:type="dxa"/>
            <w:tcBorders>
              <w:top w:val="nil"/>
              <w:left w:val="nil"/>
              <w:bottom w:val="nil"/>
              <w:right w:val="nil"/>
            </w:tcBorders>
            <w:tcMar>
              <w:top w:w="40" w:type="dxa"/>
              <w:left w:w="40" w:type="dxa"/>
              <w:bottom w:w="40" w:type="dxa"/>
              <w:right w:w="40" w:type="dxa"/>
            </w:tcMar>
            <w:vAlign w:val="center"/>
          </w:tcPr>
          <w:p w14:paraId="6E2F217B" w14:textId="77777777" w:rsidR="00781821" w:rsidRDefault="00A91ED9">
            <w:pPr>
              <w:pStyle w:val="normal0"/>
              <w:widowControl/>
              <w:spacing w:line="240" w:lineRule="auto"/>
              <w:jc w:val="left"/>
              <w:rPr>
                <w:sz w:val="20"/>
                <w:szCs w:val="20"/>
              </w:rPr>
            </w:pPr>
            <w:r>
              <w:rPr>
                <w:sz w:val="20"/>
                <w:szCs w:val="20"/>
              </w:rPr>
              <w:t>Add experiments to existing object</w:t>
            </w:r>
          </w:p>
        </w:tc>
        <w:tc>
          <w:tcPr>
            <w:tcW w:w="2250" w:type="dxa"/>
            <w:tcBorders>
              <w:top w:val="nil"/>
              <w:left w:val="nil"/>
              <w:bottom w:val="nil"/>
              <w:right w:val="nil"/>
            </w:tcBorders>
            <w:tcMar>
              <w:top w:w="40" w:type="dxa"/>
              <w:left w:w="40" w:type="dxa"/>
              <w:bottom w:w="40" w:type="dxa"/>
              <w:right w:w="40" w:type="dxa"/>
            </w:tcMar>
            <w:vAlign w:val="center"/>
          </w:tcPr>
          <w:p w14:paraId="212458EE" w14:textId="77777777" w:rsidR="00781821" w:rsidRDefault="00A91ED9">
            <w:pPr>
              <w:pStyle w:val="normal0"/>
              <w:widowControl/>
              <w:spacing w:line="240" w:lineRule="auto"/>
              <w:jc w:val="center"/>
              <w:rPr>
                <w:sz w:val="28"/>
                <w:szCs w:val="28"/>
              </w:rPr>
            </w:pPr>
            <w:r>
              <w:rPr>
                <w:rFonts w:ascii="Arial Unicode MS" w:eastAsia="Arial Unicode MS" w:hAnsi="Arial Unicode MS" w:cs="Arial Unicode MS"/>
                <w:sz w:val="28"/>
                <w:szCs w:val="28"/>
              </w:rPr>
              <w:t>✔</w:t>
            </w:r>
          </w:p>
        </w:tc>
        <w:tc>
          <w:tcPr>
            <w:tcW w:w="1485" w:type="dxa"/>
            <w:tcBorders>
              <w:top w:val="nil"/>
              <w:left w:val="nil"/>
              <w:bottom w:val="nil"/>
              <w:right w:val="nil"/>
            </w:tcBorders>
            <w:tcMar>
              <w:top w:w="40" w:type="dxa"/>
              <w:left w:w="40" w:type="dxa"/>
              <w:bottom w:w="40" w:type="dxa"/>
              <w:right w:w="40" w:type="dxa"/>
            </w:tcMar>
            <w:vAlign w:val="bottom"/>
          </w:tcPr>
          <w:p w14:paraId="0A747602" w14:textId="77777777" w:rsidR="00781821" w:rsidRDefault="00A91ED9">
            <w:pPr>
              <w:pStyle w:val="normal0"/>
              <w:widowControl/>
              <w:spacing w:line="240" w:lineRule="auto"/>
              <w:jc w:val="center"/>
              <w:rPr>
                <w:sz w:val="28"/>
                <w:szCs w:val="28"/>
              </w:rPr>
            </w:pPr>
            <w:r>
              <w:rPr>
                <w:rFonts w:ascii="Arial Unicode MS" w:eastAsia="Arial Unicode MS" w:hAnsi="Arial Unicode MS" w:cs="Arial Unicode MS"/>
                <w:sz w:val="28"/>
                <w:szCs w:val="28"/>
              </w:rPr>
              <w:t>✔</w:t>
            </w:r>
          </w:p>
        </w:tc>
      </w:tr>
      <w:tr w:rsidR="00781821" w14:paraId="6363AECA" w14:textId="77777777">
        <w:trPr>
          <w:trHeight w:val="180"/>
        </w:trPr>
        <w:tc>
          <w:tcPr>
            <w:tcW w:w="2385" w:type="dxa"/>
            <w:tcBorders>
              <w:top w:val="nil"/>
              <w:left w:val="nil"/>
              <w:bottom w:val="nil"/>
              <w:right w:val="nil"/>
            </w:tcBorders>
            <w:tcMar>
              <w:top w:w="40" w:type="dxa"/>
              <w:left w:w="40" w:type="dxa"/>
              <w:bottom w:w="40" w:type="dxa"/>
              <w:right w:w="40" w:type="dxa"/>
            </w:tcMar>
            <w:vAlign w:val="center"/>
          </w:tcPr>
          <w:p w14:paraId="1A673F85" w14:textId="77777777" w:rsidR="00781821" w:rsidRDefault="00A91ED9">
            <w:pPr>
              <w:pStyle w:val="normal0"/>
              <w:widowControl/>
              <w:spacing w:line="240" w:lineRule="auto"/>
              <w:jc w:val="left"/>
            </w:pPr>
            <w:r>
              <w:t>Package-specific wrappers</w:t>
            </w:r>
          </w:p>
        </w:tc>
        <w:tc>
          <w:tcPr>
            <w:tcW w:w="4425" w:type="dxa"/>
            <w:tcBorders>
              <w:top w:val="nil"/>
              <w:left w:val="nil"/>
              <w:bottom w:val="nil"/>
              <w:right w:val="nil"/>
            </w:tcBorders>
            <w:tcMar>
              <w:top w:w="40" w:type="dxa"/>
              <w:left w:w="40" w:type="dxa"/>
              <w:bottom w:w="40" w:type="dxa"/>
              <w:right w:w="40" w:type="dxa"/>
            </w:tcMar>
            <w:vAlign w:val="center"/>
          </w:tcPr>
          <w:p w14:paraId="05FC8013" w14:textId="77777777" w:rsidR="00781821" w:rsidRDefault="00A91ED9">
            <w:pPr>
              <w:pStyle w:val="normal0"/>
              <w:widowControl/>
              <w:spacing w:line="240" w:lineRule="auto"/>
              <w:jc w:val="left"/>
              <w:rPr>
                <w:sz w:val="20"/>
                <w:szCs w:val="20"/>
              </w:rPr>
            </w:pPr>
            <w:r>
              <w:rPr>
                <w:sz w:val="20"/>
                <w:szCs w:val="20"/>
              </w:rPr>
              <w:t>Provides direct wrappers for other Bioconductor packages</w:t>
            </w:r>
          </w:p>
        </w:tc>
        <w:tc>
          <w:tcPr>
            <w:tcW w:w="2250" w:type="dxa"/>
            <w:tcBorders>
              <w:top w:val="nil"/>
              <w:left w:val="nil"/>
              <w:bottom w:val="nil"/>
              <w:right w:val="nil"/>
            </w:tcBorders>
            <w:tcMar>
              <w:top w:w="40" w:type="dxa"/>
              <w:left w:w="40" w:type="dxa"/>
              <w:bottom w:w="40" w:type="dxa"/>
              <w:right w:w="40" w:type="dxa"/>
            </w:tcMar>
            <w:vAlign w:val="center"/>
          </w:tcPr>
          <w:p w14:paraId="42CA1991" w14:textId="77777777" w:rsidR="00781821" w:rsidRDefault="00781821">
            <w:pPr>
              <w:pStyle w:val="normal0"/>
              <w:widowControl/>
              <w:spacing w:line="240" w:lineRule="auto"/>
              <w:jc w:val="center"/>
              <w:rPr>
                <w:sz w:val="28"/>
                <w:szCs w:val="28"/>
              </w:rPr>
            </w:pPr>
          </w:p>
        </w:tc>
        <w:tc>
          <w:tcPr>
            <w:tcW w:w="1485" w:type="dxa"/>
            <w:tcBorders>
              <w:top w:val="nil"/>
              <w:left w:val="nil"/>
              <w:bottom w:val="nil"/>
              <w:right w:val="nil"/>
            </w:tcBorders>
            <w:tcMar>
              <w:top w:w="40" w:type="dxa"/>
              <w:left w:w="40" w:type="dxa"/>
              <w:bottom w:w="40" w:type="dxa"/>
              <w:right w:w="40" w:type="dxa"/>
            </w:tcMar>
            <w:vAlign w:val="bottom"/>
          </w:tcPr>
          <w:p w14:paraId="5E43A026"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r>
      <w:tr w:rsidR="00781821" w14:paraId="060E7B21" w14:textId="77777777">
        <w:trPr>
          <w:trHeight w:val="40"/>
        </w:trPr>
        <w:tc>
          <w:tcPr>
            <w:tcW w:w="2385" w:type="dxa"/>
            <w:tcBorders>
              <w:top w:val="nil"/>
              <w:left w:val="nil"/>
              <w:bottom w:val="nil"/>
              <w:right w:val="nil"/>
            </w:tcBorders>
            <w:tcMar>
              <w:top w:w="40" w:type="dxa"/>
              <w:left w:w="40" w:type="dxa"/>
              <w:bottom w:w="40" w:type="dxa"/>
              <w:right w:w="40" w:type="dxa"/>
            </w:tcMar>
            <w:vAlign w:val="center"/>
          </w:tcPr>
          <w:p w14:paraId="02356530" w14:textId="77777777" w:rsidR="00781821" w:rsidRDefault="00A91ED9">
            <w:pPr>
              <w:pStyle w:val="normal0"/>
              <w:widowControl/>
              <w:spacing w:line="240" w:lineRule="auto"/>
              <w:jc w:val="left"/>
            </w:pPr>
            <w:r>
              <w:t>Feature annotation slot</w:t>
            </w:r>
          </w:p>
        </w:tc>
        <w:tc>
          <w:tcPr>
            <w:tcW w:w="4425" w:type="dxa"/>
            <w:tcBorders>
              <w:top w:val="nil"/>
              <w:left w:val="nil"/>
              <w:bottom w:val="nil"/>
              <w:right w:val="nil"/>
            </w:tcBorders>
            <w:tcMar>
              <w:top w:w="40" w:type="dxa"/>
              <w:left w:w="40" w:type="dxa"/>
              <w:bottom w:w="40" w:type="dxa"/>
              <w:right w:w="40" w:type="dxa"/>
            </w:tcMar>
            <w:vAlign w:val="center"/>
          </w:tcPr>
          <w:p w14:paraId="557781D5" w14:textId="77777777" w:rsidR="00781821" w:rsidRDefault="00A91ED9">
            <w:pPr>
              <w:pStyle w:val="normal0"/>
              <w:widowControl/>
              <w:spacing w:line="240" w:lineRule="auto"/>
              <w:jc w:val="left"/>
              <w:rPr>
                <w:sz w:val="20"/>
                <w:szCs w:val="20"/>
              </w:rPr>
            </w:pPr>
            <w:r>
              <w:rPr>
                <w:sz w:val="20"/>
                <w:szCs w:val="20"/>
              </w:rPr>
              <w:t>Provides a slot for annotating features and ranges</w:t>
            </w:r>
          </w:p>
        </w:tc>
        <w:tc>
          <w:tcPr>
            <w:tcW w:w="2250" w:type="dxa"/>
            <w:tcBorders>
              <w:top w:val="nil"/>
              <w:left w:val="nil"/>
              <w:bottom w:val="nil"/>
              <w:right w:val="nil"/>
            </w:tcBorders>
            <w:tcMar>
              <w:top w:w="40" w:type="dxa"/>
              <w:left w:w="40" w:type="dxa"/>
              <w:bottom w:w="40" w:type="dxa"/>
              <w:right w:w="40" w:type="dxa"/>
            </w:tcMar>
            <w:vAlign w:val="center"/>
          </w:tcPr>
          <w:p w14:paraId="64BCA657" w14:textId="77777777" w:rsidR="00781821" w:rsidRDefault="00781821">
            <w:pPr>
              <w:pStyle w:val="normal0"/>
              <w:widowControl/>
              <w:spacing w:line="240" w:lineRule="auto"/>
              <w:jc w:val="center"/>
              <w:rPr>
                <w:sz w:val="28"/>
                <w:szCs w:val="28"/>
              </w:rPr>
            </w:pPr>
          </w:p>
        </w:tc>
        <w:tc>
          <w:tcPr>
            <w:tcW w:w="1485" w:type="dxa"/>
            <w:tcBorders>
              <w:top w:val="nil"/>
              <w:left w:val="nil"/>
              <w:bottom w:val="nil"/>
              <w:right w:val="nil"/>
            </w:tcBorders>
            <w:tcMar>
              <w:top w:w="40" w:type="dxa"/>
              <w:left w:w="40" w:type="dxa"/>
              <w:bottom w:w="40" w:type="dxa"/>
              <w:right w:w="40" w:type="dxa"/>
            </w:tcMar>
            <w:vAlign w:val="bottom"/>
          </w:tcPr>
          <w:p w14:paraId="34463FE8"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r>
      <w:tr w:rsidR="00781821" w14:paraId="0FFFC415" w14:textId="77777777">
        <w:trPr>
          <w:trHeight w:val="300"/>
        </w:trPr>
        <w:tc>
          <w:tcPr>
            <w:tcW w:w="2385" w:type="dxa"/>
            <w:tcBorders>
              <w:top w:val="nil"/>
              <w:left w:val="nil"/>
              <w:bottom w:val="nil"/>
              <w:right w:val="nil"/>
            </w:tcBorders>
            <w:tcMar>
              <w:top w:w="40" w:type="dxa"/>
              <w:left w:w="40" w:type="dxa"/>
              <w:bottom w:w="40" w:type="dxa"/>
              <w:right w:w="40" w:type="dxa"/>
            </w:tcMar>
            <w:vAlign w:val="center"/>
          </w:tcPr>
          <w:p w14:paraId="74965E47" w14:textId="77777777" w:rsidR="00781821" w:rsidRDefault="00A91ED9">
            <w:pPr>
              <w:pStyle w:val="normal0"/>
              <w:widowControl/>
              <w:spacing w:line="240" w:lineRule="auto"/>
              <w:jc w:val="left"/>
              <w:rPr>
                <w:sz w:val="20"/>
                <w:szCs w:val="20"/>
              </w:rPr>
            </w:pPr>
            <w:r>
              <w:t>Supports open-ended set of classes</w:t>
            </w:r>
          </w:p>
        </w:tc>
        <w:tc>
          <w:tcPr>
            <w:tcW w:w="4425" w:type="dxa"/>
            <w:tcBorders>
              <w:top w:val="nil"/>
              <w:left w:val="nil"/>
              <w:bottom w:val="nil"/>
              <w:right w:val="nil"/>
            </w:tcBorders>
            <w:tcMar>
              <w:top w:w="40" w:type="dxa"/>
              <w:left w:w="40" w:type="dxa"/>
              <w:bottom w:w="40" w:type="dxa"/>
              <w:right w:w="40" w:type="dxa"/>
            </w:tcMar>
            <w:vAlign w:val="center"/>
          </w:tcPr>
          <w:p w14:paraId="47ABB9F6" w14:textId="77777777" w:rsidR="00781821" w:rsidRDefault="00A91ED9">
            <w:pPr>
              <w:pStyle w:val="normal0"/>
              <w:widowControl/>
              <w:spacing w:line="240" w:lineRule="auto"/>
              <w:jc w:val="left"/>
              <w:rPr>
                <w:sz w:val="20"/>
                <w:szCs w:val="20"/>
              </w:rPr>
            </w:pPr>
            <w:r>
              <w:rPr>
                <w:sz w:val="20"/>
                <w:szCs w:val="20"/>
              </w:rPr>
              <w:t>Supports additional classes without extra coding</w:t>
            </w:r>
          </w:p>
        </w:tc>
        <w:tc>
          <w:tcPr>
            <w:tcW w:w="2250" w:type="dxa"/>
            <w:tcBorders>
              <w:top w:val="nil"/>
              <w:left w:val="nil"/>
              <w:bottom w:val="nil"/>
              <w:right w:val="nil"/>
            </w:tcBorders>
            <w:tcMar>
              <w:top w:w="40" w:type="dxa"/>
              <w:left w:w="40" w:type="dxa"/>
              <w:bottom w:w="40" w:type="dxa"/>
              <w:right w:w="40" w:type="dxa"/>
            </w:tcMar>
            <w:vAlign w:val="center"/>
          </w:tcPr>
          <w:p w14:paraId="2209E910"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c>
          <w:tcPr>
            <w:tcW w:w="1485" w:type="dxa"/>
            <w:tcBorders>
              <w:top w:val="nil"/>
              <w:left w:val="nil"/>
              <w:bottom w:val="nil"/>
              <w:right w:val="nil"/>
            </w:tcBorders>
            <w:tcMar>
              <w:top w:w="40" w:type="dxa"/>
              <w:left w:w="40" w:type="dxa"/>
              <w:bottom w:w="40" w:type="dxa"/>
              <w:right w:w="40" w:type="dxa"/>
            </w:tcMar>
            <w:vAlign w:val="bottom"/>
          </w:tcPr>
          <w:p w14:paraId="713EC45B" w14:textId="77777777" w:rsidR="00781821" w:rsidRDefault="00781821">
            <w:pPr>
              <w:pStyle w:val="normal0"/>
              <w:widowControl/>
              <w:spacing w:line="240" w:lineRule="auto"/>
              <w:jc w:val="center"/>
              <w:rPr>
                <w:sz w:val="20"/>
                <w:szCs w:val="20"/>
              </w:rPr>
            </w:pPr>
          </w:p>
        </w:tc>
      </w:tr>
      <w:tr w:rsidR="00781821" w14:paraId="0236413A" w14:textId="77777777">
        <w:trPr>
          <w:trHeight w:val="300"/>
        </w:trPr>
        <w:tc>
          <w:tcPr>
            <w:tcW w:w="2385" w:type="dxa"/>
            <w:tcBorders>
              <w:top w:val="nil"/>
              <w:left w:val="nil"/>
              <w:bottom w:val="nil"/>
              <w:right w:val="nil"/>
            </w:tcBorders>
            <w:tcMar>
              <w:top w:w="40" w:type="dxa"/>
              <w:left w:w="40" w:type="dxa"/>
              <w:bottom w:w="40" w:type="dxa"/>
              <w:right w:w="40" w:type="dxa"/>
            </w:tcMar>
            <w:vAlign w:val="center"/>
          </w:tcPr>
          <w:p w14:paraId="62121831" w14:textId="77777777" w:rsidR="00781821" w:rsidRDefault="00A91ED9">
            <w:pPr>
              <w:pStyle w:val="normal0"/>
              <w:widowControl/>
              <w:spacing w:line="240" w:lineRule="auto"/>
              <w:jc w:val="left"/>
              <w:rPr>
                <w:sz w:val="20"/>
                <w:szCs w:val="20"/>
              </w:rPr>
            </w:pPr>
            <w:r>
              <w:t>Out-of-memory</w:t>
            </w:r>
          </w:p>
        </w:tc>
        <w:tc>
          <w:tcPr>
            <w:tcW w:w="4425" w:type="dxa"/>
            <w:tcBorders>
              <w:top w:val="nil"/>
              <w:left w:val="nil"/>
              <w:bottom w:val="nil"/>
              <w:right w:val="nil"/>
            </w:tcBorders>
            <w:tcMar>
              <w:top w:w="40" w:type="dxa"/>
              <w:left w:w="40" w:type="dxa"/>
              <w:bottom w:w="40" w:type="dxa"/>
              <w:right w:w="40" w:type="dxa"/>
            </w:tcMar>
            <w:vAlign w:val="center"/>
          </w:tcPr>
          <w:p w14:paraId="6B370357" w14:textId="77777777" w:rsidR="00781821" w:rsidRDefault="00A91ED9">
            <w:pPr>
              <w:pStyle w:val="normal0"/>
              <w:widowControl/>
              <w:spacing w:line="240" w:lineRule="auto"/>
              <w:jc w:val="left"/>
              <w:rPr>
                <w:sz w:val="20"/>
                <w:szCs w:val="20"/>
              </w:rPr>
            </w:pPr>
            <w:r>
              <w:rPr>
                <w:sz w:val="20"/>
                <w:szCs w:val="20"/>
              </w:rPr>
              <w:t>Supports data classes providing on-disk and remote representation of big datasets</w:t>
            </w:r>
          </w:p>
        </w:tc>
        <w:tc>
          <w:tcPr>
            <w:tcW w:w="2250" w:type="dxa"/>
            <w:tcBorders>
              <w:top w:val="nil"/>
              <w:left w:val="nil"/>
              <w:bottom w:val="nil"/>
              <w:right w:val="nil"/>
            </w:tcBorders>
            <w:tcMar>
              <w:top w:w="40" w:type="dxa"/>
              <w:left w:w="40" w:type="dxa"/>
              <w:bottom w:w="40" w:type="dxa"/>
              <w:right w:w="40" w:type="dxa"/>
            </w:tcMar>
            <w:vAlign w:val="center"/>
          </w:tcPr>
          <w:p w14:paraId="3887FDE4"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c>
          <w:tcPr>
            <w:tcW w:w="1485" w:type="dxa"/>
            <w:tcBorders>
              <w:top w:val="nil"/>
              <w:left w:val="nil"/>
              <w:bottom w:val="nil"/>
              <w:right w:val="nil"/>
            </w:tcBorders>
            <w:tcMar>
              <w:top w:w="40" w:type="dxa"/>
              <w:left w:w="40" w:type="dxa"/>
              <w:bottom w:w="40" w:type="dxa"/>
              <w:right w:w="40" w:type="dxa"/>
            </w:tcMar>
            <w:vAlign w:val="bottom"/>
          </w:tcPr>
          <w:p w14:paraId="5423F336" w14:textId="77777777" w:rsidR="00781821" w:rsidRDefault="00781821">
            <w:pPr>
              <w:pStyle w:val="normal0"/>
              <w:widowControl/>
              <w:spacing w:line="240" w:lineRule="auto"/>
              <w:jc w:val="center"/>
              <w:rPr>
                <w:sz w:val="20"/>
                <w:szCs w:val="20"/>
              </w:rPr>
            </w:pPr>
          </w:p>
        </w:tc>
      </w:tr>
      <w:tr w:rsidR="00781821" w14:paraId="12FE1FB4" w14:textId="77777777">
        <w:trPr>
          <w:trHeight w:val="100"/>
        </w:trPr>
        <w:tc>
          <w:tcPr>
            <w:tcW w:w="2385" w:type="dxa"/>
            <w:tcBorders>
              <w:top w:val="nil"/>
              <w:left w:val="nil"/>
              <w:bottom w:val="nil"/>
              <w:right w:val="nil"/>
            </w:tcBorders>
            <w:tcMar>
              <w:top w:w="40" w:type="dxa"/>
              <w:left w:w="40" w:type="dxa"/>
              <w:bottom w:w="40" w:type="dxa"/>
              <w:right w:w="40" w:type="dxa"/>
            </w:tcMar>
            <w:vAlign w:val="center"/>
          </w:tcPr>
          <w:p w14:paraId="7671030B" w14:textId="77777777" w:rsidR="00781821" w:rsidRDefault="00A91ED9">
            <w:pPr>
              <w:pStyle w:val="normal0"/>
              <w:widowControl/>
              <w:spacing w:line="240" w:lineRule="auto"/>
              <w:jc w:val="left"/>
              <w:rPr>
                <w:sz w:val="20"/>
                <w:szCs w:val="20"/>
              </w:rPr>
            </w:pPr>
            <w:r>
              <w:t>Consistent API</w:t>
            </w:r>
          </w:p>
        </w:tc>
        <w:tc>
          <w:tcPr>
            <w:tcW w:w="4425" w:type="dxa"/>
            <w:tcBorders>
              <w:top w:val="nil"/>
              <w:left w:val="nil"/>
              <w:bottom w:val="nil"/>
              <w:right w:val="nil"/>
            </w:tcBorders>
            <w:tcMar>
              <w:top w:w="40" w:type="dxa"/>
              <w:left w:w="40" w:type="dxa"/>
              <w:bottom w:w="40" w:type="dxa"/>
              <w:right w:w="40" w:type="dxa"/>
            </w:tcMar>
            <w:vAlign w:val="center"/>
          </w:tcPr>
          <w:p w14:paraId="688EA6F2" w14:textId="77777777" w:rsidR="00781821" w:rsidRDefault="00A91ED9">
            <w:pPr>
              <w:pStyle w:val="normal0"/>
              <w:widowControl/>
              <w:spacing w:line="240" w:lineRule="auto"/>
              <w:jc w:val="left"/>
              <w:rPr>
                <w:sz w:val="20"/>
                <w:szCs w:val="20"/>
              </w:rPr>
            </w:pPr>
            <w:r>
              <w:rPr>
                <w:sz w:val="20"/>
                <w:szCs w:val="20"/>
              </w:rPr>
              <w:t>Provides a set of endomorphic operations consistent with other Bioconductor core classes</w:t>
            </w:r>
          </w:p>
        </w:tc>
        <w:tc>
          <w:tcPr>
            <w:tcW w:w="2250" w:type="dxa"/>
            <w:tcBorders>
              <w:top w:val="nil"/>
              <w:left w:val="nil"/>
              <w:bottom w:val="nil"/>
              <w:right w:val="nil"/>
            </w:tcBorders>
            <w:tcMar>
              <w:top w:w="40" w:type="dxa"/>
              <w:left w:w="40" w:type="dxa"/>
              <w:bottom w:w="40" w:type="dxa"/>
              <w:right w:w="40" w:type="dxa"/>
            </w:tcMar>
            <w:vAlign w:val="center"/>
          </w:tcPr>
          <w:p w14:paraId="43A77CB0"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c>
          <w:tcPr>
            <w:tcW w:w="1485" w:type="dxa"/>
            <w:tcBorders>
              <w:top w:val="nil"/>
              <w:left w:val="nil"/>
              <w:bottom w:val="nil"/>
              <w:right w:val="nil"/>
            </w:tcBorders>
            <w:tcMar>
              <w:top w:w="40" w:type="dxa"/>
              <w:left w:w="40" w:type="dxa"/>
              <w:bottom w:w="40" w:type="dxa"/>
              <w:right w:w="40" w:type="dxa"/>
            </w:tcMar>
            <w:vAlign w:val="bottom"/>
          </w:tcPr>
          <w:p w14:paraId="0B673F90" w14:textId="77777777" w:rsidR="00781821" w:rsidRDefault="00781821">
            <w:pPr>
              <w:pStyle w:val="normal0"/>
              <w:widowControl/>
              <w:spacing w:line="240" w:lineRule="auto"/>
              <w:jc w:val="center"/>
              <w:rPr>
                <w:sz w:val="20"/>
                <w:szCs w:val="20"/>
              </w:rPr>
            </w:pPr>
          </w:p>
        </w:tc>
      </w:tr>
      <w:tr w:rsidR="00781821" w14:paraId="1E4352DD" w14:textId="77777777">
        <w:trPr>
          <w:trHeight w:val="340"/>
        </w:trPr>
        <w:tc>
          <w:tcPr>
            <w:tcW w:w="2385" w:type="dxa"/>
            <w:tcBorders>
              <w:top w:val="nil"/>
              <w:left w:val="nil"/>
              <w:bottom w:val="nil"/>
              <w:right w:val="nil"/>
            </w:tcBorders>
            <w:tcMar>
              <w:top w:w="40" w:type="dxa"/>
              <w:left w:w="40" w:type="dxa"/>
              <w:bottom w:w="40" w:type="dxa"/>
              <w:right w:w="40" w:type="dxa"/>
            </w:tcMar>
            <w:vAlign w:val="center"/>
          </w:tcPr>
          <w:p w14:paraId="3A12EC32" w14:textId="77777777" w:rsidR="00781821" w:rsidRDefault="00A91ED9">
            <w:pPr>
              <w:pStyle w:val="normal0"/>
              <w:widowControl/>
              <w:spacing w:line="240" w:lineRule="auto"/>
              <w:jc w:val="left"/>
              <w:rPr>
                <w:sz w:val="20"/>
                <w:szCs w:val="20"/>
              </w:rPr>
            </w:pPr>
            <w:r>
              <w:t>Reshaping</w:t>
            </w:r>
          </w:p>
        </w:tc>
        <w:tc>
          <w:tcPr>
            <w:tcW w:w="4425" w:type="dxa"/>
            <w:tcBorders>
              <w:top w:val="nil"/>
              <w:left w:val="nil"/>
              <w:bottom w:val="nil"/>
              <w:right w:val="nil"/>
            </w:tcBorders>
            <w:tcMar>
              <w:top w:w="40" w:type="dxa"/>
              <w:left w:w="40" w:type="dxa"/>
              <w:bottom w:w="40" w:type="dxa"/>
              <w:right w:w="40" w:type="dxa"/>
            </w:tcMar>
            <w:vAlign w:val="center"/>
          </w:tcPr>
          <w:p w14:paraId="02FC0FA9" w14:textId="77777777" w:rsidR="00781821" w:rsidRDefault="00A91ED9">
            <w:pPr>
              <w:pStyle w:val="normal0"/>
              <w:widowControl/>
              <w:spacing w:line="240" w:lineRule="auto"/>
              <w:jc w:val="left"/>
              <w:rPr>
                <w:sz w:val="20"/>
                <w:szCs w:val="20"/>
              </w:rPr>
            </w:pPr>
            <w:r>
              <w:rPr>
                <w:sz w:val="20"/>
                <w:szCs w:val="20"/>
              </w:rPr>
              <w:t>Reshapes assay and primary data to wide and long formats</w:t>
            </w:r>
          </w:p>
        </w:tc>
        <w:tc>
          <w:tcPr>
            <w:tcW w:w="2250" w:type="dxa"/>
            <w:tcBorders>
              <w:top w:val="nil"/>
              <w:left w:val="nil"/>
              <w:bottom w:val="nil"/>
              <w:right w:val="nil"/>
            </w:tcBorders>
            <w:tcMar>
              <w:top w:w="40" w:type="dxa"/>
              <w:left w:w="40" w:type="dxa"/>
              <w:bottom w:w="40" w:type="dxa"/>
              <w:right w:w="40" w:type="dxa"/>
            </w:tcMar>
            <w:vAlign w:val="center"/>
          </w:tcPr>
          <w:p w14:paraId="1AF1838A"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c>
          <w:tcPr>
            <w:tcW w:w="1485" w:type="dxa"/>
            <w:tcBorders>
              <w:top w:val="nil"/>
              <w:left w:val="nil"/>
              <w:bottom w:val="nil"/>
              <w:right w:val="nil"/>
            </w:tcBorders>
            <w:tcMar>
              <w:top w:w="40" w:type="dxa"/>
              <w:left w:w="40" w:type="dxa"/>
              <w:bottom w:w="40" w:type="dxa"/>
              <w:right w:w="40" w:type="dxa"/>
            </w:tcMar>
            <w:vAlign w:val="bottom"/>
          </w:tcPr>
          <w:p w14:paraId="3E500101" w14:textId="77777777" w:rsidR="00781821" w:rsidRDefault="00781821">
            <w:pPr>
              <w:pStyle w:val="normal0"/>
              <w:widowControl/>
              <w:spacing w:line="240" w:lineRule="auto"/>
              <w:jc w:val="center"/>
              <w:rPr>
                <w:sz w:val="20"/>
                <w:szCs w:val="20"/>
              </w:rPr>
            </w:pPr>
          </w:p>
        </w:tc>
      </w:tr>
      <w:tr w:rsidR="00781821" w14:paraId="60691CCC" w14:textId="77777777">
        <w:trPr>
          <w:trHeight w:val="420"/>
        </w:trPr>
        <w:tc>
          <w:tcPr>
            <w:tcW w:w="2385" w:type="dxa"/>
            <w:tcBorders>
              <w:top w:val="nil"/>
              <w:left w:val="nil"/>
              <w:bottom w:val="single" w:sz="12" w:space="0" w:color="000000"/>
              <w:right w:val="nil"/>
            </w:tcBorders>
            <w:tcMar>
              <w:top w:w="40" w:type="dxa"/>
              <w:left w:w="40" w:type="dxa"/>
              <w:bottom w:w="40" w:type="dxa"/>
              <w:right w:w="40" w:type="dxa"/>
            </w:tcMar>
            <w:vAlign w:val="center"/>
          </w:tcPr>
          <w:p w14:paraId="17CEB76A" w14:textId="77777777" w:rsidR="00781821" w:rsidRDefault="00A91ED9">
            <w:pPr>
              <w:pStyle w:val="normal0"/>
              <w:widowControl/>
              <w:spacing w:line="240" w:lineRule="auto"/>
              <w:jc w:val="left"/>
              <w:rPr>
                <w:sz w:val="20"/>
                <w:szCs w:val="20"/>
              </w:rPr>
            </w:pPr>
            <w:r>
              <w:t>Unified subject data</w:t>
            </w:r>
          </w:p>
        </w:tc>
        <w:tc>
          <w:tcPr>
            <w:tcW w:w="4425" w:type="dxa"/>
            <w:tcBorders>
              <w:top w:val="nil"/>
              <w:left w:val="nil"/>
              <w:bottom w:val="single" w:sz="12" w:space="0" w:color="000000"/>
              <w:right w:val="nil"/>
            </w:tcBorders>
            <w:tcMar>
              <w:top w:w="40" w:type="dxa"/>
              <w:left w:w="40" w:type="dxa"/>
              <w:bottom w:w="40" w:type="dxa"/>
              <w:right w:w="40" w:type="dxa"/>
            </w:tcMar>
            <w:vAlign w:val="center"/>
          </w:tcPr>
          <w:p w14:paraId="705F09CA" w14:textId="77777777" w:rsidR="00781821" w:rsidRDefault="00A91ED9">
            <w:pPr>
              <w:pStyle w:val="normal0"/>
              <w:widowControl/>
              <w:spacing w:line="240" w:lineRule="auto"/>
              <w:jc w:val="left"/>
              <w:rPr>
                <w:sz w:val="20"/>
                <w:szCs w:val="20"/>
              </w:rPr>
            </w:pPr>
            <w:r>
              <w:rPr>
                <w:sz w:val="20"/>
                <w:szCs w:val="20"/>
              </w:rPr>
              <w:t>A single table for patient / subject data, mapped to zero, one, or more observations in each assay</w:t>
            </w:r>
          </w:p>
        </w:tc>
        <w:tc>
          <w:tcPr>
            <w:tcW w:w="2250" w:type="dxa"/>
            <w:tcBorders>
              <w:top w:val="nil"/>
              <w:left w:val="nil"/>
              <w:bottom w:val="single" w:sz="12" w:space="0" w:color="000000"/>
              <w:right w:val="nil"/>
            </w:tcBorders>
            <w:tcMar>
              <w:top w:w="40" w:type="dxa"/>
              <w:left w:w="40" w:type="dxa"/>
              <w:bottom w:w="40" w:type="dxa"/>
              <w:right w:w="40" w:type="dxa"/>
            </w:tcMar>
            <w:vAlign w:val="center"/>
          </w:tcPr>
          <w:p w14:paraId="090771A3" w14:textId="77777777" w:rsidR="00781821" w:rsidRDefault="00A91ED9">
            <w:pPr>
              <w:pStyle w:val="normal0"/>
              <w:widowControl/>
              <w:spacing w:line="240" w:lineRule="auto"/>
              <w:jc w:val="center"/>
              <w:rPr>
                <w:sz w:val="20"/>
                <w:szCs w:val="20"/>
              </w:rPr>
            </w:pPr>
            <w:r>
              <w:rPr>
                <w:rFonts w:ascii="Arial Unicode MS" w:eastAsia="Arial Unicode MS" w:hAnsi="Arial Unicode MS" w:cs="Arial Unicode MS"/>
                <w:sz w:val="28"/>
                <w:szCs w:val="28"/>
              </w:rPr>
              <w:t>✔</w:t>
            </w:r>
          </w:p>
        </w:tc>
        <w:tc>
          <w:tcPr>
            <w:tcW w:w="1485" w:type="dxa"/>
            <w:tcBorders>
              <w:top w:val="nil"/>
              <w:left w:val="nil"/>
              <w:bottom w:val="single" w:sz="12" w:space="0" w:color="000000"/>
              <w:right w:val="nil"/>
            </w:tcBorders>
            <w:tcMar>
              <w:top w:w="40" w:type="dxa"/>
              <w:left w:w="40" w:type="dxa"/>
              <w:bottom w:w="40" w:type="dxa"/>
              <w:right w:w="40" w:type="dxa"/>
            </w:tcMar>
            <w:vAlign w:val="bottom"/>
          </w:tcPr>
          <w:p w14:paraId="7D9F3960" w14:textId="77777777" w:rsidR="00781821" w:rsidRDefault="00781821">
            <w:pPr>
              <w:pStyle w:val="normal0"/>
              <w:widowControl/>
              <w:spacing w:line="240" w:lineRule="auto"/>
              <w:jc w:val="center"/>
              <w:rPr>
                <w:sz w:val="20"/>
                <w:szCs w:val="20"/>
              </w:rPr>
            </w:pPr>
          </w:p>
        </w:tc>
      </w:tr>
      <w:tr w:rsidR="00781821" w14:paraId="1D65076F" w14:textId="77777777">
        <w:trPr>
          <w:trHeight w:val="1180"/>
        </w:trPr>
        <w:tc>
          <w:tcPr>
            <w:tcW w:w="10545" w:type="dxa"/>
            <w:gridSpan w:val="4"/>
            <w:tcBorders>
              <w:top w:val="nil"/>
              <w:left w:val="nil"/>
              <w:bottom w:val="nil"/>
              <w:right w:val="nil"/>
            </w:tcBorders>
            <w:tcMar>
              <w:top w:w="40" w:type="dxa"/>
              <w:left w:w="40" w:type="dxa"/>
              <w:bottom w:w="40" w:type="dxa"/>
              <w:right w:w="40" w:type="dxa"/>
            </w:tcMar>
            <w:vAlign w:val="center"/>
          </w:tcPr>
          <w:p w14:paraId="3B82A0F1" w14:textId="77777777" w:rsidR="00781821" w:rsidRDefault="00A91ED9">
            <w:pPr>
              <w:pStyle w:val="normal0"/>
              <w:widowControl/>
              <w:jc w:val="left"/>
              <w:rPr>
                <w:sz w:val="20"/>
                <w:szCs w:val="20"/>
              </w:rPr>
            </w:pPr>
            <w:r>
              <w:rPr>
                <w:i/>
                <w:sz w:val="20"/>
                <w:szCs w:val="20"/>
              </w:rPr>
              <w:t>Note</w:t>
            </w:r>
            <w:r>
              <w:rPr>
                <w:sz w:val="20"/>
                <w:szCs w:val="20"/>
              </w:rPr>
              <w:t xml:space="preserve">. </w:t>
            </w:r>
            <w:r>
              <w:rPr>
                <w:b/>
                <w:sz w:val="20"/>
                <w:szCs w:val="20"/>
              </w:rPr>
              <w:t xml:space="preserve">Package-specific wrappers. </w:t>
            </w:r>
            <w:proofErr w:type="spellStart"/>
            <w:r>
              <w:rPr>
                <w:sz w:val="20"/>
                <w:szCs w:val="20"/>
              </w:rPr>
              <w:t>MultiDataSet</w:t>
            </w:r>
            <w:proofErr w:type="spellEnd"/>
            <w:r>
              <w:rPr>
                <w:sz w:val="20"/>
                <w:szCs w:val="20"/>
              </w:rPr>
              <w:t xml:space="preserve"> provides wrappers for several analysis packages (e.g., </w:t>
            </w:r>
            <w:proofErr w:type="spellStart"/>
            <w:r>
              <w:rPr>
                <w:sz w:val="20"/>
                <w:szCs w:val="20"/>
              </w:rPr>
              <w:t>w_iclusterplus</w:t>
            </w:r>
            <w:proofErr w:type="spellEnd"/>
            <w:r>
              <w:rPr>
                <w:sz w:val="20"/>
                <w:szCs w:val="20"/>
              </w:rPr>
              <w:t xml:space="preserve">, </w:t>
            </w:r>
            <w:proofErr w:type="spellStart"/>
            <w:r>
              <w:rPr>
                <w:sz w:val="20"/>
                <w:szCs w:val="20"/>
              </w:rPr>
              <w:t>w_mcia</w:t>
            </w:r>
            <w:proofErr w:type="spellEnd"/>
            <w:r>
              <w:rPr>
                <w:sz w:val="20"/>
                <w:szCs w:val="20"/>
              </w:rPr>
              <w:t xml:space="preserve">); MultiAssayExperiment provides only generic extraction and reshaping functions capable of generating output suitable for these and other packages.  </w:t>
            </w:r>
            <w:r>
              <w:rPr>
                <w:b/>
                <w:sz w:val="20"/>
                <w:szCs w:val="20"/>
              </w:rPr>
              <w:t xml:space="preserve">Feature annotation slot. </w:t>
            </w:r>
            <w:r>
              <w:rPr>
                <w:sz w:val="20"/>
                <w:szCs w:val="20"/>
              </w:rPr>
              <w:t xml:space="preserve">MultiAssayExperiment does not provide a slot for feature annotations, under the assumption that supported single-assay data classes can provide this; however this approach allows </w:t>
            </w:r>
            <w:proofErr w:type="spellStart"/>
            <w:r>
              <w:rPr>
                <w:sz w:val="20"/>
                <w:szCs w:val="20"/>
              </w:rPr>
              <w:t>MultiDataSet</w:t>
            </w:r>
            <w:proofErr w:type="spellEnd"/>
            <w:r>
              <w:rPr>
                <w:sz w:val="20"/>
                <w:szCs w:val="20"/>
              </w:rPr>
              <w:t xml:space="preserve"> to, for example, subset non range-based data classes like </w:t>
            </w:r>
            <w:proofErr w:type="spellStart"/>
            <w:r>
              <w:rPr>
                <w:sz w:val="20"/>
                <w:szCs w:val="20"/>
              </w:rPr>
              <w:t>eSet</w:t>
            </w:r>
            <w:proofErr w:type="spellEnd"/>
            <w:r>
              <w:rPr>
                <w:sz w:val="20"/>
                <w:szCs w:val="20"/>
              </w:rPr>
              <w:t xml:space="preserve"> using genomic ranges. </w:t>
            </w:r>
            <w:r>
              <w:rPr>
                <w:b/>
                <w:sz w:val="20"/>
                <w:szCs w:val="20"/>
              </w:rPr>
              <w:t>Supports open-ended set of classes.</w:t>
            </w:r>
            <w:r>
              <w:rPr>
                <w:sz w:val="20"/>
                <w:szCs w:val="20"/>
              </w:rPr>
              <w:t xml:space="preserve"> </w:t>
            </w:r>
            <w:proofErr w:type="spellStart"/>
            <w:r>
              <w:rPr>
                <w:sz w:val="20"/>
                <w:szCs w:val="20"/>
              </w:rPr>
              <w:t>MultiDataSet</w:t>
            </w:r>
            <w:proofErr w:type="spellEnd"/>
            <w:r>
              <w:rPr>
                <w:sz w:val="20"/>
                <w:szCs w:val="20"/>
              </w:rPr>
              <w:t xml:space="preserve"> operations provides special functions (i.e., </w:t>
            </w:r>
            <w:proofErr w:type="spellStart"/>
            <w:r>
              <w:rPr>
                <w:sz w:val="20"/>
                <w:szCs w:val="20"/>
              </w:rPr>
              <w:t>add_snps</w:t>
            </w:r>
            <w:proofErr w:type="spellEnd"/>
            <w:r>
              <w:rPr>
                <w:sz w:val="20"/>
                <w:szCs w:val="20"/>
              </w:rPr>
              <w:t xml:space="preserve">, </w:t>
            </w:r>
            <w:proofErr w:type="spellStart"/>
            <w:r>
              <w:rPr>
                <w:sz w:val="20"/>
                <w:szCs w:val="20"/>
              </w:rPr>
              <w:t>add_genexp</w:t>
            </w:r>
            <w:proofErr w:type="spellEnd"/>
            <w:r>
              <w:rPr>
                <w:sz w:val="20"/>
                <w:szCs w:val="20"/>
              </w:rPr>
              <w:t xml:space="preserve">, </w:t>
            </w:r>
            <w:proofErr w:type="spellStart"/>
            <w:r>
              <w:rPr>
                <w:sz w:val="20"/>
                <w:szCs w:val="20"/>
              </w:rPr>
              <w:t>add_methy</w:t>
            </w:r>
            <w:proofErr w:type="spellEnd"/>
            <w:r>
              <w:rPr>
                <w:sz w:val="20"/>
                <w:szCs w:val="20"/>
              </w:rPr>
              <w:t xml:space="preserve">) and uses internal code to support certain data classes, whereas MultiAssayExperiment supports an open set of data classes by default as long as they meet minimum API requirements (i.e., dim, </w:t>
            </w:r>
            <w:proofErr w:type="spellStart"/>
            <w:r>
              <w:rPr>
                <w:sz w:val="20"/>
                <w:szCs w:val="20"/>
              </w:rPr>
              <w:t>dimnames</w:t>
            </w:r>
            <w:proofErr w:type="spellEnd"/>
            <w:r>
              <w:rPr>
                <w:sz w:val="20"/>
                <w:szCs w:val="20"/>
              </w:rPr>
              <w:t xml:space="preserve">, "[").  </w:t>
            </w:r>
            <w:r>
              <w:rPr>
                <w:b/>
                <w:sz w:val="20"/>
                <w:szCs w:val="20"/>
              </w:rPr>
              <w:t>Consistent API</w:t>
            </w:r>
            <w:r>
              <w:rPr>
                <w:sz w:val="20"/>
                <w:szCs w:val="20"/>
              </w:rPr>
              <w:t xml:space="preserve"> The MultiAssayExperiment API is modeled after SummarizedExperiment wherever possible; see Table 1. The </w:t>
            </w:r>
            <w:proofErr w:type="spellStart"/>
            <w:r>
              <w:rPr>
                <w:sz w:val="20"/>
                <w:szCs w:val="20"/>
              </w:rPr>
              <w:t>CNAmet</w:t>
            </w:r>
            <w:proofErr w:type="spellEnd"/>
            <w:r>
              <w:rPr>
                <w:sz w:val="20"/>
                <w:szCs w:val="20"/>
              </w:rPr>
              <w:t xml:space="preserve"> package </w:t>
            </w:r>
            <w:hyperlink r:id="rId33">
              <w:r>
                <w:rPr>
                  <w:sz w:val="20"/>
                  <w:szCs w:val="20"/>
                </w:rPr>
                <w:t>(14)</w:t>
              </w:r>
            </w:hyperlink>
            <w:r>
              <w:rPr>
                <w:sz w:val="20"/>
                <w:szCs w:val="20"/>
              </w:rPr>
              <w:t xml:space="preserve"> is tailored to one specific analysis so is not comparable on the items listed here.</w:t>
            </w:r>
          </w:p>
        </w:tc>
      </w:tr>
    </w:tbl>
    <w:p w14:paraId="544E74D6" w14:textId="2FAAC458" w:rsidR="00781821" w:rsidRDefault="00781821">
      <w:pPr>
        <w:pStyle w:val="normal0"/>
        <w:rPr>
          <w:b/>
        </w:rPr>
      </w:pPr>
    </w:p>
    <w:p w14:paraId="60E52B9A" w14:textId="77777777" w:rsidR="00781821" w:rsidRDefault="00781821">
      <w:pPr>
        <w:pStyle w:val="normal0"/>
        <w:rPr>
          <w:b/>
        </w:rPr>
      </w:pPr>
    </w:p>
    <w:p w14:paraId="52C6A86F" w14:textId="77777777" w:rsidR="00781821" w:rsidRDefault="00781821">
      <w:pPr>
        <w:pStyle w:val="normal0"/>
        <w:rPr>
          <w:b/>
        </w:rPr>
      </w:pPr>
    </w:p>
    <w:p w14:paraId="2A387CF9" w14:textId="77777777" w:rsidR="00781821" w:rsidRDefault="00781821">
      <w:pPr>
        <w:pStyle w:val="normal0"/>
        <w:rPr>
          <w:b/>
        </w:rPr>
      </w:pPr>
    </w:p>
    <w:p w14:paraId="541F1D58" w14:textId="77777777" w:rsidR="00781821" w:rsidRDefault="00781821">
      <w:pPr>
        <w:pStyle w:val="normal0"/>
        <w:rPr>
          <w:b/>
        </w:rPr>
      </w:pPr>
    </w:p>
    <w:p w14:paraId="48B59E59" w14:textId="77777777" w:rsidR="00781821" w:rsidRDefault="00781821">
      <w:pPr>
        <w:pStyle w:val="normal0"/>
        <w:rPr>
          <w:b/>
        </w:rPr>
      </w:pPr>
    </w:p>
    <w:p w14:paraId="7A888CF4" w14:textId="77777777" w:rsidR="00781821" w:rsidRDefault="00781821">
      <w:pPr>
        <w:pStyle w:val="normal0"/>
        <w:rPr>
          <w:b/>
        </w:rPr>
      </w:pPr>
    </w:p>
    <w:p w14:paraId="63945790" w14:textId="77777777" w:rsidR="00781821" w:rsidRDefault="00781821">
      <w:pPr>
        <w:pStyle w:val="normal0"/>
        <w:rPr>
          <w:b/>
        </w:rPr>
      </w:pPr>
    </w:p>
    <w:p w14:paraId="4CF010F2" w14:textId="77777777" w:rsidR="00781821" w:rsidRDefault="00781821">
      <w:pPr>
        <w:pStyle w:val="normal0"/>
        <w:rPr>
          <w:b/>
        </w:rPr>
      </w:pPr>
    </w:p>
    <w:tbl>
      <w:tblPr>
        <w:tblStyle w:val="a1"/>
        <w:tblW w:w="9135" w:type="dxa"/>
        <w:tblBorders>
          <w:top w:val="nil"/>
          <w:left w:val="nil"/>
          <w:bottom w:val="nil"/>
          <w:right w:val="nil"/>
          <w:insideH w:val="nil"/>
          <w:insideV w:val="nil"/>
        </w:tblBorders>
        <w:tblLayout w:type="fixed"/>
        <w:tblLook w:val="0600" w:firstRow="0" w:lastRow="0" w:firstColumn="0" w:lastColumn="0" w:noHBand="1" w:noVBand="1"/>
      </w:tblPr>
      <w:tblGrid>
        <w:gridCol w:w="5080"/>
        <w:gridCol w:w="1350"/>
        <w:gridCol w:w="1350"/>
        <w:gridCol w:w="1355"/>
      </w:tblGrid>
      <w:tr w:rsidR="00781821" w14:paraId="0C64AD1F" w14:textId="77777777">
        <w:trPr>
          <w:trHeight w:val="620"/>
        </w:trPr>
        <w:tc>
          <w:tcPr>
            <w:tcW w:w="9135" w:type="dxa"/>
            <w:gridSpan w:val="4"/>
            <w:tcBorders>
              <w:top w:val="nil"/>
              <w:left w:val="nil"/>
              <w:bottom w:val="single" w:sz="12" w:space="0" w:color="000000"/>
              <w:right w:val="nil"/>
            </w:tcBorders>
            <w:tcMar>
              <w:top w:w="40" w:type="dxa"/>
              <w:left w:w="40" w:type="dxa"/>
              <w:bottom w:w="40" w:type="dxa"/>
              <w:right w:w="40" w:type="dxa"/>
            </w:tcMar>
            <w:vAlign w:val="bottom"/>
          </w:tcPr>
          <w:p w14:paraId="675A4061" w14:textId="5C2BFBAC" w:rsidR="00781821" w:rsidRDefault="00581056">
            <w:pPr>
              <w:pStyle w:val="normal0"/>
              <w:rPr>
                <w:b/>
              </w:rPr>
            </w:pPr>
            <w:r>
              <w:rPr>
                <w:b/>
              </w:rPr>
              <w:lastRenderedPageBreak/>
              <w:t>Supplemental Table 2</w:t>
            </w:r>
            <w:r w:rsidR="00A91ED9">
              <w:rPr>
                <w:b/>
              </w:rPr>
              <w:t>. Prepared MultiAssayExperiment objects for TCGA cohorts, with number of assays, features, and samples</w:t>
            </w:r>
          </w:p>
        </w:tc>
      </w:tr>
      <w:tr w:rsidR="00513073" w14:paraId="0F68A3FD" w14:textId="77777777" w:rsidTr="00513073">
        <w:trPr>
          <w:trHeight w:val="580"/>
        </w:trPr>
        <w:tc>
          <w:tcPr>
            <w:tcW w:w="5080" w:type="dxa"/>
            <w:tcBorders>
              <w:top w:val="nil"/>
              <w:left w:val="nil"/>
              <w:bottom w:val="single" w:sz="12" w:space="0" w:color="000000"/>
              <w:right w:val="nil"/>
            </w:tcBorders>
            <w:tcMar>
              <w:top w:w="40" w:type="dxa"/>
              <w:left w:w="40" w:type="dxa"/>
              <w:bottom w:w="40" w:type="dxa"/>
              <w:right w:w="40" w:type="dxa"/>
            </w:tcMar>
            <w:vAlign w:val="center"/>
          </w:tcPr>
          <w:p w14:paraId="0D52369C" w14:textId="77777777" w:rsidR="00781821" w:rsidRDefault="00A91ED9">
            <w:pPr>
              <w:pStyle w:val="normal0"/>
              <w:spacing w:line="240" w:lineRule="auto"/>
              <w:rPr>
                <w:b/>
              </w:rPr>
            </w:pPr>
            <w:r>
              <w:rPr>
                <w:b/>
              </w:rPr>
              <w:t>TCGA Cohort</w:t>
            </w:r>
          </w:p>
        </w:tc>
        <w:tc>
          <w:tcPr>
            <w:tcW w:w="1350" w:type="dxa"/>
            <w:tcBorders>
              <w:top w:val="nil"/>
              <w:left w:val="nil"/>
              <w:bottom w:val="single" w:sz="12" w:space="0" w:color="000000"/>
              <w:right w:val="nil"/>
            </w:tcBorders>
            <w:tcMar>
              <w:top w:w="40" w:type="dxa"/>
              <w:left w:w="40" w:type="dxa"/>
              <w:bottom w:w="40" w:type="dxa"/>
              <w:right w:w="40" w:type="dxa"/>
            </w:tcMar>
            <w:vAlign w:val="center"/>
          </w:tcPr>
          <w:p w14:paraId="2605C8ED" w14:textId="77777777" w:rsidR="00781821" w:rsidRDefault="00A91ED9">
            <w:pPr>
              <w:pStyle w:val="normal0"/>
              <w:spacing w:line="240" w:lineRule="auto"/>
              <w:jc w:val="right"/>
              <w:rPr>
                <w:b/>
              </w:rPr>
            </w:pPr>
            <w:r>
              <w:rPr>
                <w:b/>
              </w:rPr>
              <w:t>Number of Assays</w:t>
            </w:r>
          </w:p>
        </w:tc>
        <w:tc>
          <w:tcPr>
            <w:tcW w:w="1350" w:type="dxa"/>
            <w:tcBorders>
              <w:top w:val="nil"/>
              <w:left w:val="nil"/>
              <w:bottom w:val="single" w:sz="12" w:space="0" w:color="000000"/>
              <w:right w:val="nil"/>
            </w:tcBorders>
            <w:tcMar>
              <w:top w:w="40" w:type="dxa"/>
              <w:left w:w="40" w:type="dxa"/>
              <w:bottom w:w="40" w:type="dxa"/>
              <w:right w:w="40" w:type="dxa"/>
            </w:tcMar>
            <w:vAlign w:val="center"/>
          </w:tcPr>
          <w:p w14:paraId="46FA0629" w14:textId="77777777" w:rsidR="00781821" w:rsidRDefault="00A91ED9">
            <w:pPr>
              <w:pStyle w:val="normal0"/>
              <w:spacing w:line="240" w:lineRule="auto"/>
              <w:jc w:val="right"/>
              <w:rPr>
                <w:b/>
              </w:rPr>
            </w:pPr>
            <w:r>
              <w:rPr>
                <w:b/>
              </w:rPr>
              <w:t>Number of Features</w:t>
            </w:r>
          </w:p>
        </w:tc>
        <w:tc>
          <w:tcPr>
            <w:tcW w:w="1355" w:type="dxa"/>
            <w:tcBorders>
              <w:top w:val="nil"/>
              <w:left w:val="nil"/>
              <w:bottom w:val="single" w:sz="12" w:space="0" w:color="000000"/>
              <w:right w:val="nil"/>
            </w:tcBorders>
            <w:tcMar>
              <w:top w:w="40" w:type="dxa"/>
              <w:left w:w="40" w:type="dxa"/>
              <w:bottom w:w="40" w:type="dxa"/>
              <w:right w:w="40" w:type="dxa"/>
            </w:tcMar>
            <w:vAlign w:val="center"/>
          </w:tcPr>
          <w:p w14:paraId="00CB397A" w14:textId="1FCD20EC" w:rsidR="00781821" w:rsidRDefault="00A91ED9" w:rsidP="00513073">
            <w:pPr>
              <w:pStyle w:val="normal0"/>
              <w:spacing w:line="240" w:lineRule="auto"/>
              <w:jc w:val="right"/>
              <w:rPr>
                <w:b/>
              </w:rPr>
            </w:pPr>
            <w:r>
              <w:rPr>
                <w:b/>
              </w:rPr>
              <w:t xml:space="preserve">Number of </w:t>
            </w:r>
            <w:r w:rsidR="00513073">
              <w:rPr>
                <w:b/>
              </w:rPr>
              <w:t>Specimens*</w:t>
            </w:r>
          </w:p>
        </w:tc>
      </w:tr>
      <w:tr w:rsidR="00513073" w14:paraId="2095A30C"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3C67C9E6" w14:textId="77777777" w:rsidR="00781821" w:rsidRDefault="00A91ED9" w:rsidP="00A91ED9">
            <w:pPr>
              <w:pStyle w:val="normal0"/>
              <w:spacing w:line="240" w:lineRule="auto"/>
              <w:rPr>
                <w:b/>
              </w:rPr>
            </w:pPr>
            <w:r>
              <w:rPr>
                <w:sz w:val="20"/>
                <w:szCs w:val="20"/>
              </w:rPr>
              <w:t>Adrenocortical Carcinoma</w:t>
            </w:r>
          </w:p>
        </w:tc>
        <w:tc>
          <w:tcPr>
            <w:tcW w:w="1350" w:type="dxa"/>
            <w:tcBorders>
              <w:top w:val="nil"/>
              <w:left w:val="nil"/>
              <w:bottom w:val="nil"/>
              <w:right w:val="nil"/>
            </w:tcBorders>
            <w:tcMar>
              <w:top w:w="40" w:type="dxa"/>
              <w:left w:w="40" w:type="dxa"/>
              <w:bottom w:w="40" w:type="dxa"/>
              <w:right w:w="40" w:type="dxa"/>
            </w:tcMar>
            <w:vAlign w:val="bottom"/>
          </w:tcPr>
          <w:p w14:paraId="74B9493E"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033BB907" w14:textId="77777777" w:rsidR="00781821" w:rsidRDefault="00A91ED9" w:rsidP="00A91ED9">
            <w:pPr>
              <w:pStyle w:val="normal0"/>
              <w:spacing w:line="240" w:lineRule="auto"/>
              <w:jc w:val="right"/>
              <w:rPr>
                <w:b/>
              </w:rPr>
            </w:pPr>
            <w:r>
              <w:rPr>
                <w:sz w:val="20"/>
                <w:szCs w:val="20"/>
              </w:rPr>
              <w:t>677,947</w:t>
            </w:r>
          </w:p>
        </w:tc>
        <w:tc>
          <w:tcPr>
            <w:tcW w:w="1355" w:type="dxa"/>
            <w:tcBorders>
              <w:top w:val="nil"/>
              <w:left w:val="nil"/>
              <w:bottom w:val="nil"/>
              <w:right w:val="nil"/>
            </w:tcBorders>
            <w:tcMar>
              <w:top w:w="40" w:type="dxa"/>
              <w:left w:w="40" w:type="dxa"/>
              <w:bottom w:w="40" w:type="dxa"/>
              <w:right w:w="40" w:type="dxa"/>
            </w:tcMar>
            <w:vAlign w:val="bottom"/>
          </w:tcPr>
          <w:p w14:paraId="2535EB6E" w14:textId="77777777" w:rsidR="00781821" w:rsidRDefault="00A91ED9" w:rsidP="00A91ED9">
            <w:pPr>
              <w:pStyle w:val="normal0"/>
              <w:spacing w:line="240" w:lineRule="auto"/>
              <w:jc w:val="right"/>
              <w:rPr>
                <w:b/>
              </w:rPr>
            </w:pPr>
            <w:r>
              <w:rPr>
                <w:sz w:val="20"/>
                <w:szCs w:val="20"/>
              </w:rPr>
              <w:t>180</w:t>
            </w:r>
          </w:p>
        </w:tc>
      </w:tr>
      <w:tr w:rsidR="00513073" w14:paraId="5547383E"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79CC3CD" w14:textId="77777777" w:rsidR="00781821" w:rsidRDefault="00A91ED9" w:rsidP="00A91ED9">
            <w:pPr>
              <w:pStyle w:val="normal0"/>
              <w:spacing w:line="240" w:lineRule="auto"/>
              <w:rPr>
                <w:b/>
              </w:rPr>
            </w:pPr>
            <w:r>
              <w:rPr>
                <w:sz w:val="20"/>
                <w:szCs w:val="20"/>
              </w:rPr>
              <w:t xml:space="preserve">Bladder </w:t>
            </w:r>
            <w:proofErr w:type="spellStart"/>
            <w:r>
              <w:rPr>
                <w:sz w:val="20"/>
                <w:szCs w:val="20"/>
              </w:rPr>
              <w:t>Urothelial</w:t>
            </w:r>
            <w:proofErr w:type="spellEnd"/>
            <w:r>
              <w:rPr>
                <w:sz w:val="20"/>
                <w:szCs w:val="20"/>
              </w:rPr>
              <w:t xml:space="preserve"> Carcinoma</w:t>
            </w:r>
          </w:p>
        </w:tc>
        <w:tc>
          <w:tcPr>
            <w:tcW w:w="1350" w:type="dxa"/>
            <w:tcBorders>
              <w:top w:val="nil"/>
              <w:left w:val="nil"/>
              <w:bottom w:val="nil"/>
              <w:right w:val="nil"/>
            </w:tcBorders>
            <w:tcMar>
              <w:top w:w="40" w:type="dxa"/>
              <w:left w:w="40" w:type="dxa"/>
              <w:bottom w:w="40" w:type="dxa"/>
              <w:right w:w="40" w:type="dxa"/>
            </w:tcMar>
            <w:vAlign w:val="bottom"/>
          </w:tcPr>
          <w:p w14:paraId="44104B0A" w14:textId="77777777" w:rsidR="00781821" w:rsidRDefault="00A91ED9" w:rsidP="00A91ED9">
            <w:pPr>
              <w:pStyle w:val="normal0"/>
              <w:spacing w:line="240" w:lineRule="auto"/>
              <w:jc w:val="right"/>
              <w:rPr>
                <w:b/>
              </w:rPr>
            </w:pPr>
            <w:r>
              <w:rPr>
                <w:sz w:val="20"/>
                <w:szCs w:val="20"/>
              </w:rPr>
              <w:t>11</w:t>
            </w:r>
          </w:p>
        </w:tc>
        <w:tc>
          <w:tcPr>
            <w:tcW w:w="1350" w:type="dxa"/>
            <w:tcBorders>
              <w:top w:val="nil"/>
              <w:left w:val="nil"/>
              <w:bottom w:val="nil"/>
              <w:right w:val="nil"/>
            </w:tcBorders>
            <w:tcMar>
              <w:top w:w="40" w:type="dxa"/>
              <w:left w:w="40" w:type="dxa"/>
              <w:bottom w:w="40" w:type="dxa"/>
              <w:right w:w="40" w:type="dxa"/>
            </w:tcMar>
            <w:vAlign w:val="bottom"/>
          </w:tcPr>
          <w:p w14:paraId="401BA7FB" w14:textId="77777777" w:rsidR="00781821" w:rsidRDefault="00A91ED9" w:rsidP="00A91ED9">
            <w:pPr>
              <w:pStyle w:val="normal0"/>
              <w:spacing w:line="240" w:lineRule="auto"/>
              <w:jc w:val="right"/>
              <w:rPr>
                <w:b/>
              </w:rPr>
            </w:pPr>
            <w:r>
              <w:rPr>
                <w:sz w:val="20"/>
                <w:szCs w:val="20"/>
              </w:rPr>
              <w:t>1,236,717</w:t>
            </w:r>
          </w:p>
        </w:tc>
        <w:tc>
          <w:tcPr>
            <w:tcW w:w="1355" w:type="dxa"/>
            <w:tcBorders>
              <w:top w:val="nil"/>
              <w:left w:val="nil"/>
              <w:bottom w:val="nil"/>
              <w:right w:val="nil"/>
            </w:tcBorders>
            <w:tcMar>
              <w:top w:w="40" w:type="dxa"/>
              <w:left w:w="40" w:type="dxa"/>
              <w:bottom w:w="40" w:type="dxa"/>
              <w:right w:w="40" w:type="dxa"/>
            </w:tcMar>
            <w:vAlign w:val="bottom"/>
          </w:tcPr>
          <w:p w14:paraId="000830DD" w14:textId="77777777" w:rsidR="00781821" w:rsidRDefault="00A91ED9" w:rsidP="00A91ED9">
            <w:pPr>
              <w:pStyle w:val="normal0"/>
              <w:spacing w:line="240" w:lineRule="auto"/>
              <w:jc w:val="right"/>
              <w:rPr>
                <w:b/>
              </w:rPr>
            </w:pPr>
            <w:r>
              <w:rPr>
                <w:sz w:val="20"/>
                <w:szCs w:val="20"/>
              </w:rPr>
              <w:t>806</w:t>
            </w:r>
          </w:p>
        </w:tc>
      </w:tr>
      <w:tr w:rsidR="00513073" w14:paraId="47AEDE51"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84597F0" w14:textId="77777777" w:rsidR="00781821" w:rsidRDefault="00A91ED9" w:rsidP="00A91ED9">
            <w:pPr>
              <w:pStyle w:val="normal0"/>
              <w:spacing w:line="240" w:lineRule="auto"/>
              <w:rPr>
                <w:b/>
              </w:rPr>
            </w:pPr>
            <w:r>
              <w:rPr>
                <w:sz w:val="20"/>
                <w:szCs w:val="20"/>
              </w:rPr>
              <w:t>Breast Invasive Carcinoma</w:t>
            </w:r>
          </w:p>
        </w:tc>
        <w:tc>
          <w:tcPr>
            <w:tcW w:w="1350" w:type="dxa"/>
            <w:tcBorders>
              <w:top w:val="nil"/>
              <w:left w:val="nil"/>
              <w:bottom w:val="nil"/>
              <w:right w:val="nil"/>
            </w:tcBorders>
            <w:tcMar>
              <w:top w:w="40" w:type="dxa"/>
              <w:left w:w="40" w:type="dxa"/>
              <w:bottom w:w="40" w:type="dxa"/>
              <w:right w:w="40" w:type="dxa"/>
            </w:tcMar>
            <w:vAlign w:val="bottom"/>
          </w:tcPr>
          <w:p w14:paraId="10E2AB81" w14:textId="77777777" w:rsidR="00781821" w:rsidRDefault="00A91ED9" w:rsidP="00A91ED9">
            <w:pPr>
              <w:pStyle w:val="normal0"/>
              <w:spacing w:line="240" w:lineRule="auto"/>
              <w:jc w:val="right"/>
              <w:rPr>
                <w:b/>
              </w:rPr>
            </w:pPr>
            <w:r>
              <w:rPr>
                <w:sz w:val="20"/>
                <w:szCs w:val="20"/>
              </w:rPr>
              <w:t>8</w:t>
            </w:r>
          </w:p>
        </w:tc>
        <w:tc>
          <w:tcPr>
            <w:tcW w:w="1350" w:type="dxa"/>
            <w:tcBorders>
              <w:top w:val="nil"/>
              <w:left w:val="nil"/>
              <w:bottom w:val="nil"/>
              <w:right w:val="nil"/>
            </w:tcBorders>
            <w:tcMar>
              <w:top w:w="40" w:type="dxa"/>
              <w:left w:w="40" w:type="dxa"/>
              <w:bottom w:w="40" w:type="dxa"/>
              <w:right w:w="40" w:type="dxa"/>
            </w:tcMar>
            <w:vAlign w:val="bottom"/>
          </w:tcPr>
          <w:p w14:paraId="62DA3B1E" w14:textId="77777777" w:rsidR="00781821" w:rsidRDefault="00A91ED9" w:rsidP="00A91ED9">
            <w:pPr>
              <w:pStyle w:val="normal0"/>
              <w:spacing w:line="240" w:lineRule="auto"/>
              <w:jc w:val="right"/>
              <w:rPr>
                <w:b/>
              </w:rPr>
            </w:pPr>
            <w:r>
              <w:rPr>
                <w:sz w:val="20"/>
                <w:szCs w:val="20"/>
              </w:rPr>
              <w:t>595,134</w:t>
            </w:r>
          </w:p>
        </w:tc>
        <w:tc>
          <w:tcPr>
            <w:tcW w:w="1355" w:type="dxa"/>
            <w:tcBorders>
              <w:top w:val="nil"/>
              <w:left w:val="nil"/>
              <w:bottom w:val="nil"/>
              <w:right w:val="nil"/>
            </w:tcBorders>
            <w:tcMar>
              <w:top w:w="40" w:type="dxa"/>
              <w:left w:w="40" w:type="dxa"/>
              <w:bottom w:w="40" w:type="dxa"/>
              <w:right w:w="40" w:type="dxa"/>
            </w:tcMar>
            <w:vAlign w:val="bottom"/>
          </w:tcPr>
          <w:p w14:paraId="691AE422" w14:textId="77777777" w:rsidR="00781821" w:rsidRDefault="00A91ED9" w:rsidP="00A91ED9">
            <w:pPr>
              <w:pStyle w:val="normal0"/>
              <w:spacing w:line="240" w:lineRule="auto"/>
              <w:jc w:val="right"/>
              <w:rPr>
                <w:b/>
              </w:rPr>
            </w:pPr>
            <w:r>
              <w:rPr>
                <w:sz w:val="20"/>
                <w:szCs w:val="20"/>
              </w:rPr>
              <w:t>1,212</w:t>
            </w:r>
          </w:p>
        </w:tc>
      </w:tr>
      <w:tr w:rsidR="00513073" w14:paraId="4AA3943E"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1A93ADD5" w14:textId="77777777" w:rsidR="00781821" w:rsidRDefault="00A91ED9" w:rsidP="00A91ED9">
            <w:pPr>
              <w:pStyle w:val="normal0"/>
              <w:spacing w:line="240" w:lineRule="auto"/>
              <w:rPr>
                <w:b/>
              </w:rPr>
            </w:pPr>
            <w:r>
              <w:rPr>
                <w:sz w:val="20"/>
                <w:szCs w:val="20"/>
              </w:rPr>
              <w:t xml:space="preserve">Cervical Squamous Cell Carcinoma and </w:t>
            </w:r>
            <w:proofErr w:type="spellStart"/>
            <w:r>
              <w:rPr>
                <w:sz w:val="20"/>
                <w:szCs w:val="20"/>
              </w:rPr>
              <w:t>Endocervical</w:t>
            </w:r>
            <w:proofErr w:type="spellEnd"/>
            <w:r>
              <w:rPr>
                <w:sz w:val="20"/>
                <w:szCs w:val="20"/>
              </w:rPr>
              <w:t xml:space="preserve"> Adenocarcinoma</w:t>
            </w:r>
          </w:p>
        </w:tc>
        <w:tc>
          <w:tcPr>
            <w:tcW w:w="1350" w:type="dxa"/>
            <w:tcBorders>
              <w:top w:val="nil"/>
              <w:left w:val="nil"/>
              <w:bottom w:val="nil"/>
              <w:right w:val="nil"/>
            </w:tcBorders>
            <w:tcMar>
              <w:top w:w="40" w:type="dxa"/>
              <w:left w:w="40" w:type="dxa"/>
              <w:bottom w:w="40" w:type="dxa"/>
              <w:right w:w="40" w:type="dxa"/>
            </w:tcMar>
            <w:vAlign w:val="bottom"/>
          </w:tcPr>
          <w:p w14:paraId="2E808724"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13CD43DA" w14:textId="77777777" w:rsidR="00781821" w:rsidRDefault="00A91ED9" w:rsidP="00A91ED9">
            <w:pPr>
              <w:pStyle w:val="normal0"/>
              <w:spacing w:line="240" w:lineRule="auto"/>
              <w:jc w:val="right"/>
              <w:rPr>
                <w:b/>
              </w:rPr>
            </w:pPr>
            <w:r>
              <w:rPr>
                <w:sz w:val="20"/>
                <w:szCs w:val="20"/>
              </w:rPr>
              <w:t>892,007</w:t>
            </w:r>
          </w:p>
        </w:tc>
        <w:tc>
          <w:tcPr>
            <w:tcW w:w="1355" w:type="dxa"/>
            <w:tcBorders>
              <w:top w:val="nil"/>
              <w:left w:val="nil"/>
              <w:bottom w:val="nil"/>
              <w:right w:val="nil"/>
            </w:tcBorders>
            <w:tcMar>
              <w:top w:w="40" w:type="dxa"/>
              <w:left w:w="40" w:type="dxa"/>
              <w:bottom w:w="40" w:type="dxa"/>
              <w:right w:w="40" w:type="dxa"/>
            </w:tcMar>
            <w:vAlign w:val="bottom"/>
          </w:tcPr>
          <w:p w14:paraId="44B0B885" w14:textId="77777777" w:rsidR="00781821" w:rsidRDefault="00A91ED9" w:rsidP="00A91ED9">
            <w:pPr>
              <w:pStyle w:val="normal0"/>
              <w:spacing w:line="240" w:lineRule="auto"/>
              <w:jc w:val="right"/>
              <w:rPr>
                <w:b/>
              </w:rPr>
            </w:pPr>
            <w:r>
              <w:rPr>
                <w:sz w:val="20"/>
                <w:szCs w:val="20"/>
              </w:rPr>
              <w:t>586</w:t>
            </w:r>
          </w:p>
        </w:tc>
      </w:tr>
      <w:tr w:rsidR="00513073" w14:paraId="2DDA1A18"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007AE4C5" w14:textId="77777777" w:rsidR="00781821" w:rsidRDefault="00A91ED9" w:rsidP="00A91ED9">
            <w:pPr>
              <w:pStyle w:val="normal0"/>
              <w:spacing w:line="240" w:lineRule="auto"/>
              <w:rPr>
                <w:b/>
              </w:rPr>
            </w:pPr>
            <w:proofErr w:type="spellStart"/>
            <w:r>
              <w:rPr>
                <w:sz w:val="20"/>
                <w:szCs w:val="20"/>
              </w:rPr>
              <w:t>Cholangiocarcinoma</w:t>
            </w:r>
            <w:proofErr w:type="spellEnd"/>
          </w:p>
        </w:tc>
        <w:tc>
          <w:tcPr>
            <w:tcW w:w="1350" w:type="dxa"/>
            <w:tcBorders>
              <w:top w:val="nil"/>
              <w:left w:val="nil"/>
              <w:bottom w:val="nil"/>
              <w:right w:val="nil"/>
            </w:tcBorders>
            <w:tcMar>
              <w:top w:w="40" w:type="dxa"/>
              <w:left w:w="40" w:type="dxa"/>
              <w:bottom w:w="40" w:type="dxa"/>
              <w:right w:w="40" w:type="dxa"/>
            </w:tcMar>
            <w:vAlign w:val="bottom"/>
          </w:tcPr>
          <w:p w14:paraId="05A70FAB"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7510CC24" w14:textId="77777777" w:rsidR="00781821" w:rsidRDefault="00A91ED9" w:rsidP="00A91ED9">
            <w:pPr>
              <w:pStyle w:val="normal0"/>
              <w:spacing w:line="240" w:lineRule="auto"/>
              <w:jc w:val="right"/>
              <w:rPr>
                <w:b/>
              </w:rPr>
            </w:pPr>
            <w:r>
              <w:rPr>
                <w:sz w:val="20"/>
                <w:szCs w:val="20"/>
              </w:rPr>
              <w:t>610,891</w:t>
            </w:r>
          </w:p>
        </w:tc>
        <w:tc>
          <w:tcPr>
            <w:tcW w:w="1355" w:type="dxa"/>
            <w:tcBorders>
              <w:top w:val="nil"/>
              <w:left w:val="nil"/>
              <w:bottom w:val="nil"/>
              <w:right w:val="nil"/>
            </w:tcBorders>
            <w:tcMar>
              <w:top w:w="40" w:type="dxa"/>
              <w:left w:w="40" w:type="dxa"/>
              <w:bottom w:w="40" w:type="dxa"/>
              <w:right w:w="40" w:type="dxa"/>
            </w:tcMar>
            <w:vAlign w:val="bottom"/>
          </w:tcPr>
          <w:p w14:paraId="20746F2F" w14:textId="77777777" w:rsidR="00781821" w:rsidRDefault="00A91ED9" w:rsidP="00A91ED9">
            <w:pPr>
              <w:pStyle w:val="normal0"/>
              <w:spacing w:line="240" w:lineRule="auto"/>
              <w:jc w:val="right"/>
              <w:rPr>
                <w:b/>
              </w:rPr>
            </w:pPr>
            <w:r>
              <w:rPr>
                <w:sz w:val="20"/>
                <w:szCs w:val="20"/>
              </w:rPr>
              <w:t>85</w:t>
            </w:r>
          </w:p>
        </w:tc>
      </w:tr>
      <w:tr w:rsidR="00513073" w14:paraId="6D818BDF"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327D127" w14:textId="77777777" w:rsidR="00781821" w:rsidRDefault="00A91ED9" w:rsidP="00A91ED9">
            <w:pPr>
              <w:pStyle w:val="normal0"/>
              <w:spacing w:line="240" w:lineRule="auto"/>
              <w:rPr>
                <w:b/>
              </w:rPr>
            </w:pPr>
            <w:r>
              <w:rPr>
                <w:sz w:val="20"/>
                <w:szCs w:val="20"/>
              </w:rPr>
              <w:t>Colon Adenocarcinoma</w:t>
            </w:r>
          </w:p>
        </w:tc>
        <w:tc>
          <w:tcPr>
            <w:tcW w:w="1350" w:type="dxa"/>
            <w:tcBorders>
              <w:top w:val="nil"/>
              <w:left w:val="nil"/>
              <w:bottom w:val="nil"/>
              <w:right w:val="nil"/>
            </w:tcBorders>
            <w:tcMar>
              <w:top w:w="40" w:type="dxa"/>
              <w:left w:w="40" w:type="dxa"/>
              <w:bottom w:w="40" w:type="dxa"/>
              <w:right w:w="40" w:type="dxa"/>
            </w:tcMar>
            <w:vAlign w:val="bottom"/>
          </w:tcPr>
          <w:p w14:paraId="498F951E" w14:textId="77777777" w:rsidR="00781821" w:rsidRDefault="00A91ED9" w:rsidP="00A91ED9">
            <w:pPr>
              <w:pStyle w:val="normal0"/>
              <w:spacing w:line="240" w:lineRule="auto"/>
              <w:jc w:val="right"/>
              <w:rPr>
                <w:b/>
              </w:rPr>
            </w:pPr>
            <w:r>
              <w:rPr>
                <w:sz w:val="20"/>
                <w:szCs w:val="20"/>
              </w:rPr>
              <w:t>12</w:t>
            </w:r>
          </w:p>
        </w:tc>
        <w:tc>
          <w:tcPr>
            <w:tcW w:w="1350" w:type="dxa"/>
            <w:tcBorders>
              <w:top w:val="nil"/>
              <w:left w:val="nil"/>
              <w:bottom w:val="nil"/>
              <w:right w:val="nil"/>
            </w:tcBorders>
            <w:tcMar>
              <w:top w:w="40" w:type="dxa"/>
              <w:left w:w="40" w:type="dxa"/>
              <w:bottom w:w="40" w:type="dxa"/>
              <w:right w:w="40" w:type="dxa"/>
            </w:tcMar>
            <w:vAlign w:val="bottom"/>
          </w:tcPr>
          <w:p w14:paraId="24587279" w14:textId="77777777" w:rsidR="00781821" w:rsidRDefault="00A91ED9" w:rsidP="00A91ED9">
            <w:pPr>
              <w:pStyle w:val="normal0"/>
              <w:spacing w:line="240" w:lineRule="auto"/>
              <w:jc w:val="right"/>
              <w:rPr>
                <w:b/>
              </w:rPr>
            </w:pPr>
            <w:r>
              <w:rPr>
                <w:sz w:val="20"/>
                <w:szCs w:val="20"/>
              </w:rPr>
              <w:t>1,245,516</w:t>
            </w:r>
          </w:p>
        </w:tc>
        <w:tc>
          <w:tcPr>
            <w:tcW w:w="1355" w:type="dxa"/>
            <w:tcBorders>
              <w:top w:val="nil"/>
              <w:left w:val="nil"/>
              <w:bottom w:val="nil"/>
              <w:right w:val="nil"/>
            </w:tcBorders>
            <w:tcMar>
              <w:top w:w="40" w:type="dxa"/>
              <w:left w:w="40" w:type="dxa"/>
              <w:bottom w:w="40" w:type="dxa"/>
              <w:right w:w="40" w:type="dxa"/>
            </w:tcMar>
            <w:vAlign w:val="bottom"/>
          </w:tcPr>
          <w:p w14:paraId="702C45E0" w14:textId="77777777" w:rsidR="00781821" w:rsidRDefault="00A91ED9" w:rsidP="00A91ED9">
            <w:pPr>
              <w:pStyle w:val="normal0"/>
              <w:spacing w:line="240" w:lineRule="auto"/>
              <w:jc w:val="right"/>
              <w:rPr>
                <w:b/>
              </w:rPr>
            </w:pPr>
            <w:r>
              <w:rPr>
                <w:sz w:val="20"/>
                <w:szCs w:val="20"/>
              </w:rPr>
              <w:t>914</w:t>
            </w:r>
          </w:p>
        </w:tc>
      </w:tr>
      <w:tr w:rsidR="00513073" w14:paraId="589F4792"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1DDFE0A0" w14:textId="77777777" w:rsidR="00781821" w:rsidRDefault="00A91ED9" w:rsidP="00A91ED9">
            <w:pPr>
              <w:pStyle w:val="normal0"/>
              <w:spacing w:line="240" w:lineRule="auto"/>
              <w:rPr>
                <w:b/>
              </w:rPr>
            </w:pPr>
            <w:r>
              <w:rPr>
                <w:sz w:val="20"/>
                <w:szCs w:val="20"/>
              </w:rPr>
              <w:t>Lymphoid Neoplasm Diffuse Large B-Cell Lymphoma</w:t>
            </w:r>
          </w:p>
        </w:tc>
        <w:tc>
          <w:tcPr>
            <w:tcW w:w="1350" w:type="dxa"/>
            <w:tcBorders>
              <w:top w:val="nil"/>
              <w:left w:val="nil"/>
              <w:bottom w:val="nil"/>
              <w:right w:val="nil"/>
            </w:tcBorders>
            <w:tcMar>
              <w:top w:w="40" w:type="dxa"/>
              <w:left w:w="40" w:type="dxa"/>
              <w:bottom w:w="40" w:type="dxa"/>
              <w:right w:w="40" w:type="dxa"/>
            </w:tcMar>
            <w:vAlign w:val="bottom"/>
          </w:tcPr>
          <w:p w14:paraId="30B92248"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4964FAEC" w14:textId="77777777" w:rsidR="00781821" w:rsidRDefault="00A91ED9" w:rsidP="00A91ED9">
            <w:pPr>
              <w:pStyle w:val="normal0"/>
              <w:spacing w:line="240" w:lineRule="auto"/>
              <w:jc w:val="right"/>
              <w:rPr>
                <w:b/>
              </w:rPr>
            </w:pPr>
            <w:r>
              <w:rPr>
                <w:sz w:val="20"/>
                <w:szCs w:val="20"/>
              </w:rPr>
              <w:t>627,264</w:t>
            </w:r>
          </w:p>
        </w:tc>
        <w:tc>
          <w:tcPr>
            <w:tcW w:w="1355" w:type="dxa"/>
            <w:tcBorders>
              <w:top w:val="nil"/>
              <w:left w:val="nil"/>
              <w:bottom w:val="nil"/>
              <w:right w:val="nil"/>
            </w:tcBorders>
            <w:tcMar>
              <w:top w:w="40" w:type="dxa"/>
              <w:left w:w="40" w:type="dxa"/>
              <w:bottom w:w="40" w:type="dxa"/>
              <w:right w:w="40" w:type="dxa"/>
            </w:tcMar>
            <w:vAlign w:val="bottom"/>
          </w:tcPr>
          <w:p w14:paraId="41FB169C" w14:textId="77777777" w:rsidR="00781821" w:rsidRDefault="00A91ED9" w:rsidP="00A91ED9">
            <w:pPr>
              <w:pStyle w:val="normal0"/>
              <w:spacing w:line="240" w:lineRule="auto"/>
              <w:jc w:val="right"/>
              <w:rPr>
                <w:b/>
              </w:rPr>
            </w:pPr>
            <w:r>
              <w:rPr>
                <w:sz w:val="20"/>
                <w:szCs w:val="20"/>
              </w:rPr>
              <w:t>94</w:t>
            </w:r>
          </w:p>
        </w:tc>
      </w:tr>
      <w:tr w:rsidR="00513073" w14:paraId="3724D642"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71899144" w14:textId="77777777" w:rsidR="00781821" w:rsidRDefault="00A91ED9" w:rsidP="00A91ED9">
            <w:pPr>
              <w:pStyle w:val="normal0"/>
              <w:spacing w:line="240" w:lineRule="auto"/>
              <w:rPr>
                <w:b/>
              </w:rPr>
            </w:pPr>
            <w:r>
              <w:rPr>
                <w:sz w:val="20"/>
                <w:szCs w:val="20"/>
              </w:rPr>
              <w:t>Esophageal Carcinoma</w:t>
            </w:r>
          </w:p>
        </w:tc>
        <w:tc>
          <w:tcPr>
            <w:tcW w:w="1350" w:type="dxa"/>
            <w:tcBorders>
              <w:top w:val="nil"/>
              <w:left w:val="nil"/>
              <w:bottom w:val="nil"/>
              <w:right w:val="nil"/>
            </w:tcBorders>
            <w:tcMar>
              <w:top w:w="40" w:type="dxa"/>
              <w:left w:w="40" w:type="dxa"/>
              <w:bottom w:w="40" w:type="dxa"/>
              <w:right w:w="40" w:type="dxa"/>
            </w:tcMar>
            <w:vAlign w:val="bottom"/>
          </w:tcPr>
          <w:p w14:paraId="4596C6C1" w14:textId="77777777" w:rsidR="00781821" w:rsidRDefault="00A91ED9" w:rsidP="00A91ED9">
            <w:pPr>
              <w:pStyle w:val="normal0"/>
              <w:spacing w:line="240" w:lineRule="auto"/>
              <w:jc w:val="right"/>
              <w:rPr>
                <w:b/>
              </w:rPr>
            </w:pPr>
            <w:r>
              <w:rPr>
                <w:sz w:val="20"/>
                <w:szCs w:val="20"/>
              </w:rPr>
              <w:t>10</w:t>
            </w:r>
          </w:p>
        </w:tc>
        <w:tc>
          <w:tcPr>
            <w:tcW w:w="1350" w:type="dxa"/>
            <w:tcBorders>
              <w:top w:val="nil"/>
              <w:left w:val="nil"/>
              <w:bottom w:val="nil"/>
              <w:right w:val="nil"/>
            </w:tcBorders>
            <w:tcMar>
              <w:top w:w="40" w:type="dxa"/>
              <w:left w:w="40" w:type="dxa"/>
              <w:bottom w:w="40" w:type="dxa"/>
              <w:right w:w="40" w:type="dxa"/>
            </w:tcMar>
            <w:vAlign w:val="bottom"/>
          </w:tcPr>
          <w:p w14:paraId="4453A711" w14:textId="77777777" w:rsidR="00781821" w:rsidRDefault="00A91ED9" w:rsidP="00A91ED9">
            <w:pPr>
              <w:pStyle w:val="normal0"/>
              <w:spacing w:line="240" w:lineRule="auto"/>
              <w:jc w:val="right"/>
              <w:rPr>
                <w:b/>
              </w:rPr>
            </w:pPr>
            <w:r>
              <w:rPr>
                <w:sz w:val="20"/>
                <w:szCs w:val="20"/>
              </w:rPr>
              <w:t>864,036</w:t>
            </w:r>
          </w:p>
        </w:tc>
        <w:tc>
          <w:tcPr>
            <w:tcW w:w="1355" w:type="dxa"/>
            <w:tcBorders>
              <w:top w:val="nil"/>
              <w:left w:val="nil"/>
              <w:bottom w:val="nil"/>
              <w:right w:val="nil"/>
            </w:tcBorders>
            <w:tcMar>
              <w:top w:w="40" w:type="dxa"/>
              <w:left w:w="40" w:type="dxa"/>
              <w:bottom w:w="40" w:type="dxa"/>
              <w:right w:w="40" w:type="dxa"/>
            </w:tcMar>
            <w:vAlign w:val="bottom"/>
          </w:tcPr>
          <w:p w14:paraId="583CFF8E" w14:textId="77777777" w:rsidR="00781821" w:rsidRDefault="00A91ED9" w:rsidP="00A91ED9">
            <w:pPr>
              <w:pStyle w:val="normal0"/>
              <w:spacing w:line="240" w:lineRule="auto"/>
              <w:jc w:val="right"/>
              <w:rPr>
                <w:b/>
              </w:rPr>
            </w:pPr>
            <w:r>
              <w:rPr>
                <w:sz w:val="20"/>
                <w:szCs w:val="20"/>
              </w:rPr>
              <w:t>373</w:t>
            </w:r>
          </w:p>
        </w:tc>
      </w:tr>
      <w:tr w:rsidR="00513073" w14:paraId="68D3CD63"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1B3C7C7E" w14:textId="77777777" w:rsidR="00781821" w:rsidRDefault="00A91ED9" w:rsidP="00A91ED9">
            <w:pPr>
              <w:pStyle w:val="normal0"/>
              <w:spacing w:line="240" w:lineRule="auto"/>
              <w:rPr>
                <w:b/>
              </w:rPr>
            </w:pPr>
            <w:proofErr w:type="spellStart"/>
            <w:r>
              <w:rPr>
                <w:sz w:val="20"/>
                <w:szCs w:val="20"/>
              </w:rPr>
              <w:t>Glioblastoma</w:t>
            </w:r>
            <w:proofErr w:type="spellEnd"/>
            <w:r>
              <w:rPr>
                <w:sz w:val="20"/>
                <w:szCs w:val="20"/>
              </w:rPr>
              <w:t xml:space="preserve"> </w:t>
            </w:r>
            <w:proofErr w:type="spellStart"/>
            <w:r>
              <w:rPr>
                <w:sz w:val="20"/>
                <w:szCs w:val="20"/>
              </w:rPr>
              <w:t>Multiforme</w:t>
            </w:r>
            <w:proofErr w:type="spellEnd"/>
          </w:p>
        </w:tc>
        <w:tc>
          <w:tcPr>
            <w:tcW w:w="1350" w:type="dxa"/>
            <w:tcBorders>
              <w:top w:val="nil"/>
              <w:left w:val="nil"/>
              <w:bottom w:val="nil"/>
              <w:right w:val="nil"/>
            </w:tcBorders>
            <w:tcMar>
              <w:top w:w="40" w:type="dxa"/>
              <w:left w:w="40" w:type="dxa"/>
              <w:bottom w:w="40" w:type="dxa"/>
              <w:right w:w="40" w:type="dxa"/>
            </w:tcMar>
            <w:vAlign w:val="bottom"/>
          </w:tcPr>
          <w:p w14:paraId="7A80B16E" w14:textId="77777777" w:rsidR="00781821" w:rsidRDefault="00A91ED9" w:rsidP="00A91ED9">
            <w:pPr>
              <w:pStyle w:val="normal0"/>
              <w:spacing w:line="240" w:lineRule="auto"/>
              <w:jc w:val="right"/>
              <w:rPr>
                <w:b/>
              </w:rPr>
            </w:pPr>
            <w:r>
              <w:rPr>
                <w:sz w:val="20"/>
                <w:szCs w:val="20"/>
              </w:rPr>
              <w:t>8</w:t>
            </w:r>
          </w:p>
        </w:tc>
        <w:tc>
          <w:tcPr>
            <w:tcW w:w="1350" w:type="dxa"/>
            <w:tcBorders>
              <w:top w:val="nil"/>
              <w:left w:val="nil"/>
              <w:bottom w:val="nil"/>
              <w:right w:val="nil"/>
            </w:tcBorders>
            <w:tcMar>
              <w:top w:w="40" w:type="dxa"/>
              <w:left w:w="40" w:type="dxa"/>
              <w:bottom w:w="40" w:type="dxa"/>
              <w:right w:w="40" w:type="dxa"/>
            </w:tcMar>
            <w:vAlign w:val="bottom"/>
          </w:tcPr>
          <w:p w14:paraId="3623C9FD" w14:textId="77777777" w:rsidR="00781821" w:rsidRDefault="00A91ED9" w:rsidP="00A91ED9">
            <w:pPr>
              <w:pStyle w:val="normal0"/>
              <w:spacing w:line="240" w:lineRule="auto"/>
              <w:jc w:val="right"/>
              <w:rPr>
                <w:b/>
              </w:rPr>
            </w:pPr>
            <w:r>
              <w:rPr>
                <w:sz w:val="20"/>
                <w:szCs w:val="20"/>
              </w:rPr>
              <w:t>111,461</w:t>
            </w:r>
          </w:p>
        </w:tc>
        <w:tc>
          <w:tcPr>
            <w:tcW w:w="1355" w:type="dxa"/>
            <w:tcBorders>
              <w:top w:val="nil"/>
              <w:left w:val="nil"/>
              <w:bottom w:val="nil"/>
              <w:right w:val="nil"/>
            </w:tcBorders>
            <w:tcMar>
              <w:top w:w="40" w:type="dxa"/>
              <w:left w:w="40" w:type="dxa"/>
              <w:bottom w:w="40" w:type="dxa"/>
              <w:right w:w="40" w:type="dxa"/>
            </w:tcMar>
            <w:vAlign w:val="bottom"/>
          </w:tcPr>
          <w:p w14:paraId="1608C0A9" w14:textId="77777777" w:rsidR="00781821" w:rsidRDefault="00A91ED9" w:rsidP="00A91ED9">
            <w:pPr>
              <w:pStyle w:val="normal0"/>
              <w:spacing w:line="240" w:lineRule="auto"/>
              <w:jc w:val="right"/>
              <w:rPr>
                <w:b/>
              </w:rPr>
            </w:pPr>
            <w:r>
              <w:rPr>
                <w:sz w:val="20"/>
                <w:szCs w:val="20"/>
              </w:rPr>
              <w:t>573</w:t>
            </w:r>
          </w:p>
        </w:tc>
      </w:tr>
      <w:tr w:rsidR="00513073" w14:paraId="54C99250"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07B3F6F" w14:textId="77777777" w:rsidR="00781821" w:rsidRDefault="00A91ED9" w:rsidP="00A91ED9">
            <w:pPr>
              <w:pStyle w:val="normal0"/>
              <w:spacing w:line="240" w:lineRule="auto"/>
              <w:rPr>
                <w:b/>
              </w:rPr>
            </w:pPr>
            <w:r>
              <w:rPr>
                <w:sz w:val="20"/>
                <w:szCs w:val="20"/>
              </w:rPr>
              <w:t>Head and Neck Squamous Cell Carcinoma</w:t>
            </w:r>
          </w:p>
        </w:tc>
        <w:tc>
          <w:tcPr>
            <w:tcW w:w="1350" w:type="dxa"/>
            <w:tcBorders>
              <w:top w:val="nil"/>
              <w:left w:val="nil"/>
              <w:bottom w:val="nil"/>
              <w:right w:val="nil"/>
            </w:tcBorders>
            <w:tcMar>
              <w:top w:w="40" w:type="dxa"/>
              <w:left w:w="40" w:type="dxa"/>
              <w:bottom w:w="40" w:type="dxa"/>
              <w:right w:w="40" w:type="dxa"/>
            </w:tcMar>
            <w:vAlign w:val="bottom"/>
          </w:tcPr>
          <w:p w14:paraId="333D5174" w14:textId="77777777" w:rsidR="00781821" w:rsidRDefault="00A91ED9" w:rsidP="00A91ED9">
            <w:pPr>
              <w:pStyle w:val="normal0"/>
              <w:spacing w:line="240" w:lineRule="auto"/>
              <w:jc w:val="right"/>
              <w:rPr>
                <w:b/>
              </w:rPr>
            </w:pPr>
            <w:r>
              <w:rPr>
                <w:sz w:val="20"/>
                <w:szCs w:val="20"/>
              </w:rPr>
              <w:t>11</w:t>
            </w:r>
          </w:p>
        </w:tc>
        <w:tc>
          <w:tcPr>
            <w:tcW w:w="1350" w:type="dxa"/>
            <w:tcBorders>
              <w:top w:val="nil"/>
              <w:left w:val="nil"/>
              <w:bottom w:val="nil"/>
              <w:right w:val="nil"/>
            </w:tcBorders>
            <w:tcMar>
              <w:top w:w="40" w:type="dxa"/>
              <w:left w:w="40" w:type="dxa"/>
              <w:bottom w:w="40" w:type="dxa"/>
              <w:right w:w="40" w:type="dxa"/>
            </w:tcMar>
            <w:vAlign w:val="bottom"/>
          </w:tcPr>
          <w:p w14:paraId="526A9798" w14:textId="77777777" w:rsidR="00781821" w:rsidRDefault="00A91ED9" w:rsidP="00A91ED9">
            <w:pPr>
              <w:pStyle w:val="normal0"/>
              <w:spacing w:line="240" w:lineRule="auto"/>
              <w:jc w:val="right"/>
              <w:rPr>
                <w:b/>
              </w:rPr>
            </w:pPr>
            <w:r>
              <w:rPr>
                <w:sz w:val="20"/>
                <w:szCs w:val="20"/>
              </w:rPr>
              <w:t>1,271,473</w:t>
            </w:r>
          </w:p>
        </w:tc>
        <w:tc>
          <w:tcPr>
            <w:tcW w:w="1355" w:type="dxa"/>
            <w:tcBorders>
              <w:top w:val="nil"/>
              <w:left w:val="nil"/>
              <w:bottom w:val="nil"/>
              <w:right w:val="nil"/>
            </w:tcBorders>
            <w:tcMar>
              <w:top w:w="40" w:type="dxa"/>
              <w:left w:w="40" w:type="dxa"/>
              <w:bottom w:w="40" w:type="dxa"/>
              <w:right w:w="40" w:type="dxa"/>
            </w:tcMar>
            <w:vAlign w:val="bottom"/>
          </w:tcPr>
          <w:p w14:paraId="5E4694DC" w14:textId="77777777" w:rsidR="00781821" w:rsidRDefault="00A91ED9" w:rsidP="00A91ED9">
            <w:pPr>
              <w:pStyle w:val="normal0"/>
              <w:spacing w:line="240" w:lineRule="auto"/>
              <w:jc w:val="right"/>
              <w:rPr>
                <w:b/>
              </w:rPr>
            </w:pPr>
            <w:r>
              <w:rPr>
                <w:sz w:val="20"/>
                <w:szCs w:val="20"/>
              </w:rPr>
              <w:t>1,090</w:t>
            </w:r>
          </w:p>
        </w:tc>
      </w:tr>
      <w:tr w:rsidR="00513073" w14:paraId="312688A7"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53FEF176" w14:textId="77777777" w:rsidR="00781821" w:rsidRDefault="00A91ED9" w:rsidP="00A91ED9">
            <w:pPr>
              <w:pStyle w:val="normal0"/>
              <w:spacing w:line="240" w:lineRule="auto"/>
              <w:rPr>
                <w:b/>
              </w:rPr>
            </w:pPr>
            <w:r>
              <w:rPr>
                <w:sz w:val="20"/>
                <w:szCs w:val="20"/>
              </w:rPr>
              <w:t xml:space="preserve">Kidney </w:t>
            </w:r>
            <w:proofErr w:type="spellStart"/>
            <w:r>
              <w:rPr>
                <w:sz w:val="20"/>
                <w:szCs w:val="20"/>
              </w:rPr>
              <w:t>Chromophobe</w:t>
            </w:r>
            <w:proofErr w:type="spellEnd"/>
          </w:p>
        </w:tc>
        <w:tc>
          <w:tcPr>
            <w:tcW w:w="1350" w:type="dxa"/>
            <w:tcBorders>
              <w:top w:val="nil"/>
              <w:left w:val="nil"/>
              <w:bottom w:val="nil"/>
              <w:right w:val="nil"/>
            </w:tcBorders>
            <w:tcMar>
              <w:top w:w="40" w:type="dxa"/>
              <w:left w:w="40" w:type="dxa"/>
              <w:bottom w:w="40" w:type="dxa"/>
              <w:right w:w="40" w:type="dxa"/>
            </w:tcMar>
            <w:vAlign w:val="bottom"/>
          </w:tcPr>
          <w:p w14:paraId="76821301"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77201714" w14:textId="77777777" w:rsidR="00781821" w:rsidRDefault="00A91ED9" w:rsidP="00A91ED9">
            <w:pPr>
              <w:pStyle w:val="normal0"/>
              <w:spacing w:line="240" w:lineRule="auto"/>
              <w:jc w:val="right"/>
              <w:rPr>
                <w:b/>
              </w:rPr>
            </w:pPr>
            <w:r>
              <w:rPr>
                <w:sz w:val="20"/>
                <w:szCs w:val="20"/>
              </w:rPr>
              <w:t>632,321</w:t>
            </w:r>
          </w:p>
        </w:tc>
        <w:tc>
          <w:tcPr>
            <w:tcW w:w="1355" w:type="dxa"/>
            <w:tcBorders>
              <w:top w:val="nil"/>
              <w:left w:val="nil"/>
              <w:bottom w:val="nil"/>
              <w:right w:val="nil"/>
            </w:tcBorders>
            <w:tcMar>
              <w:top w:w="40" w:type="dxa"/>
              <w:left w:w="40" w:type="dxa"/>
              <w:bottom w:w="40" w:type="dxa"/>
              <w:right w:w="40" w:type="dxa"/>
            </w:tcMar>
            <w:vAlign w:val="bottom"/>
          </w:tcPr>
          <w:p w14:paraId="25225513" w14:textId="77777777" w:rsidR="00781821" w:rsidRDefault="00A91ED9" w:rsidP="00A91ED9">
            <w:pPr>
              <w:pStyle w:val="normal0"/>
              <w:spacing w:line="240" w:lineRule="auto"/>
              <w:jc w:val="right"/>
              <w:rPr>
                <w:b/>
              </w:rPr>
            </w:pPr>
            <w:r>
              <w:rPr>
                <w:sz w:val="20"/>
                <w:szCs w:val="20"/>
              </w:rPr>
              <w:t>132</w:t>
            </w:r>
          </w:p>
        </w:tc>
      </w:tr>
      <w:tr w:rsidR="00513073" w14:paraId="009795C1"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E5544D6" w14:textId="77777777" w:rsidR="00781821" w:rsidRDefault="00A91ED9" w:rsidP="00A91ED9">
            <w:pPr>
              <w:pStyle w:val="normal0"/>
              <w:spacing w:line="240" w:lineRule="auto"/>
              <w:rPr>
                <w:b/>
              </w:rPr>
            </w:pPr>
            <w:r>
              <w:rPr>
                <w:sz w:val="20"/>
                <w:szCs w:val="20"/>
              </w:rPr>
              <w:t>Kidney Renal Clear Cell Carcinoma</w:t>
            </w:r>
          </w:p>
        </w:tc>
        <w:tc>
          <w:tcPr>
            <w:tcW w:w="1350" w:type="dxa"/>
            <w:tcBorders>
              <w:top w:val="nil"/>
              <w:left w:val="nil"/>
              <w:bottom w:val="nil"/>
              <w:right w:val="nil"/>
            </w:tcBorders>
            <w:tcMar>
              <w:top w:w="40" w:type="dxa"/>
              <w:left w:w="40" w:type="dxa"/>
              <w:bottom w:w="40" w:type="dxa"/>
              <w:right w:w="40" w:type="dxa"/>
            </w:tcMar>
            <w:vAlign w:val="bottom"/>
          </w:tcPr>
          <w:p w14:paraId="183E9B3D" w14:textId="77777777" w:rsidR="00781821" w:rsidRDefault="00A91ED9" w:rsidP="00A91ED9">
            <w:pPr>
              <w:pStyle w:val="normal0"/>
              <w:spacing w:line="240" w:lineRule="auto"/>
              <w:jc w:val="right"/>
              <w:rPr>
                <w:b/>
              </w:rPr>
            </w:pPr>
            <w:r>
              <w:rPr>
                <w:sz w:val="20"/>
                <w:szCs w:val="20"/>
              </w:rPr>
              <w:t>11</w:t>
            </w:r>
          </w:p>
        </w:tc>
        <w:tc>
          <w:tcPr>
            <w:tcW w:w="1350" w:type="dxa"/>
            <w:tcBorders>
              <w:top w:val="nil"/>
              <w:left w:val="nil"/>
              <w:bottom w:val="nil"/>
              <w:right w:val="nil"/>
            </w:tcBorders>
            <w:tcMar>
              <w:top w:w="40" w:type="dxa"/>
              <w:left w:w="40" w:type="dxa"/>
              <w:bottom w:w="40" w:type="dxa"/>
              <w:right w:w="40" w:type="dxa"/>
            </w:tcMar>
            <w:vAlign w:val="bottom"/>
          </w:tcPr>
          <w:p w14:paraId="34D6304D" w14:textId="77777777" w:rsidR="00781821" w:rsidRDefault="00A91ED9" w:rsidP="00A91ED9">
            <w:pPr>
              <w:pStyle w:val="normal0"/>
              <w:spacing w:line="240" w:lineRule="auto"/>
              <w:jc w:val="right"/>
              <w:rPr>
                <w:b/>
              </w:rPr>
            </w:pPr>
            <w:r>
              <w:rPr>
                <w:sz w:val="20"/>
                <w:szCs w:val="20"/>
              </w:rPr>
              <w:t>1,195,305</w:t>
            </w:r>
          </w:p>
        </w:tc>
        <w:tc>
          <w:tcPr>
            <w:tcW w:w="1355" w:type="dxa"/>
            <w:tcBorders>
              <w:top w:val="nil"/>
              <w:left w:val="nil"/>
              <w:bottom w:val="nil"/>
              <w:right w:val="nil"/>
            </w:tcBorders>
            <w:tcMar>
              <w:top w:w="40" w:type="dxa"/>
              <w:left w:w="40" w:type="dxa"/>
              <w:bottom w:w="40" w:type="dxa"/>
              <w:right w:w="40" w:type="dxa"/>
            </w:tcMar>
            <w:vAlign w:val="bottom"/>
          </w:tcPr>
          <w:p w14:paraId="1807DC35" w14:textId="77777777" w:rsidR="00781821" w:rsidRDefault="00A91ED9" w:rsidP="00A91ED9">
            <w:pPr>
              <w:pStyle w:val="normal0"/>
              <w:spacing w:line="240" w:lineRule="auto"/>
              <w:jc w:val="right"/>
              <w:rPr>
                <w:b/>
              </w:rPr>
            </w:pPr>
            <w:r>
              <w:rPr>
                <w:sz w:val="20"/>
                <w:szCs w:val="20"/>
              </w:rPr>
              <w:t>1,059</w:t>
            </w:r>
          </w:p>
        </w:tc>
      </w:tr>
      <w:tr w:rsidR="00513073" w14:paraId="6CE91220"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5258BEF1" w14:textId="77777777" w:rsidR="00781821" w:rsidRDefault="00A91ED9" w:rsidP="00A91ED9">
            <w:pPr>
              <w:pStyle w:val="normal0"/>
              <w:spacing w:line="240" w:lineRule="auto"/>
              <w:rPr>
                <w:b/>
              </w:rPr>
            </w:pPr>
            <w:r>
              <w:rPr>
                <w:sz w:val="20"/>
                <w:szCs w:val="20"/>
              </w:rPr>
              <w:t>Kidney Renal Papillary Cell Carcinoma</w:t>
            </w:r>
          </w:p>
        </w:tc>
        <w:tc>
          <w:tcPr>
            <w:tcW w:w="1350" w:type="dxa"/>
            <w:tcBorders>
              <w:top w:val="nil"/>
              <w:left w:val="nil"/>
              <w:bottom w:val="nil"/>
              <w:right w:val="nil"/>
            </w:tcBorders>
            <w:tcMar>
              <w:top w:w="40" w:type="dxa"/>
              <w:left w:w="40" w:type="dxa"/>
              <w:bottom w:w="40" w:type="dxa"/>
              <w:right w:w="40" w:type="dxa"/>
            </w:tcMar>
            <w:vAlign w:val="bottom"/>
          </w:tcPr>
          <w:p w14:paraId="31A1F560" w14:textId="77777777" w:rsidR="00781821" w:rsidRDefault="00A91ED9" w:rsidP="00A91ED9">
            <w:pPr>
              <w:pStyle w:val="normal0"/>
              <w:spacing w:line="240" w:lineRule="auto"/>
              <w:jc w:val="right"/>
              <w:rPr>
                <w:b/>
              </w:rPr>
            </w:pPr>
            <w:r>
              <w:rPr>
                <w:sz w:val="20"/>
                <w:szCs w:val="20"/>
              </w:rPr>
              <w:t>11</w:t>
            </w:r>
          </w:p>
        </w:tc>
        <w:tc>
          <w:tcPr>
            <w:tcW w:w="1350" w:type="dxa"/>
            <w:tcBorders>
              <w:top w:val="nil"/>
              <w:left w:val="nil"/>
              <w:bottom w:val="nil"/>
              <w:right w:val="nil"/>
            </w:tcBorders>
            <w:tcMar>
              <w:top w:w="40" w:type="dxa"/>
              <w:left w:w="40" w:type="dxa"/>
              <w:bottom w:w="40" w:type="dxa"/>
              <w:right w:w="40" w:type="dxa"/>
            </w:tcMar>
            <w:vAlign w:val="bottom"/>
          </w:tcPr>
          <w:p w14:paraId="2D4F304E" w14:textId="77777777" w:rsidR="00781821" w:rsidRDefault="00A91ED9" w:rsidP="00A91ED9">
            <w:pPr>
              <w:pStyle w:val="normal0"/>
              <w:spacing w:line="240" w:lineRule="auto"/>
              <w:jc w:val="right"/>
              <w:rPr>
                <w:b/>
              </w:rPr>
            </w:pPr>
            <w:r>
              <w:rPr>
                <w:sz w:val="20"/>
                <w:szCs w:val="20"/>
              </w:rPr>
              <w:t>958,367</w:t>
            </w:r>
          </w:p>
        </w:tc>
        <w:tc>
          <w:tcPr>
            <w:tcW w:w="1355" w:type="dxa"/>
            <w:tcBorders>
              <w:top w:val="nil"/>
              <w:left w:val="nil"/>
              <w:bottom w:val="nil"/>
              <w:right w:val="nil"/>
            </w:tcBorders>
            <w:tcMar>
              <w:top w:w="40" w:type="dxa"/>
              <w:left w:w="40" w:type="dxa"/>
              <w:bottom w:w="40" w:type="dxa"/>
              <w:right w:w="40" w:type="dxa"/>
            </w:tcMar>
            <w:vAlign w:val="bottom"/>
          </w:tcPr>
          <w:p w14:paraId="51FCDE4D" w14:textId="77777777" w:rsidR="00781821" w:rsidRDefault="00A91ED9" w:rsidP="00A91ED9">
            <w:pPr>
              <w:pStyle w:val="normal0"/>
              <w:spacing w:line="240" w:lineRule="auto"/>
              <w:jc w:val="right"/>
              <w:rPr>
                <w:b/>
              </w:rPr>
            </w:pPr>
            <w:r>
              <w:rPr>
                <w:sz w:val="20"/>
                <w:szCs w:val="20"/>
              </w:rPr>
              <w:t>593</w:t>
            </w:r>
          </w:p>
        </w:tc>
      </w:tr>
      <w:tr w:rsidR="00513073" w14:paraId="37521D63"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446953E1" w14:textId="77777777" w:rsidR="00781821" w:rsidRDefault="00A91ED9" w:rsidP="00A91ED9">
            <w:pPr>
              <w:pStyle w:val="normal0"/>
              <w:spacing w:line="240" w:lineRule="auto"/>
              <w:rPr>
                <w:b/>
              </w:rPr>
            </w:pPr>
            <w:r>
              <w:rPr>
                <w:sz w:val="20"/>
                <w:szCs w:val="20"/>
              </w:rPr>
              <w:t>Acute Myeloid Leukemia</w:t>
            </w:r>
          </w:p>
        </w:tc>
        <w:tc>
          <w:tcPr>
            <w:tcW w:w="1350" w:type="dxa"/>
            <w:tcBorders>
              <w:top w:val="nil"/>
              <w:left w:val="nil"/>
              <w:bottom w:val="nil"/>
              <w:right w:val="nil"/>
            </w:tcBorders>
            <w:tcMar>
              <w:top w:w="40" w:type="dxa"/>
              <w:left w:w="40" w:type="dxa"/>
              <w:bottom w:w="40" w:type="dxa"/>
              <w:right w:w="40" w:type="dxa"/>
            </w:tcMar>
            <w:vAlign w:val="bottom"/>
          </w:tcPr>
          <w:p w14:paraId="17C3BB21" w14:textId="77777777" w:rsidR="00781821" w:rsidRDefault="00A91ED9" w:rsidP="00A91ED9">
            <w:pPr>
              <w:pStyle w:val="normal0"/>
              <w:spacing w:line="240" w:lineRule="auto"/>
              <w:jc w:val="right"/>
              <w:rPr>
                <w:b/>
              </w:rPr>
            </w:pPr>
            <w:r>
              <w:rPr>
                <w:sz w:val="20"/>
                <w:szCs w:val="20"/>
              </w:rPr>
              <w:t>5</w:t>
            </w:r>
          </w:p>
        </w:tc>
        <w:tc>
          <w:tcPr>
            <w:tcW w:w="1350" w:type="dxa"/>
            <w:tcBorders>
              <w:top w:val="nil"/>
              <w:left w:val="nil"/>
              <w:bottom w:val="nil"/>
              <w:right w:val="nil"/>
            </w:tcBorders>
            <w:tcMar>
              <w:top w:w="40" w:type="dxa"/>
              <w:left w:w="40" w:type="dxa"/>
              <w:bottom w:w="40" w:type="dxa"/>
              <w:right w:w="40" w:type="dxa"/>
            </w:tcMar>
            <w:vAlign w:val="bottom"/>
          </w:tcPr>
          <w:p w14:paraId="4AEE930A" w14:textId="77777777" w:rsidR="00781821" w:rsidRDefault="00A91ED9" w:rsidP="00A91ED9">
            <w:pPr>
              <w:pStyle w:val="normal0"/>
              <w:spacing w:line="240" w:lineRule="auto"/>
              <w:jc w:val="right"/>
              <w:rPr>
                <w:b/>
              </w:rPr>
            </w:pPr>
            <w:r>
              <w:rPr>
                <w:sz w:val="20"/>
                <w:szCs w:val="20"/>
              </w:rPr>
              <w:t>971,290</w:t>
            </w:r>
          </w:p>
        </w:tc>
        <w:tc>
          <w:tcPr>
            <w:tcW w:w="1355" w:type="dxa"/>
            <w:tcBorders>
              <w:top w:val="nil"/>
              <w:left w:val="nil"/>
              <w:bottom w:val="nil"/>
              <w:right w:val="nil"/>
            </w:tcBorders>
            <w:tcMar>
              <w:top w:w="40" w:type="dxa"/>
              <w:left w:w="40" w:type="dxa"/>
              <w:bottom w:w="40" w:type="dxa"/>
              <w:right w:w="40" w:type="dxa"/>
            </w:tcMar>
            <w:vAlign w:val="bottom"/>
          </w:tcPr>
          <w:p w14:paraId="3D8BCD5C" w14:textId="77777777" w:rsidR="00781821" w:rsidRDefault="00A91ED9" w:rsidP="00A91ED9">
            <w:pPr>
              <w:pStyle w:val="normal0"/>
              <w:spacing w:line="240" w:lineRule="auto"/>
              <w:jc w:val="right"/>
              <w:rPr>
                <w:b/>
              </w:rPr>
            </w:pPr>
            <w:r>
              <w:rPr>
                <w:sz w:val="20"/>
                <w:szCs w:val="20"/>
              </w:rPr>
              <w:t>392</w:t>
            </w:r>
          </w:p>
        </w:tc>
      </w:tr>
      <w:tr w:rsidR="00513073" w14:paraId="57A93EA1"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643E2612" w14:textId="77777777" w:rsidR="00781821" w:rsidRDefault="00A91ED9" w:rsidP="00A91ED9">
            <w:pPr>
              <w:pStyle w:val="normal0"/>
              <w:spacing w:line="240" w:lineRule="auto"/>
              <w:rPr>
                <w:b/>
              </w:rPr>
            </w:pPr>
            <w:r>
              <w:rPr>
                <w:sz w:val="20"/>
                <w:szCs w:val="20"/>
              </w:rPr>
              <w:t xml:space="preserve">Brain Lower Grade </w:t>
            </w:r>
            <w:proofErr w:type="spellStart"/>
            <w:r>
              <w:rPr>
                <w:sz w:val="20"/>
                <w:szCs w:val="20"/>
              </w:rPr>
              <w:t>Glioma</w:t>
            </w:r>
            <w:proofErr w:type="spellEnd"/>
          </w:p>
        </w:tc>
        <w:tc>
          <w:tcPr>
            <w:tcW w:w="1350" w:type="dxa"/>
            <w:tcBorders>
              <w:top w:val="nil"/>
              <w:left w:val="nil"/>
              <w:bottom w:val="nil"/>
              <w:right w:val="nil"/>
            </w:tcBorders>
            <w:tcMar>
              <w:top w:w="40" w:type="dxa"/>
              <w:left w:w="40" w:type="dxa"/>
              <w:bottom w:w="40" w:type="dxa"/>
              <w:right w:w="40" w:type="dxa"/>
            </w:tcMar>
            <w:vAlign w:val="bottom"/>
          </w:tcPr>
          <w:p w14:paraId="3F4768D7" w14:textId="77777777" w:rsidR="00781821" w:rsidRDefault="00A91ED9" w:rsidP="00A91ED9">
            <w:pPr>
              <w:pStyle w:val="normal0"/>
              <w:spacing w:line="240" w:lineRule="auto"/>
              <w:jc w:val="right"/>
              <w:rPr>
                <w:b/>
              </w:rPr>
            </w:pPr>
            <w:r>
              <w:rPr>
                <w:sz w:val="20"/>
                <w:szCs w:val="20"/>
              </w:rPr>
              <w:t>11</w:t>
            </w:r>
          </w:p>
        </w:tc>
        <w:tc>
          <w:tcPr>
            <w:tcW w:w="1350" w:type="dxa"/>
            <w:tcBorders>
              <w:top w:val="nil"/>
              <w:left w:val="nil"/>
              <w:bottom w:val="nil"/>
              <w:right w:val="nil"/>
            </w:tcBorders>
            <w:tcMar>
              <w:top w:w="40" w:type="dxa"/>
              <w:left w:w="40" w:type="dxa"/>
              <w:bottom w:w="40" w:type="dxa"/>
              <w:right w:w="40" w:type="dxa"/>
            </w:tcMar>
            <w:vAlign w:val="bottom"/>
          </w:tcPr>
          <w:p w14:paraId="318DD3F4" w14:textId="77777777" w:rsidR="00781821" w:rsidRDefault="00A91ED9" w:rsidP="00A91ED9">
            <w:pPr>
              <w:pStyle w:val="normal0"/>
              <w:spacing w:line="240" w:lineRule="auto"/>
              <w:jc w:val="right"/>
              <w:rPr>
                <w:b/>
              </w:rPr>
            </w:pPr>
            <w:r>
              <w:rPr>
                <w:sz w:val="20"/>
                <w:szCs w:val="20"/>
              </w:rPr>
              <w:t>1,081,610</w:t>
            </w:r>
          </w:p>
        </w:tc>
        <w:tc>
          <w:tcPr>
            <w:tcW w:w="1355" w:type="dxa"/>
            <w:tcBorders>
              <w:top w:val="nil"/>
              <w:left w:val="nil"/>
              <w:bottom w:val="nil"/>
              <w:right w:val="nil"/>
            </w:tcBorders>
            <w:tcMar>
              <w:top w:w="40" w:type="dxa"/>
              <w:left w:w="40" w:type="dxa"/>
              <w:bottom w:w="40" w:type="dxa"/>
              <w:right w:w="40" w:type="dxa"/>
            </w:tcMar>
            <w:vAlign w:val="bottom"/>
          </w:tcPr>
          <w:p w14:paraId="2908F4EF" w14:textId="77777777" w:rsidR="00781821" w:rsidRDefault="00A91ED9" w:rsidP="00A91ED9">
            <w:pPr>
              <w:pStyle w:val="normal0"/>
              <w:spacing w:line="240" w:lineRule="auto"/>
              <w:jc w:val="right"/>
              <w:rPr>
                <w:b/>
              </w:rPr>
            </w:pPr>
            <w:r>
              <w:rPr>
                <w:sz w:val="20"/>
                <w:szCs w:val="20"/>
              </w:rPr>
              <w:t>1,013</w:t>
            </w:r>
          </w:p>
        </w:tc>
      </w:tr>
      <w:tr w:rsidR="00513073" w14:paraId="76F47226"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12D47D1C" w14:textId="77777777" w:rsidR="00781821" w:rsidRDefault="00A91ED9" w:rsidP="00A91ED9">
            <w:pPr>
              <w:pStyle w:val="normal0"/>
              <w:spacing w:line="240" w:lineRule="auto"/>
              <w:rPr>
                <w:b/>
              </w:rPr>
            </w:pPr>
            <w:r>
              <w:rPr>
                <w:sz w:val="20"/>
                <w:szCs w:val="20"/>
              </w:rPr>
              <w:t>Liver Hepatocellular Carcinoma</w:t>
            </w:r>
          </w:p>
        </w:tc>
        <w:tc>
          <w:tcPr>
            <w:tcW w:w="1350" w:type="dxa"/>
            <w:tcBorders>
              <w:top w:val="nil"/>
              <w:left w:val="nil"/>
              <w:bottom w:val="nil"/>
              <w:right w:val="nil"/>
            </w:tcBorders>
            <w:tcMar>
              <w:top w:w="40" w:type="dxa"/>
              <w:left w:w="40" w:type="dxa"/>
              <w:bottom w:w="40" w:type="dxa"/>
              <w:right w:w="40" w:type="dxa"/>
            </w:tcMar>
            <w:vAlign w:val="bottom"/>
          </w:tcPr>
          <w:p w14:paraId="7CD04DBF" w14:textId="77777777" w:rsidR="00781821" w:rsidRDefault="00A91ED9" w:rsidP="00A91ED9">
            <w:pPr>
              <w:pStyle w:val="normal0"/>
              <w:spacing w:line="240" w:lineRule="auto"/>
              <w:jc w:val="right"/>
              <w:rPr>
                <w:b/>
              </w:rPr>
            </w:pPr>
            <w:r>
              <w:rPr>
                <w:sz w:val="20"/>
                <w:szCs w:val="20"/>
              </w:rPr>
              <w:t>7</w:t>
            </w:r>
          </w:p>
        </w:tc>
        <w:tc>
          <w:tcPr>
            <w:tcW w:w="1350" w:type="dxa"/>
            <w:tcBorders>
              <w:top w:val="nil"/>
              <w:left w:val="nil"/>
              <w:bottom w:val="nil"/>
              <w:right w:val="nil"/>
            </w:tcBorders>
            <w:tcMar>
              <w:top w:w="40" w:type="dxa"/>
              <w:left w:w="40" w:type="dxa"/>
              <w:bottom w:w="40" w:type="dxa"/>
              <w:right w:w="40" w:type="dxa"/>
            </w:tcMar>
            <w:vAlign w:val="bottom"/>
          </w:tcPr>
          <w:p w14:paraId="5E438987" w14:textId="77777777" w:rsidR="00781821" w:rsidRDefault="00A91ED9" w:rsidP="00A91ED9">
            <w:pPr>
              <w:pStyle w:val="normal0"/>
              <w:spacing w:line="240" w:lineRule="auto"/>
              <w:jc w:val="right"/>
              <w:rPr>
                <w:b/>
              </w:rPr>
            </w:pPr>
            <w:r>
              <w:rPr>
                <w:sz w:val="20"/>
                <w:szCs w:val="20"/>
              </w:rPr>
              <w:t>577,371</w:t>
            </w:r>
          </w:p>
        </w:tc>
        <w:tc>
          <w:tcPr>
            <w:tcW w:w="1355" w:type="dxa"/>
            <w:tcBorders>
              <w:top w:val="nil"/>
              <w:left w:val="nil"/>
              <w:bottom w:val="nil"/>
              <w:right w:val="nil"/>
            </w:tcBorders>
            <w:tcMar>
              <w:top w:w="40" w:type="dxa"/>
              <w:left w:w="40" w:type="dxa"/>
              <w:bottom w:w="40" w:type="dxa"/>
              <w:right w:w="40" w:type="dxa"/>
            </w:tcMar>
            <w:vAlign w:val="bottom"/>
          </w:tcPr>
          <w:p w14:paraId="5FFFE4AC" w14:textId="77777777" w:rsidR="00781821" w:rsidRDefault="00A91ED9" w:rsidP="00A91ED9">
            <w:pPr>
              <w:pStyle w:val="normal0"/>
              <w:spacing w:line="240" w:lineRule="auto"/>
              <w:jc w:val="right"/>
              <w:rPr>
                <w:b/>
              </w:rPr>
            </w:pPr>
            <w:r>
              <w:rPr>
                <w:sz w:val="20"/>
                <w:szCs w:val="20"/>
              </w:rPr>
              <w:t>429</w:t>
            </w:r>
          </w:p>
        </w:tc>
      </w:tr>
      <w:tr w:rsidR="00513073" w14:paraId="763955C2"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1ACC0994" w14:textId="77777777" w:rsidR="00781821" w:rsidRDefault="00A91ED9" w:rsidP="00A91ED9">
            <w:pPr>
              <w:pStyle w:val="normal0"/>
              <w:spacing w:line="240" w:lineRule="auto"/>
              <w:rPr>
                <w:b/>
              </w:rPr>
            </w:pPr>
            <w:r>
              <w:rPr>
                <w:sz w:val="20"/>
                <w:szCs w:val="20"/>
              </w:rPr>
              <w:t>Lung Adenocarcinoma</w:t>
            </w:r>
          </w:p>
        </w:tc>
        <w:tc>
          <w:tcPr>
            <w:tcW w:w="1350" w:type="dxa"/>
            <w:tcBorders>
              <w:top w:val="nil"/>
              <w:left w:val="nil"/>
              <w:bottom w:val="nil"/>
              <w:right w:val="nil"/>
            </w:tcBorders>
            <w:tcMar>
              <w:top w:w="40" w:type="dxa"/>
              <w:left w:w="40" w:type="dxa"/>
              <w:bottom w:w="40" w:type="dxa"/>
              <w:right w:w="40" w:type="dxa"/>
            </w:tcMar>
            <w:vAlign w:val="bottom"/>
          </w:tcPr>
          <w:p w14:paraId="20982A4A" w14:textId="77777777" w:rsidR="00781821" w:rsidRDefault="00A91ED9" w:rsidP="00A91ED9">
            <w:pPr>
              <w:pStyle w:val="normal0"/>
              <w:spacing w:line="240" w:lineRule="auto"/>
              <w:jc w:val="right"/>
              <w:rPr>
                <w:b/>
              </w:rPr>
            </w:pPr>
            <w:r>
              <w:rPr>
                <w:sz w:val="20"/>
                <w:szCs w:val="20"/>
              </w:rPr>
              <w:t>12</w:t>
            </w:r>
          </w:p>
        </w:tc>
        <w:tc>
          <w:tcPr>
            <w:tcW w:w="1350" w:type="dxa"/>
            <w:tcBorders>
              <w:top w:val="nil"/>
              <w:left w:val="nil"/>
              <w:bottom w:val="nil"/>
              <w:right w:val="nil"/>
            </w:tcBorders>
            <w:tcMar>
              <w:top w:w="40" w:type="dxa"/>
              <w:left w:w="40" w:type="dxa"/>
              <w:bottom w:w="40" w:type="dxa"/>
              <w:right w:w="40" w:type="dxa"/>
            </w:tcMar>
            <w:vAlign w:val="bottom"/>
          </w:tcPr>
          <w:p w14:paraId="089B2337" w14:textId="77777777" w:rsidR="00781821" w:rsidRDefault="00A91ED9" w:rsidP="00A91ED9">
            <w:pPr>
              <w:pStyle w:val="normal0"/>
              <w:spacing w:line="240" w:lineRule="auto"/>
              <w:jc w:val="right"/>
              <w:rPr>
                <w:b/>
              </w:rPr>
            </w:pPr>
            <w:r>
              <w:rPr>
                <w:sz w:val="20"/>
                <w:szCs w:val="20"/>
              </w:rPr>
              <w:t>1,684,659</w:t>
            </w:r>
          </w:p>
        </w:tc>
        <w:tc>
          <w:tcPr>
            <w:tcW w:w="1355" w:type="dxa"/>
            <w:tcBorders>
              <w:top w:val="nil"/>
              <w:left w:val="nil"/>
              <w:bottom w:val="nil"/>
              <w:right w:val="nil"/>
            </w:tcBorders>
            <w:tcMar>
              <w:top w:w="40" w:type="dxa"/>
              <w:left w:w="40" w:type="dxa"/>
              <w:bottom w:w="40" w:type="dxa"/>
              <w:right w:w="40" w:type="dxa"/>
            </w:tcMar>
            <w:vAlign w:val="bottom"/>
          </w:tcPr>
          <w:p w14:paraId="42A2AFA6" w14:textId="77777777" w:rsidR="00781821" w:rsidRDefault="00A91ED9" w:rsidP="00A91ED9">
            <w:pPr>
              <w:pStyle w:val="normal0"/>
              <w:spacing w:line="240" w:lineRule="auto"/>
              <w:jc w:val="right"/>
              <w:rPr>
                <w:b/>
              </w:rPr>
            </w:pPr>
            <w:r>
              <w:rPr>
                <w:sz w:val="20"/>
                <w:szCs w:val="20"/>
              </w:rPr>
              <w:t>1,095</w:t>
            </w:r>
          </w:p>
        </w:tc>
      </w:tr>
      <w:tr w:rsidR="00513073" w14:paraId="4271EAB4"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109BE73E" w14:textId="77777777" w:rsidR="00781821" w:rsidRDefault="00A91ED9" w:rsidP="00A91ED9">
            <w:pPr>
              <w:pStyle w:val="normal0"/>
              <w:spacing w:line="240" w:lineRule="auto"/>
              <w:rPr>
                <w:b/>
              </w:rPr>
            </w:pPr>
            <w:r>
              <w:rPr>
                <w:sz w:val="20"/>
                <w:szCs w:val="20"/>
              </w:rPr>
              <w:t>Lung Squamous Cell Carcinoma</w:t>
            </w:r>
          </w:p>
        </w:tc>
        <w:tc>
          <w:tcPr>
            <w:tcW w:w="1350" w:type="dxa"/>
            <w:tcBorders>
              <w:top w:val="nil"/>
              <w:left w:val="nil"/>
              <w:bottom w:val="nil"/>
              <w:right w:val="nil"/>
            </w:tcBorders>
            <w:tcMar>
              <w:top w:w="40" w:type="dxa"/>
              <w:left w:w="40" w:type="dxa"/>
              <w:bottom w:w="40" w:type="dxa"/>
              <w:right w:w="40" w:type="dxa"/>
            </w:tcMar>
            <w:vAlign w:val="bottom"/>
          </w:tcPr>
          <w:p w14:paraId="4803016D" w14:textId="77777777" w:rsidR="00781821" w:rsidRDefault="00A91ED9" w:rsidP="00A91ED9">
            <w:pPr>
              <w:pStyle w:val="normal0"/>
              <w:spacing w:line="240" w:lineRule="auto"/>
              <w:jc w:val="right"/>
              <w:rPr>
                <w:b/>
              </w:rPr>
            </w:pPr>
            <w:r>
              <w:rPr>
                <w:sz w:val="20"/>
                <w:szCs w:val="20"/>
              </w:rPr>
              <w:t>12</w:t>
            </w:r>
          </w:p>
        </w:tc>
        <w:tc>
          <w:tcPr>
            <w:tcW w:w="1350" w:type="dxa"/>
            <w:tcBorders>
              <w:top w:val="nil"/>
              <w:left w:val="nil"/>
              <w:bottom w:val="nil"/>
              <w:right w:val="nil"/>
            </w:tcBorders>
            <w:tcMar>
              <w:top w:w="40" w:type="dxa"/>
              <w:left w:w="40" w:type="dxa"/>
              <w:bottom w:w="40" w:type="dxa"/>
              <w:right w:w="40" w:type="dxa"/>
            </w:tcMar>
            <w:vAlign w:val="bottom"/>
          </w:tcPr>
          <w:p w14:paraId="365A8C83" w14:textId="77777777" w:rsidR="00781821" w:rsidRDefault="00A91ED9" w:rsidP="00A91ED9">
            <w:pPr>
              <w:pStyle w:val="normal0"/>
              <w:spacing w:line="240" w:lineRule="auto"/>
              <w:jc w:val="right"/>
              <w:rPr>
                <w:b/>
              </w:rPr>
            </w:pPr>
            <w:r>
              <w:rPr>
                <w:sz w:val="20"/>
                <w:szCs w:val="20"/>
              </w:rPr>
              <w:t>1,425,892</w:t>
            </w:r>
          </w:p>
        </w:tc>
        <w:tc>
          <w:tcPr>
            <w:tcW w:w="1355" w:type="dxa"/>
            <w:tcBorders>
              <w:top w:val="nil"/>
              <w:left w:val="nil"/>
              <w:bottom w:val="nil"/>
              <w:right w:val="nil"/>
            </w:tcBorders>
            <w:tcMar>
              <w:top w:w="40" w:type="dxa"/>
              <w:left w:w="40" w:type="dxa"/>
              <w:bottom w:w="40" w:type="dxa"/>
              <w:right w:w="40" w:type="dxa"/>
            </w:tcMar>
            <w:vAlign w:val="bottom"/>
          </w:tcPr>
          <w:p w14:paraId="4ACD563B" w14:textId="77777777" w:rsidR="00781821" w:rsidRDefault="00A91ED9" w:rsidP="00A91ED9">
            <w:pPr>
              <w:pStyle w:val="normal0"/>
              <w:spacing w:line="240" w:lineRule="auto"/>
              <w:jc w:val="right"/>
              <w:rPr>
                <w:b/>
              </w:rPr>
            </w:pPr>
            <w:r>
              <w:rPr>
                <w:sz w:val="20"/>
                <w:szCs w:val="20"/>
              </w:rPr>
              <w:t>1,035</w:t>
            </w:r>
          </w:p>
        </w:tc>
      </w:tr>
      <w:tr w:rsidR="00513073" w14:paraId="33C3EF84"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745C9FE" w14:textId="77777777" w:rsidR="00781821" w:rsidRDefault="00A91ED9" w:rsidP="00A91ED9">
            <w:pPr>
              <w:pStyle w:val="normal0"/>
              <w:spacing w:line="240" w:lineRule="auto"/>
              <w:rPr>
                <w:b/>
              </w:rPr>
            </w:pPr>
            <w:r>
              <w:rPr>
                <w:sz w:val="20"/>
                <w:szCs w:val="20"/>
              </w:rPr>
              <w:t>Mesothelioma</w:t>
            </w:r>
          </w:p>
        </w:tc>
        <w:tc>
          <w:tcPr>
            <w:tcW w:w="1350" w:type="dxa"/>
            <w:tcBorders>
              <w:top w:val="nil"/>
              <w:left w:val="nil"/>
              <w:bottom w:val="nil"/>
              <w:right w:val="nil"/>
            </w:tcBorders>
            <w:tcMar>
              <w:top w:w="40" w:type="dxa"/>
              <w:left w:w="40" w:type="dxa"/>
              <w:bottom w:w="40" w:type="dxa"/>
              <w:right w:w="40" w:type="dxa"/>
            </w:tcMar>
            <w:vAlign w:val="bottom"/>
          </w:tcPr>
          <w:p w14:paraId="3B62DD81" w14:textId="77777777" w:rsidR="00781821" w:rsidRDefault="00A91ED9" w:rsidP="00A91ED9">
            <w:pPr>
              <w:pStyle w:val="normal0"/>
              <w:spacing w:line="240" w:lineRule="auto"/>
              <w:jc w:val="right"/>
              <w:rPr>
                <w:b/>
              </w:rPr>
            </w:pPr>
            <w:r>
              <w:rPr>
                <w:sz w:val="20"/>
                <w:szCs w:val="20"/>
              </w:rPr>
              <w:t>8</w:t>
            </w:r>
          </w:p>
        </w:tc>
        <w:tc>
          <w:tcPr>
            <w:tcW w:w="1350" w:type="dxa"/>
            <w:tcBorders>
              <w:top w:val="nil"/>
              <w:left w:val="nil"/>
              <w:bottom w:val="nil"/>
              <w:right w:val="nil"/>
            </w:tcBorders>
            <w:tcMar>
              <w:top w:w="40" w:type="dxa"/>
              <w:left w:w="40" w:type="dxa"/>
              <w:bottom w:w="40" w:type="dxa"/>
              <w:right w:w="40" w:type="dxa"/>
            </w:tcMar>
            <w:vAlign w:val="bottom"/>
          </w:tcPr>
          <w:p w14:paraId="5AD87B99" w14:textId="77777777" w:rsidR="00781821" w:rsidRDefault="00A91ED9" w:rsidP="00A91ED9">
            <w:pPr>
              <w:pStyle w:val="normal0"/>
              <w:spacing w:line="240" w:lineRule="auto"/>
              <w:jc w:val="right"/>
              <w:rPr>
                <w:b/>
              </w:rPr>
            </w:pPr>
            <w:r>
              <w:rPr>
                <w:sz w:val="20"/>
                <w:szCs w:val="20"/>
              </w:rPr>
              <w:t>665,207</w:t>
            </w:r>
          </w:p>
        </w:tc>
        <w:tc>
          <w:tcPr>
            <w:tcW w:w="1355" w:type="dxa"/>
            <w:tcBorders>
              <w:top w:val="nil"/>
              <w:left w:val="nil"/>
              <w:bottom w:val="nil"/>
              <w:right w:val="nil"/>
            </w:tcBorders>
            <w:tcMar>
              <w:top w:w="40" w:type="dxa"/>
              <w:left w:w="40" w:type="dxa"/>
              <w:bottom w:w="40" w:type="dxa"/>
              <w:right w:w="40" w:type="dxa"/>
            </w:tcMar>
            <w:vAlign w:val="bottom"/>
          </w:tcPr>
          <w:p w14:paraId="3E0A7F57" w14:textId="77777777" w:rsidR="00781821" w:rsidRDefault="00A91ED9" w:rsidP="00A91ED9">
            <w:pPr>
              <w:pStyle w:val="normal0"/>
              <w:spacing w:line="240" w:lineRule="auto"/>
              <w:jc w:val="right"/>
              <w:rPr>
                <w:b/>
              </w:rPr>
            </w:pPr>
            <w:r>
              <w:rPr>
                <w:sz w:val="20"/>
                <w:szCs w:val="20"/>
              </w:rPr>
              <w:t>173</w:t>
            </w:r>
          </w:p>
        </w:tc>
      </w:tr>
      <w:tr w:rsidR="00513073" w14:paraId="761AF4EE"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7EC87CA8" w14:textId="77777777" w:rsidR="00781821" w:rsidRDefault="00A91ED9" w:rsidP="00A91ED9">
            <w:pPr>
              <w:pStyle w:val="normal0"/>
              <w:spacing w:line="240" w:lineRule="auto"/>
              <w:rPr>
                <w:b/>
              </w:rPr>
            </w:pPr>
            <w:r>
              <w:rPr>
                <w:sz w:val="20"/>
                <w:szCs w:val="20"/>
              </w:rPr>
              <w:t xml:space="preserve">Ovarian Serous </w:t>
            </w:r>
            <w:proofErr w:type="spellStart"/>
            <w:r>
              <w:rPr>
                <w:sz w:val="20"/>
                <w:szCs w:val="20"/>
              </w:rPr>
              <w:t>Cystadenocarcinoma</w:t>
            </w:r>
            <w:proofErr w:type="spellEnd"/>
          </w:p>
        </w:tc>
        <w:tc>
          <w:tcPr>
            <w:tcW w:w="1350" w:type="dxa"/>
            <w:tcBorders>
              <w:top w:val="nil"/>
              <w:left w:val="nil"/>
              <w:bottom w:val="nil"/>
              <w:right w:val="nil"/>
            </w:tcBorders>
            <w:tcMar>
              <w:top w:w="40" w:type="dxa"/>
              <w:left w:w="40" w:type="dxa"/>
              <w:bottom w:w="40" w:type="dxa"/>
              <w:right w:w="40" w:type="dxa"/>
            </w:tcMar>
            <w:vAlign w:val="bottom"/>
          </w:tcPr>
          <w:p w14:paraId="6C6333D6"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34C88DDB" w14:textId="77777777" w:rsidR="00781821" w:rsidRDefault="00A91ED9" w:rsidP="00A91ED9">
            <w:pPr>
              <w:pStyle w:val="normal0"/>
              <w:spacing w:line="240" w:lineRule="auto"/>
              <w:jc w:val="right"/>
              <w:rPr>
                <w:b/>
              </w:rPr>
            </w:pPr>
            <w:r>
              <w:rPr>
                <w:sz w:val="20"/>
                <w:szCs w:val="20"/>
              </w:rPr>
              <w:t>137,987</w:t>
            </w:r>
          </w:p>
        </w:tc>
        <w:tc>
          <w:tcPr>
            <w:tcW w:w="1355" w:type="dxa"/>
            <w:tcBorders>
              <w:top w:val="nil"/>
              <w:left w:val="nil"/>
              <w:bottom w:val="nil"/>
              <w:right w:val="nil"/>
            </w:tcBorders>
            <w:tcMar>
              <w:top w:w="40" w:type="dxa"/>
              <w:left w:w="40" w:type="dxa"/>
              <w:bottom w:w="40" w:type="dxa"/>
              <w:right w:w="40" w:type="dxa"/>
            </w:tcMar>
            <w:vAlign w:val="bottom"/>
          </w:tcPr>
          <w:p w14:paraId="0CF6E0CE" w14:textId="77777777" w:rsidR="00781821" w:rsidRDefault="00A91ED9" w:rsidP="00A91ED9">
            <w:pPr>
              <w:pStyle w:val="normal0"/>
              <w:spacing w:line="240" w:lineRule="auto"/>
              <w:jc w:val="right"/>
              <w:rPr>
                <w:b/>
              </w:rPr>
            </w:pPr>
            <w:r>
              <w:rPr>
                <w:sz w:val="20"/>
                <w:szCs w:val="20"/>
              </w:rPr>
              <w:t>591</w:t>
            </w:r>
          </w:p>
        </w:tc>
      </w:tr>
      <w:tr w:rsidR="00513073" w14:paraId="6D5AF74A"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03335436" w14:textId="77777777" w:rsidR="00781821" w:rsidRDefault="00A91ED9" w:rsidP="00A91ED9">
            <w:pPr>
              <w:pStyle w:val="normal0"/>
              <w:spacing w:line="240" w:lineRule="auto"/>
              <w:rPr>
                <w:b/>
              </w:rPr>
            </w:pPr>
            <w:r>
              <w:rPr>
                <w:sz w:val="20"/>
                <w:szCs w:val="20"/>
              </w:rPr>
              <w:t>Pancreatic Adenocarcinoma</w:t>
            </w:r>
          </w:p>
        </w:tc>
        <w:tc>
          <w:tcPr>
            <w:tcW w:w="1350" w:type="dxa"/>
            <w:tcBorders>
              <w:top w:val="nil"/>
              <w:left w:val="nil"/>
              <w:bottom w:val="nil"/>
              <w:right w:val="nil"/>
            </w:tcBorders>
            <w:tcMar>
              <w:top w:w="40" w:type="dxa"/>
              <w:left w:w="40" w:type="dxa"/>
              <w:bottom w:w="40" w:type="dxa"/>
              <w:right w:w="40" w:type="dxa"/>
            </w:tcMar>
            <w:vAlign w:val="bottom"/>
          </w:tcPr>
          <w:p w14:paraId="633257EF"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1D644E23" w14:textId="77777777" w:rsidR="00781821" w:rsidRDefault="00A91ED9" w:rsidP="00A91ED9">
            <w:pPr>
              <w:pStyle w:val="normal0"/>
              <w:spacing w:line="240" w:lineRule="auto"/>
              <w:jc w:val="right"/>
              <w:rPr>
                <w:b/>
              </w:rPr>
            </w:pPr>
            <w:r>
              <w:rPr>
                <w:sz w:val="20"/>
                <w:szCs w:val="20"/>
              </w:rPr>
              <w:t>833,255</w:t>
            </w:r>
          </w:p>
        </w:tc>
        <w:tc>
          <w:tcPr>
            <w:tcW w:w="1355" w:type="dxa"/>
            <w:tcBorders>
              <w:top w:val="nil"/>
              <w:left w:val="nil"/>
              <w:bottom w:val="nil"/>
              <w:right w:val="nil"/>
            </w:tcBorders>
            <w:tcMar>
              <w:top w:w="40" w:type="dxa"/>
              <w:left w:w="40" w:type="dxa"/>
              <w:bottom w:w="40" w:type="dxa"/>
              <w:right w:w="40" w:type="dxa"/>
            </w:tcMar>
            <w:vAlign w:val="bottom"/>
          </w:tcPr>
          <w:p w14:paraId="2C1644D2" w14:textId="77777777" w:rsidR="00781821" w:rsidRDefault="00A91ED9" w:rsidP="00A91ED9">
            <w:pPr>
              <w:pStyle w:val="normal0"/>
              <w:spacing w:line="240" w:lineRule="auto"/>
              <w:jc w:val="right"/>
              <w:rPr>
                <w:b/>
              </w:rPr>
            </w:pPr>
            <w:r>
              <w:rPr>
                <w:sz w:val="20"/>
                <w:szCs w:val="20"/>
              </w:rPr>
              <w:t>368</w:t>
            </w:r>
          </w:p>
        </w:tc>
      </w:tr>
      <w:tr w:rsidR="00513073" w14:paraId="7F771E14"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55CDCB44" w14:textId="77777777" w:rsidR="00781821" w:rsidRDefault="00A91ED9" w:rsidP="00A91ED9">
            <w:pPr>
              <w:pStyle w:val="normal0"/>
              <w:spacing w:line="240" w:lineRule="auto"/>
              <w:rPr>
                <w:b/>
              </w:rPr>
            </w:pPr>
            <w:proofErr w:type="spellStart"/>
            <w:r>
              <w:rPr>
                <w:sz w:val="20"/>
                <w:szCs w:val="20"/>
              </w:rPr>
              <w:t>Pheochromocytoma</w:t>
            </w:r>
            <w:proofErr w:type="spellEnd"/>
            <w:r>
              <w:rPr>
                <w:sz w:val="20"/>
                <w:szCs w:val="20"/>
              </w:rPr>
              <w:t xml:space="preserve"> and </w:t>
            </w:r>
            <w:proofErr w:type="spellStart"/>
            <w:r>
              <w:rPr>
                <w:sz w:val="20"/>
                <w:szCs w:val="20"/>
              </w:rPr>
              <w:t>Paraganglioma</w:t>
            </w:r>
            <w:proofErr w:type="spellEnd"/>
          </w:p>
        </w:tc>
        <w:tc>
          <w:tcPr>
            <w:tcW w:w="1350" w:type="dxa"/>
            <w:tcBorders>
              <w:top w:val="nil"/>
              <w:left w:val="nil"/>
              <w:bottom w:val="nil"/>
              <w:right w:val="nil"/>
            </w:tcBorders>
            <w:tcMar>
              <w:top w:w="40" w:type="dxa"/>
              <w:left w:w="40" w:type="dxa"/>
              <w:bottom w:w="40" w:type="dxa"/>
              <w:right w:w="40" w:type="dxa"/>
            </w:tcMar>
            <w:vAlign w:val="bottom"/>
          </w:tcPr>
          <w:p w14:paraId="52FBD36F"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21EB1A19" w14:textId="77777777" w:rsidR="00781821" w:rsidRDefault="00A91ED9" w:rsidP="00A91ED9">
            <w:pPr>
              <w:pStyle w:val="normal0"/>
              <w:spacing w:line="240" w:lineRule="auto"/>
              <w:jc w:val="right"/>
              <w:rPr>
                <w:b/>
              </w:rPr>
            </w:pPr>
            <w:r>
              <w:rPr>
                <w:sz w:val="20"/>
                <w:szCs w:val="20"/>
              </w:rPr>
              <w:t>890,115</w:t>
            </w:r>
          </w:p>
        </w:tc>
        <w:tc>
          <w:tcPr>
            <w:tcW w:w="1355" w:type="dxa"/>
            <w:tcBorders>
              <w:top w:val="nil"/>
              <w:left w:val="nil"/>
              <w:bottom w:val="nil"/>
              <w:right w:val="nil"/>
            </w:tcBorders>
            <w:tcMar>
              <w:top w:w="40" w:type="dxa"/>
              <w:left w:w="40" w:type="dxa"/>
              <w:bottom w:w="40" w:type="dxa"/>
              <w:right w:w="40" w:type="dxa"/>
            </w:tcMar>
            <w:vAlign w:val="bottom"/>
          </w:tcPr>
          <w:p w14:paraId="53550394" w14:textId="77777777" w:rsidR="00781821" w:rsidRDefault="00A91ED9" w:rsidP="00A91ED9">
            <w:pPr>
              <w:pStyle w:val="normal0"/>
              <w:spacing w:line="240" w:lineRule="auto"/>
              <w:jc w:val="right"/>
              <w:rPr>
                <w:b/>
              </w:rPr>
            </w:pPr>
            <w:r>
              <w:rPr>
                <w:sz w:val="20"/>
                <w:szCs w:val="20"/>
              </w:rPr>
              <w:t>360</w:t>
            </w:r>
          </w:p>
        </w:tc>
      </w:tr>
      <w:tr w:rsidR="00513073" w14:paraId="09F79A5D"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17C9D2E3" w14:textId="77777777" w:rsidR="00781821" w:rsidRDefault="00A91ED9" w:rsidP="00A91ED9">
            <w:pPr>
              <w:pStyle w:val="normal0"/>
              <w:spacing w:line="240" w:lineRule="auto"/>
              <w:rPr>
                <w:b/>
              </w:rPr>
            </w:pPr>
            <w:r>
              <w:rPr>
                <w:sz w:val="20"/>
                <w:szCs w:val="20"/>
              </w:rPr>
              <w:t>Prostate Adenocarcinoma</w:t>
            </w:r>
          </w:p>
        </w:tc>
        <w:tc>
          <w:tcPr>
            <w:tcW w:w="1350" w:type="dxa"/>
            <w:tcBorders>
              <w:top w:val="nil"/>
              <w:left w:val="nil"/>
              <w:bottom w:val="nil"/>
              <w:right w:val="nil"/>
            </w:tcBorders>
            <w:tcMar>
              <w:top w:w="40" w:type="dxa"/>
              <w:left w:w="40" w:type="dxa"/>
              <w:bottom w:w="40" w:type="dxa"/>
              <w:right w:w="40" w:type="dxa"/>
            </w:tcMar>
            <w:vAlign w:val="bottom"/>
          </w:tcPr>
          <w:p w14:paraId="34AC1E6A" w14:textId="77777777" w:rsidR="00781821" w:rsidRDefault="00A91ED9" w:rsidP="00A91ED9">
            <w:pPr>
              <w:pStyle w:val="normal0"/>
              <w:spacing w:line="240" w:lineRule="auto"/>
              <w:jc w:val="right"/>
              <w:rPr>
                <w:b/>
              </w:rPr>
            </w:pPr>
            <w:r>
              <w:rPr>
                <w:sz w:val="20"/>
                <w:szCs w:val="20"/>
              </w:rPr>
              <w:t>10</w:t>
            </w:r>
          </w:p>
        </w:tc>
        <w:tc>
          <w:tcPr>
            <w:tcW w:w="1350" w:type="dxa"/>
            <w:tcBorders>
              <w:top w:val="nil"/>
              <w:left w:val="nil"/>
              <w:bottom w:val="nil"/>
              <w:right w:val="nil"/>
            </w:tcBorders>
            <w:tcMar>
              <w:top w:w="40" w:type="dxa"/>
              <w:left w:w="40" w:type="dxa"/>
              <w:bottom w:w="40" w:type="dxa"/>
              <w:right w:w="40" w:type="dxa"/>
            </w:tcMar>
            <w:vAlign w:val="bottom"/>
          </w:tcPr>
          <w:p w14:paraId="4A179B14" w14:textId="77777777" w:rsidR="00781821" w:rsidRDefault="00A91ED9" w:rsidP="00A91ED9">
            <w:pPr>
              <w:pStyle w:val="normal0"/>
              <w:spacing w:line="240" w:lineRule="auto"/>
              <w:jc w:val="right"/>
              <w:rPr>
                <w:b/>
              </w:rPr>
            </w:pPr>
            <w:r>
              <w:rPr>
                <w:sz w:val="20"/>
                <w:szCs w:val="20"/>
              </w:rPr>
              <w:t>1,283,738</w:t>
            </w:r>
          </w:p>
        </w:tc>
        <w:tc>
          <w:tcPr>
            <w:tcW w:w="1355" w:type="dxa"/>
            <w:tcBorders>
              <w:top w:val="nil"/>
              <w:left w:val="nil"/>
              <w:bottom w:val="nil"/>
              <w:right w:val="nil"/>
            </w:tcBorders>
            <w:tcMar>
              <w:top w:w="40" w:type="dxa"/>
              <w:left w:w="40" w:type="dxa"/>
              <w:bottom w:w="40" w:type="dxa"/>
              <w:right w:w="40" w:type="dxa"/>
            </w:tcMar>
            <w:vAlign w:val="bottom"/>
          </w:tcPr>
          <w:p w14:paraId="06A52E8D" w14:textId="77777777" w:rsidR="00781821" w:rsidRDefault="00A91ED9" w:rsidP="00A91ED9">
            <w:pPr>
              <w:pStyle w:val="normal0"/>
              <w:spacing w:line="240" w:lineRule="auto"/>
              <w:jc w:val="right"/>
              <w:rPr>
                <w:b/>
              </w:rPr>
            </w:pPr>
            <w:r>
              <w:rPr>
                <w:sz w:val="20"/>
                <w:szCs w:val="20"/>
              </w:rPr>
              <w:t>1,029</w:t>
            </w:r>
          </w:p>
        </w:tc>
      </w:tr>
      <w:tr w:rsidR="00513073" w14:paraId="121923D2"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7AE98BAB" w14:textId="77777777" w:rsidR="00781821" w:rsidRDefault="00A91ED9" w:rsidP="00A91ED9">
            <w:pPr>
              <w:pStyle w:val="normal0"/>
              <w:spacing w:line="240" w:lineRule="auto"/>
              <w:rPr>
                <w:b/>
              </w:rPr>
            </w:pPr>
            <w:r>
              <w:rPr>
                <w:sz w:val="20"/>
                <w:szCs w:val="20"/>
              </w:rPr>
              <w:t>Rectum Adenocarcinoma</w:t>
            </w:r>
          </w:p>
        </w:tc>
        <w:tc>
          <w:tcPr>
            <w:tcW w:w="1350" w:type="dxa"/>
            <w:tcBorders>
              <w:top w:val="nil"/>
              <w:left w:val="nil"/>
              <w:bottom w:val="nil"/>
              <w:right w:val="nil"/>
            </w:tcBorders>
            <w:tcMar>
              <w:top w:w="40" w:type="dxa"/>
              <w:left w:w="40" w:type="dxa"/>
              <w:bottom w:w="40" w:type="dxa"/>
              <w:right w:w="40" w:type="dxa"/>
            </w:tcMar>
            <w:vAlign w:val="bottom"/>
          </w:tcPr>
          <w:p w14:paraId="6CA00D90" w14:textId="77777777" w:rsidR="00781821" w:rsidRDefault="00A91ED9" w:rsidP="00A91ED9">
            <w:pPr>
              <w:pStyle w:val="normal0"/>
              <w:spacing w:line="240" w:lineRule="auto"/>
              <w:jc w:val="right"/>
              <w:rPr>
                <w:b/>
              </w:rPr>
            </w:pPr>
            <w:r>
              <w:rPr>
                <w:sz w:val="20"/>
                <w:szCs w:val="20"/>
              </w:rPr>
              <w:t>12</w:t>
            </w:r>
          </w:p>
        </w:tc>
        <w:tc>
          <w:tcPr>
            <w:tcW w:w="1350" w:type="dxa"/>
            <w:tcBorders>
              <w:top w:val="nil"/>
              <w:left w:val="nil"/>
              <w:bottom w:val="nil"/>
              <w:right w:val="nil"/>
            </w:tcBorders>
            <w:tcMar>
              <w:top w:w="40" w:type="dxa"/>
              <w:left w:w="40" w:type="dxa"/>
              <w:bottom w:w="40" w:type="dxa"/>
              <w:right w:w="40" w:type="dxa"/>
            </w:tcMar>
            <w:vAlign w:val="bottom"/>
          </w:tcPr>
          <w:p w14:paraId="533543A0" w14:textId="77777777" w:rsidR="00781821" w:rsidRDefault="00A91ED9" w:rsidP="00A91ED9">
            <w:pPr>
              <w:pStyle w:val="normal0"/>
              <w:spacing w:line="240" w:lineRule="auto"/>
              <w:jc w:val="right"/>
              <w:rPr>
                <w:b/>
              </w:rPr>
            </w:pPr>
            <w:r>
              <w:rPr>
                <w:sz w:val="20"/>
                <w:szCs w:val="20"/>
              </w:rPr>
              <w:t>865,885</w:t>
            </w:r>
          </w:p>
        </w:tc>
        <w:tc>
          <w:tcPr>
            <w:tcW w:w="1355" w:type="dxa"/>
            <w:tcBorders>
              <w:top w:val="nil"/>
              <w:left w:val="nil"/>
              <w:bottom w:val="nil"/>
              <w:right w:val="nil"/>
            </w:tcBorders>
            <w:tcMar>
              <w:top w:w="40" w:type="dxa"/>
              <w:left w:w="40" w:type="dxa"/>
              <w:bottom w:w="40" w:type="dxa"/>
              <w:right w:w="40" w:type="dxa"/>
            </w:tcMar>
            <w:vAlign w:val="bottom"/>
          </w:tcPr>
          <w:p w14:paraId="3D7023C5" w14:textId="77777777" w:rsidR="00781821" w:rsidRDefault="00A91ED9" w:rsidP="00A91ED9">
            <w:pPr>
              <w:pStyle w:val="normal0"/>
              <w:spacing w:line="240" w:lineRule="auto"/>
              <w:jc w:val="right"/>
              <w:rPr>
                <w:b/>
              </w:rPr>
            </w:pPr>
            <w:r>
              <w:rPr>
                <w:sz w:val="20"/>
                <w:szCs w:val="20"/>
              </w:rPr>
              <w:t>316</w:t>
            </w:r>
          </w:p>
        </w:tc>
      </w:tr>
      <w:tr w:rsidR="00513073" w14:paraId="4D3DBB7C"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697FEE4D" w14:textId="77777777" w:rsidR="00781821" w:rsidRDefault="00A91ED9" w:rsidP="00A91ED9">
            <w:pPr>
              <w:pStyle w:val="normal0"/>
              <w:spacing w:line="240" w:lineRule="auto"/>
              <w:rPr>
                <w:b/>
              </w:rPr>
            </w:pPr>
            <w:r>
              <w:rPr>
                <w:sz w:val="20"/>
                <w:szCs w:val="20"/>
              </w:rPr>
              <w:t>Sarcoma</w:t>
            </w:r>
          </w:p>
        </w:tc>
        <w:tc>
          <w:tcPr>
            <w:tcW w:w="1350" w:type="dxa"/>
            <w:tcBorders>
              <w:top w:val="nil"/>
              <w:left w:val="nil"/>
              <w:bottom w:val="nil"/>
              <w:right w:val="nil"/>
            </w:tcBorders>
            <w:tcMar>
              <w:top w:w="40" w:type="dxa"/>
              <w:left w:w="40" w:type="dxa"/>
              <w:bottom w:w="40" w:type="dxa"/>
              <w:right w:w="40" w:type="dxa"/>
            </w:tcMar>
            <w:vAlign w:val="bottom"/>
          </w:tcPr>
          <w:p w14:paraId="6BE5F6F5" w14:textId="77777777" w:rsidR="00781821" w:rsidRDefault="00A91ED9" w:rsidP="00A91ED9">
            <w:pPr>
              <w:pStyle w:val="normal0"/>
              <w:spacing w:line="240" w:lineRule="auto"/>
              <w:jc w:val="right"/>
              <w:rPr>
                <w:b/>
              </w:rPr>
            </w:pPr>
            <w:r>
              <w:rPr>
                <w:sz w:val="20"/>
                <w:szCs w:val="20"/>
              </w:rPr>
              <w:t>8</w:t>
            </w:r>
          </w:p>
        </w:tc>
        <w:tc>
          <w:tcPr>
            <w:tcW w:w="1350" w:type="dxa"/>
            <w:tcBorders>
              <w:top w:val="nil"/>
              <w:left w:val="nil"/>
              <w:bottom w:val="nil"/>
              <w:right w:val="nil"/>
            </w:tcBorders>
            <w:tcMar>
              <w:top w:w="40" w:type="dxa"/>
              <w:left w:w="40" w:type="dxa"/>
              <w:bottom w:w="40" w:type="dxa"/>
              <w:right w:w="40" w:type="dxa"/>
            </w:tcMar>
            <w:vAlign w:val="bottom"/>
          </w:tcPr>
          <w:p w14:paraId="703FFFED" w14:textId="77777777" w:rsidR="00781821" w:rsidRDefault="00A91ED9" w:rsidP="00A91ED9">
            <w:pPr>
              <w:pStyle w:val="normal0"/>
              <w:spacing w:line="240" w:lineRule="auto"/>
              <w:jc w:val="right"/>
              <w:rPr>
                <w:b/>
              </w:rPr>
            </w:pPr>
            <w:r>
              <w:rPr>
                <w:sz w:val="20"/>
                <w:szCs w:val="20"/>
              </w:rPr>
              <w:t>1,000,984</w:t>
            </w:r>
          </w:p>
        </w:tc>
        <w:tc>
          <w:tcPr>
            <w:tcW w:w="1355" w:type="dxa"/>
            <w:tcBorders>
              <w:top w:val="nil"/>
              <w:left w:val="nil"/>
              <w:bottom w:val="nil"/>
              <w:right w:val="nil"/>
            </w:tcBorders>
            <w:tcMar>
              <w:top w:w="40" w:type="dxa"/>
              <w:left w:w="40" w:type="dxa"/>
              <w:bottom w:w="40" w:type="dxa"/>
              <w:right w:w="40" w:type="dxa"/>
            </w:tcMar>
            <w:vAlign w:val="bottom"/>
          </w:tcPr>
          <w:p w14:paraId="624A08BA" w14:textId="77777777" w:rsidR="00781821" w:rsidRDefault="00A91ED9" w:rsidP="00A91ED9">
            <w:pPr>
              <w:pStyle w:val="normal0"/>
              <w:spacing w:line="240" w:lineRule="auto"/>
              <w:jc w:val="right"/>
              <w:rPr>
                <w:b/>
              </w:rPr>
            </w:pPr>
            <w:r>
              <w:rPr>
                <w:sz w:val="20"/>
                <w:szCs w:val="20"/>
              </w:rPr>
              <w:t>516</w:t>
            </w:r>
          </w:p>
        </w:tc>
      </w:tr>
      <w:tr w:rsidR="00513073" w14:paraId="6B5472BA"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544E5DCF" w14:textId="77777777" w:rsidR="00781821" w:rsidRDefault="00A91ED9" w:rsidP="00A91ED9">
            <w:pPr>
              <w:pStyle w:val="normal0"/>
              <w:spacing w:line="240" w:lineRule="auto"/>
              <w:rPr>
                <w:b/>
              </w:rPr>
            </w:pPr>
            <w:r>
              <w:rPr>
                <w:sz w:val="20"/>
                <w:szCs w:val="20"/>
              </w:rPr>
              <w:t>Skin Cutaneous Melanoma</w:t>
            </w:r>
          </w:p>
        </w:tc>
        <w:tc>
          <w:tcPr>
            <w:tcW w:w="1350" w:type="dxa"/>
            <w:tcBorders>
              <w:top w:val="nil"/>
              <w:left w:val="nil"/>
              <w:bottom w:val="nil"/>
              <w:right w:val="nil"/>
            </w:tcBorders>
            <w:tcMar>
              <w:top w:w="40" w:type="dxa"/>
              <w:left w:w="40" w:type="dxa"/>
              <w:bottom w:w="40" w:type="dxa"/>
              <w:right w:w="40" w:type="dxa"/>
            </w:tcMar>
            <w:vAlign w:val="bottom"/>
          </w:tcPr>
          <w:p w14:paraId="5D71BF44" w14:textId="77777777" w:rsidR="00781821" w:rsidRDefault="00A91ED9" w:rsidP="00A91ED9">
            <w:pPr>
              <w:pStyle w:val="normal0"/>
              <w:spacing w:line="240" w:lineRule="auto"/>
              <w:jc w:val="right"/>
              <w:rPr>
                <w:b/>
              </w:rPr>
            </w:pPr>
            <w:r>
              <w:rPr>
                <w:sz w:val="20"/>
                <w:szCs w:val="20"/>
              </w:rPr>
              <w:t>8</w:t>
            </w:r>
          </w:p>
        </w:tc>
        <w:tc>
          <w:tcPr>
            <w:tcW w:w="1350" w:type="dxa"/>
            <w:tcBorders>
              <w:top w:val="nil"/>
              <w:left w:val="nil"/>
              <w:bottom w:val="nil"/>
              <w:right w:val="nil"/>
            </w:tcBorders>
            <w:tcMar>
              <w:top w:w="40" w:type="dxa"/>
              <w:left w:w="40" w:type="dxa"/>
              <w:bottom w:w="40" w:type="dxa"/>
              <w:right w:w="40" w:type="dxa"/>
            </w:tcMar>
            <w:vAlign w:val="bottom"/>
          </w:tcPr>
          <w:p w14:paraId="6FC37136" w14:textId="77777777" w:rsidR="00781821" w:rsidRDefault="00A91ED9" w:rsidP="00A91ED9">
            <w:pPr>
              <w:pStyle w:val="normal0"/>
              <w:spacing w:line="240" w:lineRule="auto"/>
              <w:jc w:val="right"/>
              <w:rPr>
                <w:b/>
              </w:rPr>
            </w:pPr>
            <w:r>
              <w:rPr>
                <w:sz w:val="20"/>
                <w:szCs w:val="20"/>
              </w:rPr>
              <w:t>1,389,241</w:t>
            </w:r>
          </w:p>
        </w:tc>
        <w:tc>
          <w:tcPr>
            <w:tcW w:w="1355" w:type="dxa"/>
            <w:tcBorders>
              <w:top w:val="nil"/>
              <w:left w:val="nil"/>
              <w:bottom w:val="nil"/>
              <w:right w:val="nil"/>
            </w:tcBorders>
            <w:tcMar>
              <w:top w:w="40" w:type="dxa"/>
              <w:left w:w="40" w:type="dxa"/>
              <w:bottom w:w="40" w:type="dxa"/>
              <w:right w:w="40" w:type="dxa"/>
            </w:tcMar>
            <w:vAlign w:val="bottom"/>
          </w:tcPr>
          <w:p w14:paraId="37DB18D5" w14:textId="77777777" w:rsidR="00781821" w:rsidRDefault="00A91ED9" w:rsidP="00A91ED9">
            <w:pPr>
              <w:pStyle w:val="normal0"/>
              <w:spacing w:line="240" w:lineRule="auto"/>
              <w:jc w:val="right"/>
              <w:rPr>
                <w:b/>
              </w:rPr>
            </w:pPr>
            <w:r>
              <w:rPr>
                <w:sz w:val="20"/>
                <w:szCs w:val="20"/>
              </w:rPr>
              <w:t>938</w:t>
            </w:r>
          </w:p>
        </w:tc>
      </w:tr>
      <w:tr w:rsidR="00513073" w14:paraId="09450B6E"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1C23120" w14:textId="77777777" w:rsidR="00781821" w:rsidRDefault="00A91ED9" w:rsidP="00A91ED9">
            <w:pPr>
              <w:pStyle w:val="normal0"/>
              <w:spacing w:line="240" w:lineRule="auto"/>
              <w:rPr>
                <w:b/>
              </w:rPr>
            </w:pPr>
            <w:r>
              <w:rPr>
                <w:sz w:val="20"/>
                <w:szCs w:val="20"/>
              </w:rPr>
              <w:t>Stomach Adenocarcinoma</w:t>
            </w:r>
          </w:p>
        </w:tc>
        <w:tc>
          <w:tcPr>
            <w:tcW w:w="1350" w:type="dxa"/>
            <w:tcBorders>
              <w:top w:val="nil"/>
              <w:left w:val="nil"/>
              <w:bottom w:val="nil"/>
              <w:right w:val="nil"/>
            </w:tcBorders>
            <w:tcMar>
              <w:top w:w="40" w:type="dxa"/>
              <w:left w:w="40" w:type="dxa"/>
              <w:bottom w:w="40" w:type="dxa"/>
              <w:right w:w="40" w:type="dxa"/>
            </w:tcMar>
            <w:vAlign w:val="bottom"/>
          </w:tcPr>
          <w:p w14:paraId="31E34D4D" w14:textId="77777777" w:rsidR="00781821" w:rsidRDefault="00A91ED9" w:rsidP="00A91ED9">
            <w:pPr>
              <w:pStyle w:val="normal0"/>
              <w:spacing w:line="240" w:lineRule="auto"/>
              <w:jc w:val="right"/>
              <w:rPr>
                <w:b/>
              </w:rPr>
            </w:pPr>
            <w:r>
              <w:rPr>
                <w:sz w:val="20"/>
                <w:szCs w:val="20"/>
              </w:rPr>
              <w:t>11</w:t>
            </w:r>
          </w:p>
        </w:tc>
        <w:tc>
          <w:tcPr>
            <w:tcW w:w="1350" w:type="dxa"/>
            <w:tcBorders>
              <w:top w:val="nil"/>
              <w:left w:val="nil"/>
              <w:bottom w:val="nil"/>
              <w:right w:val="nil"/>
            </w:tcBorders>
            <w:tcMar>
              <w:top w:w="40" w:type="dxa"/>
              <w:left w:w="40" w:type="dxa"/>
              <w:bottom w:w="40" w:type="dxa"/>
              <w:right w:w="40" w:type="dxa"/>
            </w:tcMar>
            <w:vAlign w:val="bottom"/>
          </w:tcPr>
          <w:p w14:paraId="7819510B" w14:textId="77777777" w:rsidR="00781821" w:rsidRDefault="00A91ED9" w:rsidP="00A91ED9">
            <w:pPr>
              <w:pStyle w:val="normal0"/>
              <w:spacing w:line="240" w:lineRule="auto"/>
              <w:jc w:val="right"/>
              <w:rPr>
                <w:b/>
              </w:rPr>
            </w:pPr>
            <w:r>
              <w:rPr>
                <w:sz w:val="20"/>
                <w:szCs w:val="20"/>
              </w:rPr>
              <w:t>1,324,766</w:t>
            </w:r>
          </w:p>
        </w:tc>
        <w:tc>
          <w:tcPr>
            <w:tcW w:w="1355" w:type="dxa"/>
            <w:tcBorders>
              <w:top w:val="nil"/>
              <w:left w:val="nil"/>
              <w:bottom w:val="nil"/>
              <w:right w:val="nil"/>
            </w:tcBorders>
            <w:tcMar>
              <w:top w:w="40" w:type="dxa"/>
              <w:left w:w="40" w:type="dxa"/>
              <w:bottom w:w="40" w:type="dxa"/>
              <w:right w:w="40" w:type="dxa"/>
            </w:tcMar>
            <w:vAlign w:val="bottom"/>
          </w:tcPr>
          <w:p w14:paraId="7E471D89" w14:textId="77777777" w:rsidR="00781821" w:rsidRDefault="00A91ED9" w:rsidP="00A91ED9">
            <w:pPr>
              <w:pStyle w:val="normal0"/>
              <w:spacing w:line="240" w:lineRule="auto"/>
              <w:jc w:val="right"/>
              <w:rPr>
                <w:b/>
              </w:rPr>
            </w:pPr>
            <w:r>
              <w:rPr>
                <w:sz w:val="20"/>
                <w:szCs w:val="20"/>
              </w:rPr>
              <w:t>906</w:t>
            </w:r>
          </w:p>
        </w:tc>
      </w:tr>
      <w:tr w:rsidR="00513073" w14:paraId="061307D2"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38D43BC6" w14:textId="77777777" w:rsidR="00781821" w:rsidRDefault="00A91ED9" w:rsidP="00A91ED9">
            <w:pPr>
              <w:pStyle w:val="normal0"/>
              <w:spacing w:line="240" w:lineRule="auto"/>
              <w:rPr>
                <w:b/>
              </w:rPr>
            </w:pPr>
            <w:r>
              <w:rPr>
                <w:sz w:val="20"/>
                <w:szCs w:val="20"/>
              </w:rPr>
              <w:t>Testicular Germ Cell Tumors</w:t>
            </w:r>
          </w:p>
        </w:tc>
        <w:tc>
          <w:tcPr>
            <w:tcW w:w="1350" w:type="dxa"/>
            <w:tcBorders>
              <w:top w:val="nil"/>
              <w:left w:val="nil"/>
              <w:bottom w:val="nil"/>
              <w:right w:val="nil"/>
            </w:tcBorders>
            <w:tcMar>
              <w:top w:w="40" w:type="dxa"/>
              <w:left w:w="40" w:type="dxa"/>
              <w:bottom w:w="40" w:type="dxa"/>
              <w:right w:w="40" w:type="dxa"/>
            </w:tcMar>
            <w:vAlign w:val="bottom"/>
          </w:tcPr>
          <w:p w14:paraId="4105F957"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1D3B535A" w14:textId="77777777" w:rsidR="00781821" w:rsidRDefault="00A91ED9" w:rsidP="00A91ED9">
            <w:pPr>
              <w:pStyle w:val="normal0"/>
              <w:spacing w:line="240" w:lineRule="auto"/>
              <w:jc w:val="right"/>
              <w:rPr>
                <w:b/>
              </w:rPr>
            </w:pPr>
            <w:r>
              <w:rPr>
                <w:sz w:val="20"/>
                <w:szCs w:val="20"/>
              </w:rPr>
              <w:t>716,300</w:t>
            </w:r>
          </w:p>
        </w:tc>
        <w:tc>
          <w:tcPr>
            <w:tcW w:w="1355" w:type="dxa"/>
            <w:tcBorders>
              <w:top w:val="nil"/>
              <w:left w:val="nil"/>
              <w:bottom w:val="nil"/>
              <w:right w:val="nil"/>
            </w:tcBorders>
            <w:tcMar>
              <w:top w:w="40" w:type="dxa"/>
              <w:left w:w="40" w:type="dxa"/>
              <w:bottom w:w="40" w:type="dxa"/>
              <w:right w:w="40" w:type="dxa"/>
            </w:tcMar>
            <w:vAlign w:val="bottom"/>
          </w:tcPr>
          <w:p w14:paraId="07F967E2" w14:textId="77777777" w:rsidR="00781821" w:rsidRDefault="00A91ED9" w:rsidP="00A91ED9">
            <w:pPr>
              <w:pStyle w:val="normal0"/>
              <w:spacing w:line="240" w:lineRule="auto"/>
              <w:jc w:val="right"/>
              <w:rPr>
                <w:b/>
              </w:rPr>
            </w:pPr>
            <w:r>
              <w:rPr>
                <w:sz w:val="20"/>
                <w:szCs w:val="20"/>
              </w:rPr>
              <w:t>271</w:t>
            </w:r>
          </w:p>
        </w:tc>
      </w:tr>
      <w:tr w:rsidR="00513073" w14:paraId="1AEFADFD"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31FB80A" w14:textId="77777777" w:rsidR="00781821" w:rsidRDefault="00A91ED9" w:rsidP="00A91ED9">
            <w:pPr>
              <w:pStyle w:val="normal0"/>
              <w:spacing w:line="240" w:lineRule="auto"/>
              <w:rPr>
                <w:b/>
              </w:rPr>
            </w:pPr>
            <w:r>
              <w:rPr>
                <w:sz w:val="20"/>
                <w:szCs w:val="20"/>
              </w:rPr>
              <w:t>Thyroid Carcinoma</w:t>
            </w:r>
          </w:p>
        </w:tc>
        <w:tc>
          <w:tcPr>
            <w:tcW w:w="1350" w:type="dxa"/>
            <w:tcBorders>
              <w:top w:val="nil"/>
              <w:left w:val="nil"/>
              <w:bottom w:val="nil"/>
              <w:right w:val="nil"/>
            </w:tcBorders>
            <w:tcMar>
              <w:top w:w="40" w:type="dxa"/>
              <w:left w:w="40" w:type="dxa"/>
              <w:bottom w:w="40" w:type="dxa"/>
              <w:right w:w="40" w:type="dxa"/>
            </w:tcMar>
            <w:vAlign w:val="bottom"/>
          </w:tcPr>
          <w:p w14:paraId="12E42CAE" w14:textId="77777777" w:rsidR="00781821" w:rsidRDefault="00A91ED9" w:rsidP="00A91ED9">
            <w:pPr>
              <w:pStyle w:val="normal0"/>
              <w:spacing w:line="240" w:lineRule="auto"/>
              <w:jc w:val="right"/>
              <w:rPr>
                <w:b/>
              </w:rPr>
            </w:pPr>
            <w:r>
              <w:rPr>
                <w:sz w:val="20"/>
                <w:szCs w:val="20"/>
              </w:rPr>
              <w:t>11</w:t>
            </w:r>
          </w:p>
        </w:tc>
        <w:tc>
          <w:tcPr>
            <w:tcW w:w="1350" w:type="dxa"/>
            <w:tcBorders>
              <w:top w:val="nil"/>
              <w:left w:val="nil"/>
              <w:bottom w:val="nil"/>
              <w:right w:val="nil"/>
            </w:tcBorders>
            <w:tcMar>
              <w:top w:w="40" w:type="dxa"/>
              <w:left w:w="40" w:type="dxa"/>
              <w:bottom w:w="40" w:type="dxa"/>
              <w:right w:w="40" w:type="dxa"/>
            </w:tcMar>
            <w:vAlign w:val="bottom"/>
          </w:tcPr>
          <w:p w14:paraId="5692C8E8" w14:textId="77777777" w:rsidR="00781821" w:rsidRDefault="00A91ED9" w:rsidP="00A91ED9">
            <w:pPr>
              <w:pStyle w:val="normal0"/>
              <w:spacing w:line="240" w:lineRule="auto"/>
              <w:jc w:val="right"/>
              <w:rPr>
                <w:b/>
              </w:rPr>
            </w:pPr>
            <w:r>
              <w:rPr>
                <w:sz w:val="20"/>
                <w:szCs w:val="20"/>
              </w:rPr>
              <w:t>1,035,879</w:t>
            </w:r>
          </w:p>
        </w:tc>
        <w:tc>
          <w:tcPr>
            <w:tcW w:w="1355" w:type="dxa"/>
            <w:tcBorders>
              <w:top w:val="nil"/>
              <w:left w:val="nil"/>
              <w:bottom w:val="nil"/>
              <w:right w:val="nil"/>
            </w:tcBorders>
            <w:tcMar>
              <w:top w:w="40" w:type="dxa"/>
              <w:left w:w="40" w:type="dxa"/>
              <w:bottom w:w="40" w:type="dxa"/>
              <w:right w:w="40" w:type="dxa"/>
            </w:tcMar>
            <w:vAlign w:val="bottom"/>
          </w:tcPr>
          <w:p w14:paraId="583240E0" w14:textId="77777777" w:rsidR="00781821" w:rsidRDefault="00A91ED9" w:rsidP="00A91ED9">
            <w:pPr>
              <w:pStyle w:val="normal0"/>
              <w:spacing w:line="240" w:lineRule="auto"/>
              <w:jc w:val="right"/>
              <w:rPr>
                <w:b/>
              </w:rPr>
            </w:pPr>
            <w:r>
              <w:rPr>
                <w:sz w:val="20"/>
                <w:szCs w:val="20"/>
              </w:rPr>
              <w:t>1,013</w:t>
            </w:r>
          </w:p>
        </w:tc>
      </w:tr>
      <w:tr w:rsidR="00513073" w14:paraId="78B05A3D"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77F289DD" w14:textId="77777777" w:rsidR="00781821" w:rsidRDefault="00A91ED9" w:rsidP="00A91ED9">
            <w:pPr>
              <w:pStyle w:val="normal0"/>
              <w:spacing w:line="240" w:lineRule="auto"/>
              <w:rPr>
                <w:b/>
              </w:rPr>
            </w:pPr>
            <w:proofErr w:type="spellStart"/>
            <w:r>
              <w:rPr>
                <w:sz w:val="20"/>
                <w:szCs w:val="20"/>
              </w:rPr>
              <w:t>Thymoma</w:t>
            </w:r>
            <w:proofErr w:type="spellEnd"/>
          </w:p>
        </w:tc>
        <w:tc>
          <w:tcPr>
            <w:tcW w:w="1350" w:type="dxa"/>
            <w:tcBorders>
              <w:top w:val="nil"/>
              <w:left w:val="nil"/>
              <w:bottom w:val="nil"/>
              <w:right w:val="nil"/>
            </w:tcBorders>
            <w:tcMar>
              <w:top w:w="40" w:type="dxa"/>
              <w:left w:w="40" w:type="dxa"/>
              <w:bottom w:w="40" w:type="dxa"/>
              <w:right w:w="40" w:type="dxa"/>
            </w:tcMar>
            <w:vAlign w:val="bottom"/>
          </w:tcPr>
          <w:p w14:paraId="2E9FE403" w14:textId="77777777" w:rsidR="00781821" w:rsidRDefault="00A91ED9" w:rsidP="00A91ED9">
            <w:pPr>
              <w:pStyle w:val="normal0"/>
              <w:spacing w:line="240" w:lineRule="auto"/>
              <w:jc w:val="right"/>
              <w:rPr>
                <w:b/>
              </w:rPr>
            </w:pPr>
            <w:r>
              <w:rPr>
                <w:sz w:val="20"/>
                <w:szCs w:val="20"/>
              </w:rPr>
              <w:t>8</w:t>
            </w:r>
          </w:p>
        </w:tc>
        <w:tc>
          <w:tcPr>
            <w:tcW w:w="1350" w:type="dxa"/>
            <w:tcBorders>
              <w:top w:val="nil"/>
              <w:left w:val="nil"/>
              <w:bottom w:val="nil"/>
              <w:right w:val="nil"/>
            </w:tcBorders>
            <w:tcMar>
              <w:top w:w="40" w:type="dxa"/>
              <w:left w:w="40" w:type="dxa"/>
              <w:bottom w:w="40" w:type="dxa"/>
              <w:right w:w="40" w:type="dxa"/>
            </w:tcMar>
            <w:vAlign w:val="bottom"/>
          </w:tcPr>
          <w:p w14:paraId="46FB2354" w14:textId="77777777" w:rsidR="00781821" w:rsidRDefault="00A91ED9" w:rsidP="00A91ED9">
            <w:pPr>
              <w:pStyle w:val="normal0"/>
              <w:spacing w:line="240" w:lineRule="auto"/>
              <w:jc w:val="right"/>
              <w:rPr>
                <w:b/>
              </w:rPr>
            </w:pPr>
            <w:r>
              <w:rPr>
                <w:sz w:val="20"/>
                <w:szCs w:val="20"/>
              </w:rPr>
              <w:t>678,085</w:t>
            </w:r>
          </w:p>
        </w:tc>
        <w:tc>
          <w:tcPr>
            <w:tcW w:w="1355" w:type="dxa"/>
            <w:tcBorders>
              <w:top w:val="nil"/>
              <w:left w:val="nil"/>
              <w:bottom w:val="nil"/>
              <w:right w:val="nil"/>
            </w:tcBorders>
            <w:tcMar>
              <w:top w:w="40" w:type="dxa"/>
              <w:left w:w="40" w:type="dxa"/>
              <w:bottom w:w="40" w:type="dxa"/>
              <w:right w:w="40" w:type="dxa"/>
            </w:tcMar>
            <w:vAlign w:val="bottom"/>
          </w:tcPr>
          <w:p w14:paraId="2B8717FF" w14:textId="77777777" w:rsidR="00781821" w:rsidRDefault="00A91ED9" w:rsidP="00A91ED9">
            <w:pPr>
              <w:pStyle w:val="normal0"/>
              <w:spacing w:line="240" w:lineRule="auto"/>
              <w:jc w:val="right"/>
              <w:rPr>
                <w:b/>
              </w:rPr>
            </w:pPr>
            <w:r>
              <w:rPr>
                <w:sz w:val="20"/>
                <w:szCs w:val="20"/>
              </w:rPr>
              <w:t>248</w:t>
            </w:r>
          </w:p>
        </w:tc>
      </w:tr>
      <w:tr w:rsidR="00513073" w14:paraId="22A8F078"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2082D6BD" w14:textId="77777777" w:rsidR="00781821" w:rsidRDefault="00A91ED9" w:rsidP="00A91ED9">
            <w:pPr>
              <w:pStyle w:val="normal0"/>
              <w:spacing w:line="240" w:lineRule="auto"/>
              <w:rPr>
                <w:b/>
              </w:rPr>
            </w:pPr>
            <w:r>
              <w:rPr>
                <w:sz w:val="20"/>
                <w:szCs w:val="20"/>
              </w:rPr>
              <w:t>Uterine Corpus Endometrial Carcinoma</w:t>
            </w:r>
          </w:p>
        </w:tc>
        <w:tc>
          <w:tcPr>
            <w:tcW w:w="1350" w:type="dxa"/>
            <w:tcBorders>
              <w:top w:val="nil"/>
              <w:left w:val="nil"/>
              <w:bottom w:val="nil"/>
              <w:right w:val="nil"/>
            </w:tcBorders>
            <w:tcMar>
              <w:top w:w="40" w:type="dxa"/>
              <w:left w:w="40" w:type="dxa"/>
              <w:bottom w:w="40" w:type="dxa"/>
              <w:right w:w="40" w:type="dxa"/>
            </w:tcMar>
            <w:vAlign w:val="bottom"/>
          </w:tcPr>
          <w:p w14:paraId="5674DECF" w14:textId="77777777" w:rsidR="00781821" w:rsidRDefault="00A91ED9" w:rsidP="00A91ED9">
            <w:pPr>
              <w:pStyle w:val="normal0"/>
              <w:spacing w:line="240" w:lineRule="auto"/>
              <w:jc w:val="right"/>
              <w:rPr>
                <w:b/>
              </w:rPr>
            </w:pPr>
            <w:r>
              <w:rPr>
                <w:sz w:val="20"/>
                <w:szCs w:val="20"/>
              </w:rPr>
              <w:t>11</w:t>
            </w:r>
          </w:p>
        </w:tc>
        <w:tc>
          <w:tcPr>
            <w:tcW w:w="1350" w:type="dxa"/>
            <w:tcBorders>
              <w:top w:val="nil"/>
              <w:left w:val="nil"/>
              <w:bottom w:val="nil"/>
              <w:right w:val="nil"/>
            </w:tcBorders>
            <w:tcMar>
              <w:top w:w="40" w:type="dxa"/>
              <w:left w:w="40" w:type="dxa"/>
              <w:bottom w:w="40" w:type="dxa"/>
              <w:right w:w="40" w:type="dxa"/>
            </w:tcMar>
            <w:vAlign w:val="bottom"/>
          </w:tcPr>
          <w:p w14:paraId="5C949658" w14:textId="77777777" w:rsidR="00781821" w:rsidRDefault="00A91ED9" w:rsidP="00A91ED9">
            <w:pPr>
              <w:pStyle w:val="normal0"/>
              <w:spacing w:line="240" w:lineRule="auto"/>
              <w:jc w:val="right"/>
              <w:rPr>
                <w:b/>
              </w:rPr>
            </w:pPr>
            <w:r>
              <w:rPr>
                <w:sz w:val="20"/>
                <w:szCs w:val="20"/>
              </w:rPr>
              <w:t>1,372,635</w:t>
            </w:r>
          </w:p>
        </w:tc>
        <w:tc>
          <w:tcPr>
            <w:tcW w:w="1355" w:type="dxa"/>
            <w:tcBorders>
              <w:top w:val="nil"/>
              <w:left w:val="nil"/>
              <w:bottom w:val="nil"/>
              <w:right w:val="nil"/>
            </w:tcBorders>
            <w:tcMar>
              <w:top w:w="40" w:type="dxa"/>
              <w:left w:w="40" w:type="dxa"/>
              <w:bottom w:w="40" w:type="dxa"/>
              <w:right w:w="40" w:type="dxa"/>
            </w:tcMar>
            <w:vAlign w:val="bottom"/>
          </w:tcPr>
          <w:p w14:paraId="4B58A46E" w14:textId="77777777" w:rsidR="00781821" w:rsidRDefault="00A91ED9" w:rsidP="00A91ED9">
            <w:pPr>
              <w:pStyle w:val="normal0"/>
              <w:spacing w:line="240" w:lineRule="auto"/>
              <w:jc w:val="right"/>
              <w:rPr>
                <w:b/>
              </w:rPr>
            </w:pPr>
            <w:r>
              <w:rPr>
                <w:sz w:val="20"/>
                <w:szCs w:val="20"/>
              </w:rPr>
              <w:t>1,083</w:t>
            </w:r>
          </w:p>
        </w:tc>
      </w:tr>
      <w:tr w:rsidR="00513073" w14:paraId="21523677" w14:textId="77777777" w:rsidTr="00513073">
        <w:trPr>
          <w:trHeight w:val="216"/>
        </w:trPr>
        <w:tc>
          <w:tcPr>
            <w:tcW w:w="5080" w:type="dxa"/>
            <w:tcBorders>
              <w:top w:val="nil"/>
              <w:left w:val="nil"/>
              <w:bottom w:val="nil"/>
              <w:right w:val="nil"/>
            </w:tcBorders>
            <w:tcMar>
              <w:top w:w="40" w:type="dxa"/>
              <w:left w:w="40" w:type="dxa"/>
              <w:bottom w:w="40" w:type="dxa"/>
              <w:right w:w="40" w:type="dxa"/>
            </w:tcMar>
            <w:vAlign w:val="bottom"/>
          </w:tcPr>
          <w:p w14:paraId="461E03A2" w14:textId="77777777" w:rsidR="00781821" w:rsidRDefault="00A91ED9" w:rsidP="00A91ED9">
            <w:pPr>
              <w:pStyle w:val="normal0"/>
              <w:spacing w:line="240" w:lineRule="auto"/>
              <w:rPr>
                <w:b/>
              </w:rPr>
            </w:pPr>
            <w:r>
              <w:rPr>
                <w:sz w:val="20"/>
                <w:szCs w:val="20"/>
              </w:rPr>
              <w:t xml:space="preserve">Uterine </w:t>
            </w:r>
            <w:proofErr w:type="spellStart"/>
            <w:r>
              <w:rPr>
                <w:sz w:val="20"/>
                <w:szCs w:val="20"/>
              </w:rPr>
              <w:t>Carcinosarcoma</w:t>
            </w:r>
            <w:proofErr w:type="spellEnd"/>
          </w:p>
        </w:tc>
        <w:tc>
          <w:tcPr>
            <w:tcW w:w="1350" w:type="dxa"/>
            <w:tcBorders>
              <w:top w:val="nil"/>
              <w:left w:val="nil"/>
              <w:bottom w:val="nil"/>
              <w:right w:val="nil"/>
            </w:tcBorders>
            <w:tcMar>
              <w:top w:w="40" w:type="dxa"/>
              <w:left w:w="40" w:type="dxa"/>
              <w:bottom w:w="40" w:type="dxa"/>
              <w:right w:w="40" w:type="dxa"/>
            </w:tcMar>
            <w:vAlign w:val="bottom"/>
          </w:tcPr>
          <w:p w14:paraId="087E481B" w14:textId="77777777" w:rsidR="00781821" w:rsidRDefault="00A91ED9" w:rsidP="00A91ED9">
            <w:pPr>
              <w:pStyle w:val="normal0"/>
              <w:spacing w:line="240" w:lineRule="auto"/>
              <w:jc w:val="right"/>
              <w:rPr>
                <w:b/>
              </w:rPr>
            </w:pPr>
            <w:r>
              <w:rPr>
                <w:sz w:val="20"/>
                <w:szCs w:val="20"/>
              </w:rPr>
              <w:t>9</w:t>
            </w:r>
          </w:p>
        </w:tc>
        <w:tc>
          <w:tcPr>
            <w:tcW w:w="1350" w:type="dxa"/>
            <w:tcBorders>
              <w:top w:val="nil"/>
              <w:left w:val="nil"/>
              <w:bottom w:val="nil"/>
              <w:right w:val="nil"/>
            </w:tcBorders>
            <w:tcMar>
              <w:top w:w="40" w:type="dxa"/>
              <w:left w:w="40" w:type="dxa"/>
              <w:bottom w:w="40" w:type="dxa"/>
              <w:right w:w="40" w:type="dxa"/>
            </w:tcMar>
            <w:vAlign w:val="bottom"/>
          </w:tcPr>
          <w:p w14:paraId="6FA0D6A6" w14:textId="77777777" w:rsidR="00781821" w:rsidRDefault="00A91ED9" w:rsidP="00A91ED9">
            <w:pPr>
              <w:pStyle w:val="normal0"/>
              <w:spacing w:line="240" w:lineRule="auto"/>
              <w:jc w:val="right"/>
              <w:rPr>
                <w:b/>
              </w:rPr>
            </w:pPr>
            <w:r>
              <w:rPr>
                <w:sz w:val="20"/>
                <w:szCs w:val="20"/>
              </w:rPr>
              <w:t>642,449</w:t>
            </w:r>
          </w:p>
        </w:tc>
        <w:tc>
          <w:tcPr>
            <w:tcW w:w="1355" w:type="dxa"/>
            <w:tcBorders>
              <w:top w:val="nil"/>
              <w:left w:val="nil"/>
              <w:bottom w:val="nil"/>
              <w:right w:val="nil"/>
            </w:tcBorders>
            <w:tcMar>
              <w:top w:w="40" w:type="dxa"/>
              <w:left w:w="40" w:type="dxa"/>
              <w:bottom w:w="40" w:type="dxa"/>
              <w:right w:w="40" w:type="dxa"/>
            </w:tcMar>
            <w:vAlign w:val="bottom"/>
          </w:tcPr>
          <w:p w14:paraId="085789E8" w14:textId="77777777" w:rsidR="00781821" w:rsidRDefault="00A91ED9" w:rsidP="00A91ED9">
            <w:pPr>
              <w:pStyle w:val="normal0"/>
              <w:spacing w:line="240" w:lineRule="auto"/>
              <w:jc w:val="right"/>
              <w:rPr>
                <w:b/>
              </w:rPr>
            </w:pPr>
            <w:r>
              <w:rPr>
                <w:sz w:val="20"/>
                <w:szCs w:val="20"/>
              </w:rPr>
              <w:t>111</w:t>
            </w:r>
          </w:p>
        </w:tc>
      </w:tr>
      <w:tr w:rsidR="00513073" w14:paraId="676AB877" w14:textId="77777777" w:rsidTr="00513073">
        <w:trPr>
          <w:trHeight w:val="216"/>
        </w:trPr>
        <w:tc>
          <w:tcPr>
            <w:tcW w:w="5080" w:type="dxa"/>
            <w:tcBorders>
              <w:top w:val="nil"/>
              <w:left w:val="nil"/>
              <w:bottom w:val="single" w:sz="12" w:space="0" w:color="000000"/>
              <w:right w:val="nil"/>
            </w:tcBorders>
            <w:tcMar>
              <w:top w:w="40" w:type="dxa"/>
              <w:left w:w="40" w:type="dxa"/>
              <w:bottom w:w="40" w:type="dxa"/>
              <w:right w:w="40" w:type="dxa"/>
            </w:tcMar>
            <w:vAlign w:val="bottom"/>
          </w:tcPr>
          <w:p w14:paraId="6A003B02" w14:textId="77777777" w:rsidR="00781821" w:rsidRDefault="00A91ED9" w:rsidP="00A91ED9">
            <w:pPr>
              <w:pStyle w:val="normal0"/>
              <w:spacing w:line="240" w:lineRule="auto"/>
              <w:rPr>
                <w:b/>
              </w:rPr>
            </w:pPr>
            <w:proofErr w:type="spellStart"/>
            <w:r>
              <w:rPr>
                <w:sz w:val="20"/>
                <w:szCs w:val="20"/>
              </w:rPr>
              <w:t>Uveal</w:t>
            </w:r>
            <w:proofErr w:type="spellEnd"/>
            <w:r>
              <w:rPr>
                <w:sz w:val="20"/>
                <w:szCs w:val="20"/>
              </w:rPr>
              <w:t xml:space="preserve"> Melanoma</w:t>
            </w:r>
          </w:p>
        </w:tc>
        <w:tc>
          <w:tcPr>
            <w:tcW w:w="1350" w:type="dxa"/>
            <w:tcBorders>
              <w:top w:val="nil"/>
              <w:left w:val="nil"/>
              <w:bottom w:val="single" w:sz="12" w:space="0" w:color="000000"/>
              <w:right w:val="nil"/>
            </w:tcBorders>
            <w:tcMar>
              <w:top w:w="40" w:type="dxa"/>
              <w:left w:w="40" w:type="dxa"/>
              <w:bottom w:w="40" w:type="dxa"/>
              <w:right w:w="40" w:type="dxa"/>
            </w:tcMar>
            <w:vAlign w:val="bottom"/>
          </w:tcPr>
          <w:p w14:paraId="25E4BC61" w14:textId="77777777" w:rsidR="00781821" w:rsidRDefault="00A91ED9" w:rsidP="00A91ED9">
            <w:pPr>
              <w:pStyle w:val="normal0"/>
              <w:spacing w:line="240" w:lineRule="auto"/>
              <w:jc w:val="right"/>
              <w:rPr>
                <w:b/>
              </w:rPr>
            </w:pPr>
            <w:r>
              <w:rPr>
                <w:sz w:val="20"/>
                <w:szCs w:val="20"/>
              </w:rPr>
              <w:t>10</w:t>
            </w:r>
          </w:p>
        </w:tc>
        <w:tc>
          <w:tcPr>
            <w:tcW w:w="1350" w:type="dxa"/>
            <w:tcBorders>
              <w:top w:val="nil"/>
              <w:left w:val="nil"/>
              <w:bottom w:val="single" w:sz="12" w:space="0" w:color="000000"/>
              <w:right w:val="nil"/>
            </w:tcBorders>
            <w:tcMar>
              <w:top w:w="40" w:type="dxa"/>
              <w:left w:w="40" w:type="dxa"/>
              <w:bottom w:w="40" w:type="dxa"/>
              <w:right w:w="40" w:type="dxa"/>
            </w:tcMar>
            <w:vAlign w:val="bottom"/>
          </w:tcPr>
          <w:p w14:paraId="531BAA5B" w14:textId="77777777" w:rsidR="00781821" w:rsidRDefault="00A91ED9" w:rsidP="00A91ED9">
            <w:pPr>
              <w:pStyle w:val="normal0"/>
              <w:spacing w:line="240" w:lineRule="auto"/>
              <w:jc w:val="right"/>
              <w:rPr>
                <w:b/>
              </w:rPr>
            </w:pPr>
            <w:r>
              <w:rPr>
                <w:sz w:val="20"/>
                <w:szCs w:val="20"/>
              </w:rPr>
              <w:t>647,998</w:t>
            </w:r>
          </w:p>
        </w:tc>
        <w:tc>
          <w:tcPr>
            <w:tcW w:w="1355" w:type="dxa"/>
            <w:tcBorders>
              <w:top w:val="nil"/>
              <w:left w:val="nil"/>
              <w:bottom w:val="single" w:sz="12" w:space="0" w:color="000000"/>
              <w:right w:val="nil"/>
            </w:tcBorders>
            <w:tcMar>
              <w:top w:w="40" w:type="dxa"/>
              <w:left w:w="40" w:type="dxa"/>
              <w:bottom w:w="40" w:type="dxa"/>
              <w:right w:w="40" w:type="dxa"/>
            </w:tcMar>
            <w:vAlign w:val="bottom"/>
          </w:tcPr>
          <w:p w14:paraId="67634C15" w14:textId="77777777" w:rsidR="00781821" w:rsidRDefault="00A91ED9" w:rsidP="00A91ED9">
            <w:pPr>
              <w:pStyle w:val="normal0"/>
              <w:spacing w:line="240" w:lineRule="auto"/>
              <w:jc w:val="right"/>
              <w:rPr>
                <w:b/>
              </w:rPr>
            </w:pPr>
            <w:r>
              <w:rPr>
                <w:sz w:val="20"/>
                <w:szCs w:val="20"/>
              </w:rPr>
              <w:t>160</w:t>
            </w:r>
          </w:p>
        </w:tc>
      </w:tr>
      <w:tr w:rsidR="00781821" w14:paraId="484A49C7" w14:textId="77777777">
        <w:trPr>
          <w:trHeight w:val="300"/>
        </w:trPr>
        <w:tc>
          <w:tcPr>
            <w:tcW w:w="9135" w:type="dxa"/>
            <w:gridSpan w:val="4"/>
            <w:tcBorders>
              <w:top w:val="nil"/>
              <w:left w:val="nil"/>
              <w:bottom w:val="nil"/>
              <w:right w:val="nil"/>
            </w:tcBorders>
            <w:shd w:val="clear" w:color="auto" w:fill="FFFFFF"/>
            <w:tcMar>
              <w:top w:w="40" w:type="dxa"/>
              <w:left w:w="40" w:type="dxa"/>
              <w:bottom w:w="40" w:type="dxa"/>
              <w:right w:w="40" w:type="dxa"/>
            </w:tcMar>
            <w:vAlign w:val="bottom"/>
          </w:tcPr>
          <w:p w14:paraId="04338A38" w14:textId="1B74C0B9" w:rsidR="00781821" w:rsidRDefault="00A91ED9">
            <w:pPr>
              <w:pStyle w:val="normal0"/>
              <w:rPr>
                <w:b/>
              </w:rPr>
            </w:pPr>
            <w:r>
              <w:rPr>
                <w:i/>
                <w:sz w:val="20"/>
                <w:szCs w:val="20"/>
              </w:rPr>
              <w:t>Note</w:t>
            </w:r>
            <w:r>
              <w:rPr>
                <w:b/>
                <w:sz w:val="20"/>
                <w:szCs w:val="20"/>
              </w:rPr>
              <w:t>.</w:t>
            </w:r>
            <w:r>
              <w:rPr>
                <w:sz w:val="20"/>
                <w:szCs w:val="20"/>
              </w:rPr>
              <w:t xml:space="preserve"> All datasets are available for download at </w:t>
            </w:r>
            <w:hyperlink r:id="rId34" w:history="1">
              <w:r w:rsidR="00581056" w:rsidRPr="00302D61">
                <w:rPr>
                  <w:rStyle w:val="Hyperlink"/>
                  <w:sz w:val="20"/>
                  <w:szCs w:val="20"/>
                </w:rPr>
                <w:t>http://tinyurl.com/maeourls</w:t>
              </w:r>
            </w:hyperlink>
            <w:r w:rsidR="00513073" w:rsidRPr="00513073">
              <w:t xml:space="preserve">. </w:t>
            </w:r>
            <w:r w:rsidR="00513073">
              <w:t>*</w:t>
            </w:r>
            <w:r w:rsidR="00513073" w:rsidRPr="00513073">
              <w:rPr>
                <w:sz w:val="20"/>
                <w:szCs w:val="20"/>
              </w:rPr>
              <w:t>Specimen</w:t>
            </w:r>
            <w:r w:rsidR="00513073">
              <w:rPr>
                <w:sz w:val="20"/>
                <w:szCs w:val="20"/>
              </w:rPr>
              <w:t xml:space="preserve"> counts include tumors, normal tissues, and replicate assays.</w:t>
            </w:r>
            <w:bookmarkStart w:id="16" w:name="_GoBack"/>
            <w:bookmarkEnd w:id="16"/>
          </w:p>
        </w:tc>
      </w:tr>
    </w:tbl>
    <w:p w14:paraId="4DB73A6A" w14:textId="77777777" w:rsidR="00581056" w:rsidRDefault="00581056" w:rsidP="00581056">
      <w:pPr>
        <w:pStyle w:val="normal0"/>
        <w:widowControl/>
        <w:spacing w:before="400"/>
        <w:rPr>
          <w:b/>
        </w:rPr>
      </w:pPr>
      <w:bookmarkStart w:id="17" w:name="_3vxassijpi5h" w:colFirst="0" w:colLast="0"/>
      <w:bookmarkEnd w:id="17"/>
    </w:p>
    <w:p w14:paraId="79754BBF" w14:textId="37680646" w:rsidR="00581056" w:rsidRDefault="00581056" w:rsidP="00581056">
      <w:pPr>
        <w:pStyle w:val="normal0"/>
        <w:widowControl/>
        <w:spacing w:before="400"/>
        <w:rPr>
          <w:b/>
        </w:rPr>
      </w:pPr>
      <w:r>
        <w:rPr>
          <w:b/>
        </w:rPr>
        <w:t xml:space="preserve">Supplemental Table 3: Essential elements of the </w:t>
      </w:r>
      <w:proofErr w:type="spellStart"/>
      <w:r>
        <w:rPr>
          <w:b/>
        </w:rPr>
        <w:t>MultiAssayExperiment</w:t>
      </w:r>
      <w:proofErr w:type="spellEnd"/>
      <w:r>
        <w:rPr>
          <w:b/>
        </w:rPr>
        <w:t xml:space="preserve"> data class.</w:t>
      </w:r>
    </w:p>
    <w:tbl>
      <w:tblPr>
        <w:tblStyle w:val="a0"/>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6810"/>
      </w:tblGrid>
      <w:tr w:rsidR="00581056" w14:paraId="63A11513" w14:textId="77777777" w:rsidTr="00FE186B">
        <w:tc>
          <w:tcPr>
            <w:tcW w:w="2535" w:type="dxa"/>
            <w:tcBorders>
              <w:left w:val="single" w:sz="8" w:space="0" w:color="FFFFFF"/>
              <w:right w:val="single" w:sz="8" w:space="0" w:color="FFFFFF"/>
            </w:tcBorders>
            <w:tcMar>
              <w:top w:w="100" w:type="dxa"/>
              <w:left w:w="100" w:type="dxa"/>
              <w:bottom w:w="100" w:type="dxa"/>
              <w:right w:w="100" w:type="dxa"/>
            </w:tcMar>
          </w:tcPr>
          <w:p w14:paraId="23E7D05B" w14:textId="77777777" w:rsidR="00581056" w:rsidRDefault="00581056" w:rsidP="00FE186B">
            <w:pPr>
              <w:pStyle w:val="normal0"/>
              <w:spacing w:line="240" w:lineRule="auto"/>
              <w:rPr>
                <w:b/>
              </w:rPr>
            </w:pPr>
            <w:r>
              <w:rPr>
                <w:b/>
              </w:rPr>
              <w:t>Structure</w:t>
            </w:r>
          </w:p>
        </w:tc>
        <w:tc>
          <w:tcPr>
            <w:tcW w:w="6810" w:type="dxa"/>
            <w:tcBorders>
              <w:left w:val="single" w:sz="8" w:space="0" w:color="FFFFFF"/>
              <w:right w:val="single" w:sz="8" w:space="0" w:color="FFFFFF"/>
            </w:tcBorders>
            <w:tcMar>
              <w:top w:w="100" w:type="dxa"/>
              <w:left w:w="100" w:type="dxa"/>
              <w:bottom w:w="100" w:type="dxa"/>
              <w:right w:w="100" w:type="dxa"/>
            </w:tcMar>
          </w:tcPr>
          <w:p w14:paraId="0F30F12D" w14:textId="77777777" w:rsidR="00581056" w:rsidRDefault="00581056" w:rsidP="00FE186B">
            <w:pPr>
              <w:pStyle w:val="normal0"/>
              <w:spacing w:line="240" w:lineRule="auto"/>
              <w:rPr>
                <w:b/>
              </w:rPr>
            </w:pPr>
            <w:r>
              <w:rPr>
                <w:b/>
              </w:rPr>
              <w:t>Description</w:t>
            </w:r>
          </w:p>
        </w:tc>
      </w:tr>
      <w:tr w:rsidR="00581056" w14:paraId="084948CE" w14:textId="77777777" w:rsidTr="00FE186B">
        <w:tc>
          <w:tcPr>
            <w:tcW w:w="2535" w:type="dxa"/>
            <w:tcBorders>
              <w:left w:val="single" w:sz="8" w:space="0" w:color="FFFFFF"/>
              <w:right w:val="single" w:sz="8" w:space="0" w:color="FFFFFF"/>
            </w:tcBorders>
            <w:tcMar>
              <w:top w:w="100" w:type="dxa"/>
              <w:left w:w="100" w:type="dxa"/>
              <w:bottom w:w="100" w:type="dxa"/>
              <w:right w:w="100" w:type="dxa"/>
            </w:tcMar>
          </w:tcPr>
          <w:p w14:paraId="35B26FEA" w14:textId="77777777" w:rsidR="00581056" w:rsidRDefault="00581056" w:rsidP="00FE186B">
            <w:pPr>
              <w:pStyle w:val="normal0"/>
              <w:spacing w:line="240" w:lineRule="auto"/>
            </w:pPr>
            <w:proofErr w:type="spellStart"/>
            <w:r>
              <w:t>MultiAssayExperiment</w:t>
            </w:r>
            <w:proofErr w:type="spellEnd"/>
          </w:p>
        </w:tc>
        <w:tc>
          <w:tcPr>
            <w:tcW w:w="6810" w:type="dxa"/>
            <w:tcBorders>
              <w:left w:val="single" w:sz="8" w:space="0" w:color="FFFFFF"/>
              <w:right w:val="single" w:sz="8" w:space="0" w:color="FFFFFF"/>
            </w:tcBorders>
            <w:tcMar>
              <w:top w:w="100" w:type="dxa"/>
              <w:left w:w="100" w:type="dxa"/>
              <w:bottom w:w="100" w:type="dxa"/>
              <w:right w:w="100" w:type="dxa"/>
            </w:tcMar>
          </w:tcPr>
          <w:p w14:paraId="197C4112" w14:textId="77777777" w:rsidR="00581056" w:rsidRDefault="00581056" w:rsidP="00FE186B">
            <w:pPr>
              <w:pStyle w:val="normal0"/>
              <w:numPr>
                <w:ilvl w:val="0"/>
                <w:numId w:val="7"/>
              </w:numPr>
              <w:spacing w:line="240" w:lineRule="auto"/>
              <w:ind w:hanging="360"/>
              <w:contextualSpacing/>
            </w:pPr>
            <w:proofErr w:type="gramStart"/>
            <w:r>
              <w:t>coordinated</w:t>
            </w:r>
            <w:proofErr w:type="gramEnd"/>
            <w:r>
              <w:t xml:space="preserve"> selection of biological units and features</w:t>
            </w:r>
          </w:p>
          <w:p w14:paraId="4ED919F1" w14:textId="77777777" w:rsidR="00581056" w:rsidRDefault="00581056" w:rsidP="00FE186B">
            <w:pPr>
              <w:pStyle w:val="normal0"/>
              <w:numPr>
                <w:ilvl w:val="0"/>
                <w:numId w:val="7"/>
              </w:numPr>
              <w:spacing w:line="240" w:lineRule="auto"/>
              <w:ind w:hanging="360"/>
              <w:contextualSpacing/>
            </w:pPr>
            <w:proofErr w:type="gramStart"/>
            <w:r>
              <w:t>coordinated</w:t>
            </w:r>
            <w:proofErr w:type="gramEnd"/>
            <w:r>
              <w:t xml:space="preserve"> extraction of data matrices</w:t>
            </w:r>
          </w:p>
          <w:p w14:paraId="79C51A8C" w14:textId="77777777" w:rsidR="00581056" w:rsidRDefault="00581056" w:rsidP="00FE186B">
            <w:pPr>
              <w:pStyle w:val="normal0"/>
              <w:numPr>
                <w:ilvl w:val="0"/>
                <w:numId w:val="7"/>
              </w:numPr>
              <w:spacing w:line="240" w:lineRule="auto"/>
              <w:ind w:hanging="360"/>
              <w:contextualSpacing/>
            </w:pPr>
            <w:proofErr w:type="gramStart"/>
            <w:r>
              <w:t>operations</w:t>
            </w:r>
            <w:proofErr w:type="gramEnd"/>
            <w:r>
              <w:t xml:space="preserve"> spanning experiments</w:t>
            </w:r>
          </w:p>
          <w:p w14:paraId="1998718F" w14:textId="77777777" w:rsidR="00581056" w:rsidRDefault="00581056" w:rsidP="00FE186B">
            <w:pPr>
              <w:pStyle w:val="normal0"/>
              <w:numPr>
                <w:ilvl w:val="0"/>
                <w:numId w:val="7"/>
              </w:numPr>
              <w:spacing w:line="240" w:lineRule="auto"/>
              <w:ind w:hanging="360"/>
              <w:contextualSpacing/>
            </w:pPr>
            <w:proofErr w:type="gramStart"/>
            <w:r>
              <w:t>genomic</w:t>
            </w:r>
            <w:proofErr w:type="gramEnd"/>
            <w:r>
              <w:t xml:space="preserve"> range-based and ID-based </w:t>
            </w:r>
            <w:proofErr w:type="spellStart"/>
            <w:r>
              <w:t>subsetting</w:t>
            </w:r>
            <w:proofErr w:type="spellEnd"/>
          </w:p>
        </w:tc>
      </w:tr>
      <w:tr w:rsidR="00581056" w14:paraId="14A5932E" w14:textId="77777777" w:rsidTr="00FE186B">
        <w:tc>
          <w:tcPr>
            <w:tcW w:w="2535" w:type="dxa"/>
            <w:tcBorders>
              <w:left w:val="single" w:sz="8" w:space="0" w:color="FFFFFF"/>
              <w:right w:val="single" w:sz="8" w:space="0" w:color="FFFFFF"/>
            </w:tcBorders>
            <w:tcMar>
              <w:top w:w="100" w:type="dxa"/>
              <w:left w:w="100" w:type="dxa"/>
              <w:bottom w:w="100" w:type="dxa"/>
              <w:right w:w="100" w:type="dxa"/>
            </w:tcMar>
          </w:tcPr>
          <w:p w14:paraId="7E7AAFBE" w14:textId="77777777" w:rsidR="00581056" w:rsidRDefault="00581056" w:rsidP="00FE186B">
            <w:pPr>
              <w:pStyle w:val="normal0"/>
              <w:spacing w:line="240" w:lineRule="auto"/>
            </w:pPr>
            <w:proofErr w:type="spellStart"/>
            <w:proofErr w:type="gramStart"/>
            <w:r>
              <w:t>colData</w:t>
            </w:r>
            <w:proofErr w:type="spellEnd"/>
            <w:proofErr w:type="gramEnd"/>
          </w:p>
        </w:tc>
        <w:tc>
          <w:tcPr>
            <w:tcW w:w="6810" w:type="dxa"/>
            <w:tcBorders>
              <w:left w:val="single" w:sz="8" w:space="0" w:color="FFFFFF"/>
              <w:right w:val="single" w:sz="8" w:space="0" w:color="FFFFFF"/>
            </w:tcBorders>
            <w:tcMar>
              <w:top w:w="100" w:type="dxa"/>
              <w:left w:w="100" w:type="dxa"/>
              <w:bottom w:w="100" w:type="dxa"/>
              <w:right w:w="100" w:type="dxa"/>
            </w:tcMar>
          </w:tcPr>
          <w:p w14:paraId="43B512F8" w14:textId="77777777" w:rsidR="00581056" w:rsidRDefault="00581056" w:rsidP="00FE186B">
            <w:pPr>
              <w:pStyle w:val="normal0"/>
              <w:numPr>
                <w:ilvl w:val="0"/>
                <w:numId w:val="3"/>
              </w:numPr>
              <w:spacing w:line="240" w:lineRule="auto"/>
              <w:ind w:hanging="360"/>
              <w:contextualSpacing/>
            </w:pPr>
            <w:r>
              <w:t xml:space="preserve">A </w:t>
            </w:r>
            <w:proofErr w:type="spellStart"/>
            <w:r>
              <w:t>DataFrame</w:t>
            </w:r>
            <w:proofErr w:type="spellEnd"/>
            <w:r>
              <w:t xml:space="preserve"> providing information on patients or biological units; one row per patient</w:t>
            </w:r>
          </w:p>
        </w:tc>
      </w:tr>
      <w:tr w:rsidR="00581056" w14:paraId="2B26A777" w14:textId="77777777" w:rsidTr="00FE186B">
        <w:tc>
          <w:tcPr>
            <w:tcW w:w="2535" w:type="dxa"/>
            <w:tcBorders>
              <w:left w:val="single" w:sz="8" w:space="0" w:color="FFFFFF"/>
              <w:right w:val="single" w:sz="8" w:space="0" w:color="FFFFFF"/>
            </w:tcBorders>
            <w:tcMar>
              <w:top w:w="100" w:type="dxa"/>
              <w:left w:w="100" w:type="dxa"/>
              <w:bottom w:w="100" w:type="dxa"/>
              <w:right w:w="100" w:type="dxa"/>
            </w:tcMar>
          </w:tcPr>
          <w:p w14:paraId="2F0C1272" w14:textId="77777777" w:rsidR="00581056" w:rsidRDefault="00581056" w:rsidP="00FE186B">
            <w:pPr>
              <w:pStyle w:val="normal0"/>
              <w:spacing w:line="240" w:lineRule="auto"/>
            </w:pPr>
            <w:proofErr w:type="spellStart"/>
            <w:r>
              <w:t>ExperimentList</w:t>
            </w:r>
            <w:proofErr w:type="spellEnd"/>
          </w:p>
        </w:tc>
        <w:tc>
          <w:tcPr>
            <w:tcW w:w="6810" w:type="dxa"/>
            <w:tcBorders>
              <w:left w:val="single" w:sz="8" w:space="0" w:color="FFFFFF"/>
              <w:right w:val="single" w:sz="8" w:space="0" w:color="FFFFFF"/>
            </w:tcBorders>
            <w:tcMar>
              <w:top w:w="100" w:type="dxa"/>
              <w:left w:w="100" w:type="dxa"/>
              <w:bottom w:w="100" w:type="dxa"/>
              <w:right w:w="100" w:type="dxa"/>
            </w:tcMar>
          </w:tcPr>
          <w:p w14:paraId="7D2C64DF" w14:textId="77777777" w:rsidR="00581056" w:rsidRDefault="00581056" w:rsidP="00FE186B">
            <w:pPr>
              <w:pStyle w:val="normal0"/>
              <w:numPr>
                <w:ilvl w:val="0"/>
                <w:numId w:val="4"/>
              </w:numPr>
              <w:spacing w:line="240" w:lineRule="auto"/>
              <w:ind w:hanging="360"/>
              <w:contextualSpacing/>
            </w:pPr>
            <w:proofErr w:type="gramStart"/>
            <w:r>
              <w:t>a</w:t>
            </w:r>
            <w:proofErr w:type="gramEnd"/>
            <w:r>
              <w:t xml:space="preserve"> list of ”</w:t>
            </w:r>
            <w:proofErr w:type="spellStart"/>
            <w:r>
              <w:t>omics</w:t>
            </w:r>
            <w:proofErr w:type="spellEnd"/>
            <w:r>
              <w:t xml:space="preserve">” datasets that support “[“ (bracket </w:t>
            </w:r>
            <w:proofErr w:type="spellStart"/>
            <w:r>
              <w:t>subsetting</w:t>
            </w:r>
            <w:proofErr w:type="spellEnd"/>
            <w:r>
              <w:t>), “</w:t>
            </w:r>
            <w:proofErr w:type="spellStart"/>
            <w:r>
              <w:t>dimnames</w:t>
            </w:r>
            <w:proofErr w:type="spellEnd"/>
            <w:r>
              <w:t xml:space="preserve">”, and “dim”. May be indexed by identifiers </w:t>
            </w:r>
            <w:proofErr w:type="gramStart"/>
            <w:r>
              <w:t>or  genomic</w:t>
            </w:r>
            <w:proofErr w:type="gramEnd"/>
            <w:r>
              <w:t xml:space="preserve"> ranges.</w:t>
            </w:r>
          </w:p>
        </w:tc>
      </w:tr>
      <w:tr w:rsidR="00581056" w14:paraId="68B4732D" w14:textId="77777777" w:rsidTr="00FE186B">
        <w:tc>
          <w:tcPr>
            <w:tcW w:w="2535" w:type="dxa"/>
            <w:tcBorders>
              <w:left w:val="single" w:sz="8" w:space="0" w:color="FFFFFF"/>
              <w:right w:val="single" w:sz="8" w:space="0" w:color="FFFFFF"/>
            </w:tcBorders>
            <w:tcMar>
              <w:top w:w="100" w:type="dxa"/>
              <w:left w:w="100" w:type="dxa"/>
              <w:bottom w:w="100" w:type="dxa"/>
              <w:right w:w="100" w:type="dxa"/>
            </w:tcMar>
          </w:tcPr>
          <w:p w14:paraId="04F33BCD" w14:textId="77777777" w:rsidR="00581056" w:rsidRDefault="00581056" w:rsidP="00FE186B">
            <w:pPr>
              <w:pStyle w:val="normal0"/>
              <w:spacing w:line="240" w:lineRule="auto"/>
            </w:pPr>
            <w:proofErr w:type="spellStart"/>
            <w:proofErr w:type="gramStart"/>
            <w:r>
              <w:t>sampleMap</w:t>
            </w:r>
            <w:proofErr w:type="spellEnd"/>
            <w:proofErr w:type="gramEnd"/>
          </w:p>
        </w:tc>
        <w:tc>
          <w:tcPr>
            <w:tcW w:w="6810" w:type="dxa"/>
            <w:tcBorders>
              <w:left w:val="single" w:sz="8" w:space="0" w:color="FFFFFF"/>
              <w:right w:val="single" w:sz="8" w:space="0" w:color="FFFFFF"/>
            </w:tcBorders>
            <w:tcMar>
              <w:top w:w="100" w:type="dxa"/>
              <w:left w:w="100" w:type="dxa"/>
              <w:bottom w:w="100" w:type="dxa"/>
              <w:right w:w="100" w:type="dxa"/>
            </w:tcMar>
          </w:tcPr>
          <w:p w14:paraId="0249EA76" w14:textId="77777777" w:rsidR="00581056" w:rsidRDefault="00581056" w:rsidP="00FE186B">
            <w:pPr>
              <w:pStyle w:val="normal0"/>
              <w:numPr>
                <w:ilvl w:val="0"/>
                <w:numId w:val="5"/>
              </w:numPr>
              <w:spacing w:line="240" w:lineRule="auto"/>
              <w:ind w:hanging="360"/>
              <w:contextualSpacing/>
            </w:pPr>
            <w:r>
              <w:t xml:space="preserve">A three-column edge list relating </w:t>
            </w:r>
            <w:proofErr w:type="spellStart"/>
            <w:r>
              <w:t>colData</w:t>
            </w:r>
            <w:proofErr w:type="spellEnd"/>
            <w:r>
              <w:t xml:space="preserve"> rows to </w:t>
            </w:r>
            <w:proofErr w:type="spellStart"/>
            <w:r>
              <w:t>ExperimentList</w:t>
            </w:r>
            <w:proofErr w:type="spellEnd"/>
            <w:r>
              <w:t xml:space="preserve"> columns; one row per genomic profile. Enables different sample identifiers for each experiment, replicate and missing assays</w:t>
            </w:r>
          </w:p>
        </w:tc>
      </w:tr>
    </w:tbl>
    <w:p w14:paraId="6DB37C09" w14:textId="77777777" w:rsidR="00581056" w:rsidRDefault="00581056" w:rsidP="00581056">
      <w:pPr>
        <w:pStyle w:val="normal0"/>
        <w:widowControl/>
      </w:pPr>
    </w:p>
    <w:p w14:paraId="32DBC4A9" w14:textId="77777777" w:rsidR="00581056" w:rsidRDefault="00581056">
      <w:pPr>
        <w:pStyle w:val="Heading1"/>
        <w:contextualSpacing w:val="0"/>
        <w:rPr>
          <w:sz w:val="28"/>
          <w:szCs w:val="28"/>
        </w:rPr>
      </w:pPr>
    </w:p>
    <w:p w14:paraId="0CCEED61" w14:textId="77777777" w:rsidR="00581056" w:rsidRDefault="00581056">
      <w:pPr>
        <w:rPr>
          <w:b/>
          <w:sz w:val="28"/>
          <w:szCs w:val="28"/>
        </w:rPr>
      </w:pPr>
      <w:r>
        <w:rPr>
          <w:sz w:val="28"/>
          <w:szCs w:val="28"/>
        </w:rPr>
        <w:br w:type="page"/>
      </w:r>
    </w:p>
    <w:p w14:paraId="64FD436A" w14:textId="341460B6" w:rsidR="00781821" w:rsidRDefault="00A91ED9">
      <w:pPr>
        <w:pStyle w:val="Heading1"/>
        <w:contextualSpacing w:val="0"/>
        <w:rPr>
          <w:sz w:val="28"/>
          <w:szCs w:val="28"/>
        </w:rPr>
      </w:pPr>
      <w:r>
        <w:rPr>
          <w:sz w:val="28"/>
          <w:szCs w:val="28"/>
        </w:rPr>
        <w:lastRenderedPageBreak/>
        <w:t>References</w:t>
      </w:r>
    </w:p>
    <w:p w14:paraId="63101777" w14:textId="77777777" w:rsidR="00781821" w:rsidRDefault="00A91ED9">
      <w:pPr>
        <w:pStyle w:val="normal0"/>
        <w:spacing w:before="220" w:after="220" w:line="240" w:lineRule="auto"/>
        <w:ind w:left="440" w:hanging="440"/>
        <w:jc w:val="left"/>
      </w:pPr>
      <w:r>
        <w:t xml:space="preserve">1. </w:t>
      </w:r>
      <w:r>
        <w:tab/>
      </w:r>
      <w:hyperlink r:id="rId35">
        <w:r>
          <w:t>Hernandez-</w:t>
        </w:r>
        <w:proofErr w:type="spellStart"/>
        <w:r>
          <w:t>Ferrer</w:t>
        </w:r>
        <w:proofErr w:type="spellEnd"/>
        <w:r>
          <w:t xml:space="preserve"> C, Ruiz-Arenas C, Beltran-</w:t>
        </w:r>
        <w:proofErr w:type="spellStart"/>
        <w:r>
          <w:t>Gomila</w:t>
        </w:r>
        <w:proofErr w:type="spellEnd"/>
        <w:r>
          <w:t xml:space="preserve"> A, González JR. </w:t>
        </w:r>
        <w:proofErr w:type="spellStart"/>
        <w:r>
          <w:t>MultiDataSet</w:t>
        </w:r>
        <w:proofErr w:type="spellEnd"/>
        <w:r>
          <w:t xml:space="preserve">: an R package for encapsulating multiple data sets with application to </w:t>
        </w:r>
        <w:proofErr w:type="spellStart"/>
        <w:r>
          <w:t>omic</w:t>
        </w:r>
        <w:proofErr w:type="spellEnd"/>
        <w:r>
          <w:t xml:space="preserve"> data integration. BMC Bioinformatics. 2017</w:t>
        </w:r>
        <w:proofErr w:type="gramStart"/>
        <w:r>
          <w:t>;18:36</w:t>
        </w:r>
        <w:proofErr w:type="gramEnd"/>
        <w:r>
          <w:t>.</w:t>
        </w:r>
      </w:hyperlink>
    </w:p>
    <w:p w14:paraId="7B6127E3" w14:textId="77777777" w:rsidR="00781821" w:rsidRDefault="00A91ED9">
      <w:pPr>
        <w:pStyle w:val="normal0"/>
        <w:spacing w:after="220" w:line="240" w:lineRule="auto"/>
        <w:ind w:left="440" w:hanging="440"/>
        <w:jc w:val="left"/>
      </w:pPr>
      <w:r>
        <w:t xml:space="preserve">2. </w:t>
      </w:r>
      <w:r>
        <w:tab/>
      </w:r>
      <w:hyperlink r:id="rId36">
        <w:r>
          <w:t xml:space="preserve">Broad Institute MIT. </w:t>
        </w:r>
        <w:proofErr w:type="spellStart"/>
        <w:r>
          <w:t>Firehose</w:t>
        </w:r>
        <w:proofErr w:type="spellEnd"/>
        <w:r>
          <w:t xml:space="preserve"> Broad GDAC Download [Internet]. Available from: </w:t>
        </w:r>
      </w:hyperlink>
      <w:hyperlink r:id="rId37">
        <w:r>
          <w:t>https://confluence.broadinstitute.org/display/GDAC/Download</w:t>
        </w:r>
      </w:hyperlink>
    </w:p>
    <w:p w14:paraId="594432BD" w14:textId="77777777" w:rsidR="00781821" w:rsidRDefault="00A91ED9">
      <w:pPr>
        <w:pStyle w:val="normal0"/>
        <w:spacing w:after="220" w:line="240" w:lineRule="auto"/>
        <w:ind w:left="440" w:hanging="440"/>
        <w:jc w:val="left"/>
      </w:pPr>
      <w:r>
        <w:t xml:space="preserve">3. </w:t>
      </w:r>
      <w:r>
        <w:tab/>
      </w:r>
      <w:hyperlink r:id="rId38">
        <w:r>
          <w:t xml:space="preserve">Reinhold WC, Sunshine M, Liu H, </w:t>
        </w:r>
        <w:proofErr w:type="spellStart"/>
        <w:r>
          <w:t>Varma</w:t>
        </w:r>
        <w:proofErr w:type="spellEnd"/>
        <w:r>
          <w:t xml:space="preserve"> S, Kohn KW, Morris J, et al. </w:t>
        </w:r>
        <w:proofErr w:type="spellStart"/>
        <w:r>
          <w:t>CellMiner</w:t>
        </w:r>
        <w:proofErr w:type="spellEnd"/>
        <w:r>
          <w:t>: a web-based suite of genomic and pharmacologic tools to explore transcript and drug patterns in the NCI-60 cell line set. Cancer Res. 2012</w:t>
        </w:r>
        <w:proofErr w:type="gramStart"/>
        <w:r>
          <w:t>;72:3499</w:t>
        </w:r>
        <w:proofErr w:type="gramEnd"/>
        <w:r>
          <w:t>–511.</w:t>
        </w:r>
      </w:hyperlink>
    </w:p>
    <w:p w14:paraId="285B5F7E" w14:textId="77777777" w:rsidR="00781821" w:rsidRDefault="00A91ED9">
      <w:pPr>
        <w:pStyle w:val="normal0"/>
        <w:spacing w:after="220" w:line="240" w:lineRule="auto"/>
        <w:ind w:left="440" w:hanging="440"/>
        <w:jc w:val="left"/>
      </w:pPr>
      <w:r>
        <w:t xml:space="preserve">4. </w:t>
      </w:r>
      <w:r>
        <w:tab/>
      </w:r>
      <w:hyperlink r:id="rId39">
        <w:proofErr w:type="spellStart"/>
        <w:r>
          <w:t>Shankavaram</w:t>
        </w:r>
        <w:proofErr w:type="spellEnd"/>
        <w:r>
          <w:t xml:space="preserve"> UT, Reinhold WC, </w:t>
        </w:r>
        <w:proofErr w:type="spellStart"/>
        <w:r>
          <w:t>Nishizuka</w:t>
        </w:r>
        <w:proofErr w:type="spellEnd"/>
        <w:r>
          <w:t xml:space="preserve"> S, Major S, Morita D, Chary KK, et al. Transcript and protein expression profiles of the NCI-60 cancer cell panel: an </w:t>
        </w:r>
        <w:proofErr w:type="spellStart"/>
        <w:r>
          <w:t>integromic</w:t>
        </w:r>
        <w:proofErr w:type="spellEnd"/>
        <w:r>
          <w:t xml:space="preserve"> microarray study. </w:t>
        </w:r>
        <w:proofErr w:type="spellStart"/>
        <w:proofErr w:type="gramStart"/>
        <w:r>
          <w:t>Mol</w:t>
        </w:r>
        <w:proofErr w:type="spellEnd"/>
        <w:r>
          <w:t xml:space="preserve"> Cancer </w:t>
        </w:r>
        <w:proofErr w:type="spellStart"/>
        <w:r>
          <w:t>Ther</w:t>
        </w:r>
        <w:proofErr w:type="spellEnd"/>
        <w:r>
          <w:t>.</w:t>
        </w:r>
        <w:proofErr w:type="gramEnd"/>
        <w:r>
          <w:t xml:space="preserve"> 2007</w:t>
        </w:r>
        <w:proofErr w:type="gramStart"/>
        <w:r>
          <w:t>;6:820</w:t>
        </w:r>
        <w:proofErr w:type="gramEnd"/>
        <w:r>
          <w:t>–32.</w:t>
        </w:r>
      </w:hyperlink>
    </w:p>
    <w:p w14:paraId="546B2EA7" w14:textId="77777777" w:rsidR="00781821" w:rsidRDefault="00A91ED9">
      <w:pPr>
        <w:pStyle w:val="normal0"/>
        <w:spacing w:after="220" w:line="240" w:lineRule="auto"/>
        <w:ind w:left="440" w:hanging="440"/>
        <w:jc w:val="left"/>
      </w:pPr>
      <w:r>
        <w:t xml:space="preserve">5. </w:t>
      </w:r>
      <w:r>
        <w:tab/>
      </w:r>
      <w:hyperlink r:id="rId40">
        <w:proofErr w:type="spellStart"/>
        <w:r>
          <w:t>Michailidou</w:t>
        </w:r>
        <w:proofErr w:type="spellEnd"/>
        <w:r>
          <w:t xml:space="preserve"> K, Hall P, Gonzalez-</w:t>
        </w:r>
        <w:proofErr w:type="spellStart"/>
        <w:r>
          <w:t>Neira</w:t>
        </w:r>
        <w:proofErr w:type="spellEnd"/>
        <w:r>
          <w:t xml:space="preserve"> A, </w:t>
        </w:r>
        <w:proofErr w:type="spellStart"/>
        <w:r>
          <w:t>Ghoussaini</w:t>
        </w:r>
        <w:proofErr w:type="spellEnd"/>
        <w:r>
          <w:t xml:space="preserve"> M, Dennis J, Milne RL, et al. Large-scale genotyping identifies 41 new loci associated with breast cancer risk. Nat Genet. 2013</w:t>
        </w:r>
        <w:proofErr w:type="gramStart"/>
        <w:r>
          <w:t>;45:353</w:t>
        </w:r>
        <w:proofErr w:type="gramEnd"/>
        <w:r>
          <w:t>–61, 361e1–2.</w:t>
        </w:r>
      </w:hyperlink>
    </w:p>
    <w:p w14:paraId="2EE99A41" w14:textId="77777777" w:rsidR="00781821" w:rsidRDefault="00A91ED9">
      <w:pPr>
        <w:pStyle w:val="normal0"/>
        <w:spacing w:after="220" w:line="240" w:lineRule="auto"/>
        <w:ind w:left="440" w:hanging="440"/>
        <w:jc w:val="left"/>
      </w:pPr>
      <w:r>
        <w:t xml:space="preserve">6. </w:t>
      </w:r>
      <w:r>
        <w:tab/>
      </w:r>
      <w:hyperlink r:id="rId41">
        <w:proofErr w:type="spellStart"/>
        <w:r>
          <w:t>Schoeps</w:t>
        </w:r>
        <w:proofErr w:type="spellEnd"/>
        <w:r>
          <w:t xml:space="preserve"> A, Rudolph A, </w:t>
        </w:r>
        <w:proofErr w:type="spellStart"/>
        <w:r>
          <w:t>Seibold</w:t>
        </w:r>
        <w:proofErr w:type="spellEnd"/>
        <w:r>
          <w:t xml:space="preserve"> P, Dunning AM, Milne RL, </w:t>
        </w:r>
        <w:proofErr w:type="spellStart"/>
        <w:r>
          <w:t>Bojesen</w:t>
        </w:r>
        <w:proofErr w:type="spellEnd"/>
        <w:r>
          <w:t xml:space="preserve"> SE, et al. Identification of new genetic susceptibility loci for breast cancer through consideration of gene-environment interactions. Genet </w:t>
        </w:r>
        <w:proofErr w:type="spellStart"/>
        <w:r>
          <w:t>Epidemiol</w:t>
        </w:r>
        <w:proofErr w:type="spellEnd"/>
        <w:r>
          <w:t>. 2014</w:t>
        </w:r>
        <w:proofErr w:type="gramStart"/>
        <w:r>
          <w:t>;38:84</w:t>
        </w:r>
        <w:proofErr w:type="gramEnd"/>
        <w:r>
          <w:t>–93.</w:t>
        </w:r>
      </w:hyperlink>
    </w:p>
    <w:p w14:paraId="52CF846E" w14:textId="77777777" w:rsidR="00781821" w:rsidRDefault="00A91ED9">
      <w:pPr>
        <w:pStyle w:val="normal0"/>
        <w:spacing w:after="220" w:line="240" w:lineRule="auto"/>
        <w:ind w:left="440" w:hanging="440"/>
        <w:jc w:val="left"/>
      </w:pPr>
      <w:r>
        <w:t xml:space="preserve">7. </w:t>
      </w:r>
      <w:r>
        <w:tab/>
      </w:r>
      <w:hyperlink r:id="rId42">
        <w:proofErr w:type="spellStart"/>
        <w:r>
          <w:t>Banovich</w:t>
        </w:r>
        <w:proofErr w:type="spellEnd"/>
        <w:r>
          <w:t xml:space="preserve"> NE, </w:t>
        </w:r>
        <w:proofErr w:type="spellStart"/>
        <w:r>
          <w:t>Lan</w:t>
        </w:r>
        <w:proofErr w:type="spellEnd"/>
        <w:r>
          <w:t xml:space="preserve"> X, </w:t>
        </w:r>
        <w:proofErr w:type="spellStart"/>
        <w:r>
          <w:t>McVicker</w:t>
        </w:r>
        <w:proofErr w:type="spellEnd"/>
        <w:r>
          <w:t xml:space="preserve"> G, van de </w:t>
        </w:r>
        <w:proofErr w:type="spellStart"/>
        <w:r>
          <w:t>Geijn</w:t>
        </w:r>
        <w:proofErr w:type="spellEnd"/>
        <w:r>
          <w:t xml:space="preserve"> B, </w:t>
        </w:r>
        <w:proofErr w:type="spellStart"/>
        <w:r>
          <w:t>Degner</w:t>
        </w:r>
        <w:proofErr w:type="spellEnd"/>
        <w:r>
          <w:t xml:space="preserve"> JF, </w:t>
        </w:r>
        <w:proofErr w:type="spellStart"/>
        <w:r>
          <w:t>Blischak</w:t>
        </w:r>
        <w:proofErr w:type="spellEnd"/>
        <w:r>
          <w:t xml:space="preserve"> JD, et al. Methylation QTLs are associated with coordinated changes in transcription factor binding, histone modifications, and gene expression levels. </w:t>
        </w:r>
        <w:proofErr w:type="spellStart"/>
        <w:r>
          <w:t>PLoS</w:t>
        </w:r>
        <w:proofErr w:type="spellEnd"/>
        <w:r>
          <w:t xml:space="preserve"> Genet. 2014</w:t>
        </w:r>
        <w:proofErr w:type="gramStart"/>
        <w:r>
          <w:t>;10:e1004663</w:t>
        </w:r>
        <w:proofErr w:type="gramEnd"/>
        <w:r>
          <w:t>.</w:t>
        </w:r>
      </w:hyperlink>
    </w:p>
    <w:p w14:paraId="7E186179" w14:textId="77777777" w:rsidR="00781821" w:rsidRDefault="00A91ED9">
      <w:pPr>
        <w:pStyle w:val="normal0"/>
        <w:spacing w:after="220" w:line="240" w:lineRule="auto"/>
        <w:ind w:left="440" w:hanging="440"/>
        <w:jc w:val="left"/>
      </w:pPr>
      <w:r>
        <w:t xml:space="preserve">8. </w:t>
      </w:r>
      <w:r>
        <w:tab/>
      </w:r>
      <w:hyperlink r:id="rId43">
        <w:proofErr w:type="spellStart"/>
        <w:r>
          <w:t>Meng</w:t>
        </w:r>
        <w:proofErr w:type="spellEnd"/>
        <w:r>
          <w:t xml:space="preserve"> C, </w:t>
        </w:r>
        <w:proofErr w:type="spellStart"/>
        <w:r>
          <w:t>Kuster</w:t>
        </w:r>
        <w:proofErr w:type="spellEnd"/>
        <w:r>
          <w:t xml:space="preserve"> B, </w:t>
        </w:r>
        <w:proofErr w:type="spellStart"/>
        <w:r>
          <w:t>Culhane</w:t>
        </w:r>
        <w:proofErr w:type="spellEnd"/>
        <w:r>
          <w:t xml:space="preserve"> AC, </w:t>
        </w:r>
        <w:proofErr w:type="spellStart"/>
        <w:r>
          <w:t>Gholami</w:t>
        </w:r>
        <w:proofErr w:type="spellEnd"/>
        <w:r>
          <w:t xml:space="preserve"> AM. </w:t>
        </w:r>
        <w:proofErr w:type="gramStart"/>
        <w:r>
          <w:t>A multivariate approach to the integration of multi-omics datasets.</w:t>
        </w:r>
        <w:proofErr w:type="gramEnd"/>
        <w:r>
          <w:t xml:space="preserve"> BMC Bioinformatics. 2014</w:t>
        </w:r>
        <w:proofErr w:type="gramStart"/>
        <w:r>
          <w:t>;15:162</w:t>
        </w:r>
        <w:proofErr w:type="gramEnd"/>
        <w:r>
          <w:t>.</w:t>
        </w:r>
      </w:hyperlink>
    </w:p>
    <w:p w14:paraId="08606648" w14:textId="77777777" w:rsidR="00781821" w:rsidRDefault="00A91ED9">
      <w:pPr>
        <w:pStyle w:val="normal0"/>
        <w:spacing w:after="220" w:line="240" w:lineRule="auto"/>
        <w:ind w:left="440" w:hanging="440"/>
        <w:jc w:val="left"/>
      </w:pPr>
      <w:r>
        <w:t xml:space="preserve">9. </w:t>
      </w:r>
      <w:r>
        <w:tab/>
      </w:r>
      <w:hyperlink r:id="rId44">
        <w:proofErr w:type="spellStart"/>
        <w:r>
          <w:t>Meng</w:t>
        </w:r>
        <w:proofErr w:type="spellEnd"/>
        <w:r>
          <w:t xml:space="preserve"> C, </w:t>
        </w:r>
        <w:proofErr w:type="spellStart"/>
        <w:r>
          <w:t>Zeleznik</w:t>
        </w:r>
        <w:proofErr w:type="spellEnd"/>
        <w:r>
          <w:t xml:space="preserve"> OA, </w:t>
        </w:r>
        <w:proofErr w:type="spellStart"/>
        <w:r>
          <w:t>Thallinger</w:t>
        </w:r>
        <w:proofErr w:type="spellEnd"/>
        <w:r>
          <w:t xml:space="preserve"> GG, </w:t>
        </w:r>
        <w:proofErr w:type="spellStart"/>
        <w:r>
          <w:t>Kuster</w:t>
        </w:r>
        <w:proofErr w:type="spellEnd"/>
        <w:r>
          <w:t xml:space="preserve"> B, </w:t>
        </w:r>
        <w:proofErr w:type="spellStart"/>
        <w:r>
          <w:t>Gholami</w:t>
        </w:r>
        <w:proofErr w:type="spellEnd"/>
        <w:r>
          <w:t xml:space="preserve"> AM, </w:t>
        </w:r>
        <w:proofErr w:type="spellStart"/>
        <w:r>
          <w:t>Culhane</w:t>
        </w:r>
        <w:proofErr w:type="spellEnd"/>
        <w:r>
          <w:t xml:space="preserve"> AC. Dimension reduction techniques for the integrative analysis of multi-omics data. Brief </w:t>
        </w:r>
        <w:proofErr w:type="spellStart"/>
        <w:r>
          <w:t>Bioinform</w:t>
        </w:r>
        <w:proofErr w:type="spellEnd"/>
        <w:r>
          <w:t>. 2016</w:t>
        </w:r>
        <w:proofErr w:type="gramStart"/>
        <w:r>
          <w:t>;17:628</w:t>
        </w:r>
        <w:proofErr w:type="gramEnd"/>
        <w:r>
          <w:t>–41.</w:t>
        </w:r>
      </w:hyperlink>
    </w:p>
    <w:p w14:paraId="75408D6D" w14:textId="77777777" w:rsidR="00781821" w:rsidRDefault="00A91ED9">
      <w:pPr>
        <w:pStyle w:val="normal0"/>
        <w:spacing w:after="220" w:line="240" w:lineRule="auto"/>
        <w:ind w:left="440" w:hanging="440"/>
        <w:jc w:val="left"/>
      </w:pPr>
      <w:r>
        <w:t xml:space="preserve">10. </w:t>
      </w:r>
      <w:r>
        <w:tab/>
      </w:r>
      <w:hyperlink r:id="rId45">
        <w:proofErr w:type="spellStart"/>
        <w:r>
          <w:t>Meng</w:t>
        </w:r>
        <w:proofErr w:type="spellEnd"/>
        <w:r>
          <w:t xml:space="preserve"> C, </w:t>
        </w:r>
        <w:proofErr w:type="spellStart"/>
        <w:r>
          <w:t>Kuster</w:t>
        </w:r>
        <w:proofErr w:type="spellEnd"/>
        <w:r>
          <w:t xml:space="preserve"> B, Peters B, </w:t>
        </w:r>
        <w:proofErr w:type="spellStart"/>
        <w:r>
          <w:t>Culhane</w:t>
        </w:r>
        <w:proofErr w:type="spellEnd"/>
        <w:r>
          <w:t xml:space="preserve"> AC, </w:t>
        </w:r>
        <w:proofErr w:type="spellStart"/>
        <w:r>
          <w:t>Gholami</w:t>
        </w:r>
        <w:proofErr w:type="spellEnd"/>
        <w:r>
          <w:t xml:space="preserve"> AM. </w:t>
        </w:r>
        <w:proofErr w:type="spellStart"/>
        <w:r>
          <w:t>moGSA</w:t>
        </w:r>
        <w:proofErr w:type="spellEnd"/>
        <w:r>
          <w:t xml:space="preserve">: integrative single sample gene-set analysis of multiple omics data [Internet]. </w:t>
        </w:r>
        <w:proofErr w:type="spellStart"/>
        <w:r>
          <w:t>bioRxiv</w:t>
        </w:r>
        <w:proofErr w:type="spellEnd"/>
        <w:r>
          <w:t xml:space="preserve">. 2016 [cited 2017 Feb 1]. page 046904. Available from: </w:t>
        </w:r>
      </w:hyperlink>
      <w:hyperlink r:id="rId46">
        <w:r>
          <w:t>http://biorxiv.org/content/early/2016/04/03/046904</w:t>
        </w:r>
      </w:hyperlink>
    </w:p>
    <w:p w14:paraId="487E946B" w14:textId="77777777" w:rsidR="00781821" w:rsidRDefault="00A91ED9">
      <w:pPr>
        <w:pStyle w:val="normal0"/>
        <w:spacing w:after="220" w:line="240" w:lineRule="auto"/>
        <w:ind w:left="440" w:hanging="440"/>
        <w:jc w:val="left"/>
      </w:pPr>
      <w:r>
        <w:t xml:space="preserve">11. </w:t>
      </w:r>
      <w:r>
        <w:tab/>
      </w:r>
      <w:hyperlink r:id="rId47">
        <w:proofErr w:type="spellStart"/>
        <w:r>
          <w:t>Liberzon</w:t>
        </w:r>
        <w:proofErr w:type="spellEnd"/>
        <w:r>
          <w:t xml:space="preserve"> A, </w:t>
        </w:r>
        <w:proofErr w:type="spellStart"/>
        <w:r>
          <w:t>Birger</w:t>
        </w:r>
        <w:proofErr w:type="spellEnd"/>
        <w:r>
          <w:t xml:space="preserve"> C, </w:t>
        </w:r>
        <w:proofErr w:type="spellStart"/>
        <w:r>
          <w:t>Thorvaldsdóttir</w:t>
        </w:r>
        <w:proofErr w:type="spellEnd"/>
        <w:r>
          <w:t xml:space="preserve"> H, </w:t>
        </w:r>
        <w:proofErr w:type="spellStart"/>
        <w:r>
          <w:t>Ghandi</w:t>
        </w:r>
        <w:proofErr w:type="spellEnd"/>
        <w:r>
          <w:t xml:space="preserve"> M, </w:t>
        </w:r>
        <w:proofErr w:type="spellStart"/>
        <w:r>
          <w:t>Mesirov</w:t>
        </w:r>
        <w:proofErr w:type="spellEnd"/>
        <w:r>
          <w:t xml:space="preserve"> JP, Tamayo P. The Molecular Signatures Database (</w:t>
        </w:r>
        <w:proofErr w:type="spellStart"/>
        <w:r>
          <w:t>MSigDB</w:t>
        </w:r>
        <w:proofErr w:type="spellEnd"/>
        <w:r>
          <w:t>) hallmark gene set collection. Cell Syst. 2015</w:t>
        </w:r>
        <w:proofErr w:type="gramStart"/>
        <w:r>
          <w:t>;1:417</w:t>
        </w:r>
        <w:proofErr w:type="gramEnd"/>
        <w:r>
          <w:t>–25.</w:t>
        </w:r>
      </w:hyperlink>
    </w:p>
    <w:p w14:paraId="3B10B698" w14:textId="77777777" w:rsidR="00781821" w:rsidRDefault="00A91ED9">
      <w:pPr>
        <w:pStyle w:val="normal0"/>
        <w:spacing w:after="220" w:line="240" w:lineRule="auto"/>
        <w:ind w:left="440" w:hanging="440"/>
        <w:jc w:val="left"/>
      </w:pPr>
      <w:r>
        <w:t xml:space="preserve">12. </w:t>
      </w:r>
      <w:r>
        <w:tab/>
      </w:r>
      <w:hyperlink r:id="rId48">
        <w:proofErr w:type="spellStart"/>
        <w:r>
          <w:t>Verhaak</w:t>
        </w:r>
        <w:proofErr w:type="spellEnd"/>
        <w:r>
          <w:t xml:space="preserve"> RGW, Tamayo P, Yang J-Y, Hubbard D, Zhang H, Creighton CJ, et al. </w:t>
        </w:r>
        <w:proofErr w:type="spellStart"/>
        <w:r>
          <w:t>Prognostically</w:t>
        </w:r>
        <w:proofErr w:type="spellEnd"/>
        <w:r>
          <w:t xml:space="preserve"> relevant gene signatures of high-grade serous ovarian carcinoma. J </w:t>
        </w:r>
        <w:proofErr w:type="spellStart"/>
        <w:r>
          <w:t>Clin</w:t>
        </w:r>
        <w:proofErr w:type="spellEnd"/>
        <w:r>
          <w:t xml:space="preserve"> Invest. 2012</w:t>
        </w:r>
        <w:proofErr w:type="gramStart"/>
        <w:r>
          <w:t>;123:517</w:t>
        </w:r>
        <w:proofErr w:type="gramEnd"/>
        <w:r>
          <w:t>–25.</w:t>
        </w:r>
      </w:hyperlink>
    </w:p>
    <w:p w14:paraId="0B39CA60" w14:textId="77777777" w:rsidR="00781821" w:rsidRDefault="00A91ED9">
      <w:pPr>
        <w:pStyle w:val="normal0"/>
        <w:spacing w:after="220" w:line="240" w:lineRule="auto"/>
        <w:ind w:left="440" w:hanging="440"/>
        <w:jc w:val="left"/>
      </w:pPr>
      <w:r>
        <w:t xml:space="preserve">13. </w:t>
      </w:r>
      <w:r>
        <w:tab/>
      </w:r>
      <w:hyperlink r:id="rId49">
        <w:r>
          <w:t xml:space="preserve">Cancer Genome Atlas Research Network. </w:t>
        </w:r>
        <w:proofErr w:type="gramStart"/>
        <w:r>
          <w:t>Integrated genomic analyses of ovarian carcinoma.</w:t>
        </w:r>
        <w:proofErr w:type="gramEnd"/>
        <w:r>
          <w:t xml:space="preserve"> Nature. 2011</w:t>
        </w:r>
        <w:proofErr w:type="gramStart"/>
        <w:r>
          <w:t>;474:609</w:t>
        </w:r>
        <w:proofErr w:type="gramEnd"/>
        <w:r>
          <w:t>–15.</w:t>
        </w:r>
      </w:hyperlink>
    </w:p>
    <w:p w14:paraId="43158098" w14:textId="77777777" w:rsidR="00781821" w:rsidRDefault="00A91ED9" w:rsidP="00A91ED9">
      <w:pPr>
        <w:pStyle w:val="normal0"/>
        <w:spacing w:after="220" w:line="240" w:lineRule="auto"/>
        <w:ind w:left="440" w:hanging="440"/>
        <w:jc w:val="left"/>
      </w:pPr>
      <w:r>
        <w:t xml:space="preserve">14. </w:t>
      </w:r>
      <w:r>
        <w:tab/>
      </w:r>
      <w:hyperlink r:id="rId50">
        <w:proofErr w:type="spellStart"/>
        <w:r>
          <w:t>Louhimo</w:t>
        </w:r>
        <w:proofErr w:type="spellEnd"/>
        <w:r>
          <w:t xml:space="preserve"> R, </w:t>
        </w:r>
        <w:proofErr w:type="spellStart"/>
        <w:r>
          <w:t>Hautaniemi</w:t>
        </w:r>
        <w:proofErr w:type="spellEnd"/>
        <w:r>
          <w:t xml:space="preserve"> S. </w:t>
        </w:r>
        <w:proofErr w:type="spellStart"/>
        <w:r>
          <w:t>CNAmet</w:t>
        </w:r>
        <w:proofErr w:type="spellEnd"/>
        <w:r>
          <w:t>: an R package for integrating copy number, methylation and expression data. Bioinformatics. 2011;27:887–8.</w:t>
        </w:r>
      </w:hyperlink>
    </w:p>
    <w:sectPr w:rsidR="00781821">
      <w:footerReference w:type="default" r:id="rId5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A6E92" w14:textId="77777777" w:rsidR="00C24766" w:rsidRDefault="00A91ED9">
      <w:pPr>
        <w:spacing w:line="240" w:lineRule="auto"/>
      </w:pPr>
      <w:r>
        <w:separator/>
      </w:r>
    </w:p>
  </w:endnote>
  <w:endnote w:type="continuationSeparator" w:id="0">
    <w:p w14:paraId="548FB27B" w14:textId="77777777" w:rsidR="00C24766" w:rsidRDefault="00A91E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DC506" w14:textId="77777777" w:rsidR="00781821" w:rsidRDefault="00A91ED9">
    <w:pPr>
      <w:pStyle w:val="normal0"/>
      <w:jc w:val="center"/>
    </w:pPr>
    <w:r>
      <w:fldChar w:fldCharType="begin"/>
    </w:r>
    <w:r>
      <w:instrText>PAGE</w:instrText>
    </w:r>
    <w:r>
      <w:fldChar w:fldCharType="separate"/>
    </w:r>
    <w:r w:rsidR="00513073">
      <w:rPr>
        <w:noProof/>
      </w:rPr>
      <w:t>12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32067" w14:textId="77777777" w:rsidR="00C24766" w:rsidRDefault="00A91ED9">
      <w:pPr>
        <w:spacing w:line="240" w:lineRule="auto"/>
      </w:pPr>
      <w:r>
        <w:separator/>
      </w:r>
    </w:p>
  </w:footnote>
  <w:footnote w:type="continuationSeparator" w:id="0">
    <w:p w14:paraId="7F25CECE" w14:textId="77777777" w:rsidR="00C24766" w:rsidRDefault="00A91ED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C3B69"/>
    <w:multiLevelType w:val="multilevel"/>
    <w:tmpl w:val="B5D8CE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A1A3A2B"/>
    <w:multiLevelType w:val="multilevel"/>
    <w:tmpl w:val="67AE08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A3367FE"/>
    <w:multiLevelType w:val="multilevel"/>
    <w:tmpl w:val="6E9E1C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A67420E"/>
    <w:multiLevelType w:val="multilevel"/>
    <w:tmpl w:val="C67C3B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6A12F93"/>
    <w:multiLevelType w:val="multilevel"/>
    <w:tmpl w:val="C61E0BE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77862F7E"/>
    <w:multiLevelType w:val="multilevel"/>
    <w:tmpl w:val="60D424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7E6F378F"/>
    <w:multiLevelType w:val="multilevel"/>
    <w:tmpl w:val="4F7805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4"/>
  </w:num>
  <w:num w:numId="2">
    <w:abstractNumId w:val="6"/>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81821"/>
    <w:rsid w:val="00513073"/>
    <w:rsid w:val="00581056"/>
    <w:rsid w:val="00781821"/>
    <w:rsid w:val="00A91ED9"/>
    <w:rsid w:val="00C066F2"/>
    <w:rsid w:val="00C24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22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120"/>
      <w:contextualSpacing/>
      <w:outlineLvl w:val="1"/>
    </w:pPr>
    <w:rPr>
      <w:b/>
      <w:sz w:val="32"/>
      <w:szCs w:val="32"/>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1ED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ED9"/>
    <w:rPr>
      <w:rFonts w:ascii="Lucida Grande" w:hAnsi="Lucida Grande" w:cs="Lucida Grande"/>
      <w:sz w:val="18"/>
      <w:szCs w:val="18"/>
    </w:rPr>
  </w:style>
  <w:style w:type="character" w:styleId="Hyperlink">
    <w:name w:val="Hyperlink"/>
    <w:basedOn w:val="DefaultParagraphFont"/>
    <w:uiPriority w:val="99"/>
    <w:unhideWhenUsed/>
    <w:rsid w:val="00A91ED9"/>
    <w:rPr>
      <w:color w:val="0000FF" w:themeColor="hyperlink"/>
      <w:u w:val="single"/>
    </w:rPr>
  </w:style>
  <w:style w:type="character" w:styleId="CommentReference">
    <w:name w:val="annotation reference"/>
    <w:basedOn w:val="DefaultParagraphFont"/>
    <w:uiPriority w:val="99"/>
    <w:semiHidden/>
    <w:unhideWhenUsed/>
    <w:rsid w:val="00C066F2"/>
    <w:rPr>
      <w:sz w:val="18"/>
      <w:szCs w:val="18"/>
    </w:rPr>
  </w:style>
  <w:style w:type="paragraph" w:styleId="CommentText">
    <w:name w:val="annotation text"/>
    <w:basedOn w:val="Normal"/>
    <w:link w:val="CommentTextChar"/>
    <w:uiPriority w:val="99"/>
    <w:semiHidden/>
    <w:unhideWhenUsed/>
    <w:rsid w:val="00C066F2"/>
    <w:pPr>
      <w:spacing w:line="240" w:lineRule="auto"/>
    </w:pPr>
    <w:rPr>
      <w:sz w:val="24"/>
      <w:szCs w:val="24"/>
    </w:rPr>
  </w:style>
  <w:style w:type="character" w:customStyle="1" w:styleId="CommentTextChar">
    <w:name w:val="Comment Text Char"/>
    <w:basedOn w:val="DefaultParagraphFont"/>
    <w:link w:val="CommentText"/>
    <w:uiPriority w:val="99"/>
    <w:semiHidden/>
    <w:rsid w:val="00C066F2"/>
    <w:rPr>
      <w:sz w:val="24"/>
      <w:szCs w:val="24"/>
    </w:rPr>
  </w:style>
  <w:style w:type="paragraph" w:styleId="CommentSubject">
    <w:name w:val="annotation subject"/>
    <w:basedOn w:val="CommentText"/>
    <w:next w:val="CommentText"/>
    <w:link w:val="CommentSubjectChar"/>
    <w:uiPriority w:val="99"/>
    <w:semiHidden/>
    <w:unhideWhenUsed/>
    <w:rsid w:val="00C066F2"/>
    <w:rPr>
      <w:b/>
      <w:bCs/>
      <w:sz w:val="20"/>
      <w:szCs w:val="20"/>
    </w:rPr>
  </w:style>
  <w:style w:type="character" w:customStyle="1" w:styleId="CommentSubjectChar">
    <w:name w:val="Comment Subject Char"/>
    <w:basedOn w:val="CommentTextChar"/>
    <w:link w:val="CommentSubject"/>
    <w:uiPriority w:val="99"/>
    <w:semiHidden/>
    <w:rsid w:val="00C066F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120"/>
      <w:contextualSpacing/>
      <w:outlineLvl w:val="1"/>
    </w:pPr>
    <w:rPr>
      <w:b/>
      <w:sz w:val="32"/>
      <w:szCs w:val="32"/>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1ED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ED9"/>
    <w:rPr>
      <w:rFonts w:ascii="Lucida Grande" w:hAnsi="Lucida Grande" w:cs="Lucida Grande"/>
      <w:sz w:val="18"/>
      <w:szCs w:val="18"/>
    </w:rPr>
  </w:style>
  <w:style w:type="character" w:styleId="Hyperlink">
    <w:name w:val="Hyperlink"/>
    <w:basedOn w:val="DefaultParagraphFont"/>
    <w:uiPriority w:val="99"/>
    <w:unhideWhenUsed/>
    <w:rsid w:val="00A91ED9"/>
    <w:rPr>
      <w:color w:val="0000FF" w:themeColor="hyperlink"/>
      <w:u w:val="single"/>
    </w:rPr>
  </w:style>
  <w:style w:type="character" w:styleId="CommentReference">
    <w:name w:val="annotation reference"/>
    <w:basedOn w:val="DefaultParagraphFont"/>
    <w:uiPriority w:val="99"/>
    <w:semiHidden/>
    <w:unhideWhenUsed/>
    <w:rsid w:val="00C066F2"/>
    <w:rPr>
      <w:sz w:val="18"/>
      <w:szCs w:val="18"/>
    </w:rPr>
  </w:style>
  <w:style w:type="paragraph" w:styleId="CommentText">
    <w:name w:val="annotation text"/>
    <w:basedOn w:val="Normal"/>
    <w:link w:val="CommentTextChar"/>
    <w:uiPriority w:val="99"/>
    <w:semiHidden/>
    <w:unhideWhenUsed/>
    <w:rsid w:val="00C066F2"/>
    <w:pPr>
      <w:spacing w:line="240" w:lineRule="auto"/>
    </w:pPr>
    <w:rPr>
      <w:sz w:val="24"/>
      <w:szCs w:val="24"/>
    </w:rPr>
  </w:style>
  <w:style w:type="character" w:customStyle="1" w:styleId="CommentTextChar">
    <w:name w:val="Comment Text Char"/>
    <w:basedOn w:val="DefaultParagraphFont"/>
    <w:link w:val="CommentText"/>
    <w:uiPriority w:val="99"/>
    <w:semiHidden/>
    <w:rsid w:val="00C066F2"/>
    <w:rPr>
      <w:sz w:val="24"/>
      <w:szCs w:val="24"/>
    </w:rPr>
  </w:style>
  <w:style w:type="paragraph" w:styleId="CommentSubject">
    <w:name w:val="annotation subject"/>
    <w:basedOn w:val="CommentText"/>
    <w:next w:val="CommentText"/>
    <w:link w:val="CommentSubjectChar"/>
    <w:uiPriority w:val="99"/>
    <w:semiHidden/>
    <w:unhideWhenUsed/>
    <w:rsid w:val="00C066F2"/>
    <w:rPr>
      <w:b/>
      <w:bCs/>
      <w:sz w:val="20"/>
      <w:szCs w:val="20"/>
    </w:rPr>
  </w:style>
  <w:style w:type="character" w:customStyle="1" w:styleId="CommentSubjectChar">
    <w:name w:val="Comment Subject Char"/>
    <w:basedOn w:val="CommentTextChar"/>
    <w:link w:val="CommentSubject"/>
    <w:uiPriority w:val="99"/>
    <w:semiHidden/>
    <w:rsid w:val="00C066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github.com/waldronlab/multiassayexperiment" TargetMode="External"/><Relationship Id="rId14" Type="http://schemas.openxmlformats.org/officeDocument/2006/relationships/hyperlink" Target="http://tinyurl.com/MAEOurls" TargetMode="External"/><Relationship Id="rId15" Type="http://schemas.openxmlformats.org/officeDocument/2006/relationships/hyperlink" Target="http://tinyurl.com/MAEOurls" TargetMode="External"/><Relationship Id="rId16" Type="http://schemas.openxmlformats.org/officeDocument/2006/relationships/hyperlink" Target="https://paperpile.com/c/rad3b2/4cr9x" TargetMode="External"/><Relationship Id="rId17" Type="http://schemas.openxmlformats.org/officeDocument/2006/relationships/hyperlink" Target="https://paperpile.com/c/rad3b2/9gwOI" TargetMode="External"/><Relationship Id="rId18" Type="http://schemas.openxmlformats.org/officeDocument/2006/relationships/hyperlink" Target="https://paperpile.com/c/rad3b2/TrXQm+X1YUP" TargetMode="External"/><Relationship Id="rId19" Type="http://schemas.openxmlformats.org/officeDocument/2006/relationships/hyperlink" Target="https://samtools.github.io/hts-specs/" TargetMode="External"/><Relationship Id="rId50" Type="http://schemas.openxmlformats.org/officeDocument/2006/relationships/hyperlink" Target="http://paperpile.com/b/rad3b2/PsUt" TargetMode="Externa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paperpile.com/b/rad3b2/TrXQm" TargetMode="External"/><Relationship Id="rId41" Type="http://schemas.openxmlformats.org/officeDocument/2006/relationships/hyperlink" Target="http://paperpile.com/b/rad3b2/X1YUP" TargetMode="External"/><Relationship Id="rId42" Type="http://schemas.openxmlformats.org/officeDocument/2006/relationships/hyperlink" Target="http://paperpile.com/b/rad3b2/4mju8" TargetMode="External"/><Relationship Id="rId43" Type="http://schemas.openxmlformats.org/officeDocument/2006/relationships/hyperlink" Target="http://paperpile.com/b/rad3b2/q3ado" TargetMode="External"/><Relationship Id="rId44" Type="http://schemas.openxmlformats.org/officeDocument/2006/relationships/hyperlink" Target="http://paperpile.com/b/rad3b2/WfWcB" TargetMode="External"/><Relationship Id="rId45" Type="http://schemas.openxmlformats.org/officeDocument/2006/relationships/hyperlink" Target="http://paperpile.com/b/rad3b2/q0qxf" TargetMode="External"/><Relationship Id="rId46" Type="http://schemas.openxmlformats.org/officeDocument/2006/relationships/hyperlink" Target="http://biorxiv.org/content/early/2016/04/03/046904" TargetMode="External"/><Relationship Id="rId47" Type="http://schemas.openxmlformats.org/officeDocument/2006/relationships/hyperlink" Target="http://paperpile.com/b/rad3b2/UVxPQ" TargetMode="External"/><Relationship Id="rId48" Type="http://schemas.openxmlformats.org/officeDocument/2006/relationships/hyperlink" Target="http://paperpile.com/b/rad3b2/4J4Xb" TargetMode="External"/><Relationship Id="rId49" Type="http://schemas.openxmlformats.org/officeDocument/2006/relationships/hyperlink" Target="http://paperpile.com/b/rad3b2/XuY6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aperpile.com/c/rad3b2/k3A3" TargetMode="External"/><Relationship Id="rId9" Type="http://schemas.openxmlformats.org/officeDocument/2006/relationships/hyperlink" Target="http://tinyurl.com/maeourls" TargetMode="External"/><Relationship Id="rId30" Type="http://schemas.openxmlformats.org/officeDocument/2006/relationships/image" Target="media/image1.png"/><Relationship Id="rId31" Type="http://schemas.openxmlformats.org/officeDocument/2006/relationships/image" Target="media/image2.png"/><Relationship Id="rId32" Type="http://schemas.openxmlformats.org/officeDocument/2006/relationships/image" Target="media/image3.png"/><Relationship Id="rId33" Type="http://schemas.openxmlformats.org/officeDocument/2006/relationships/hyperlink" Target="https://paperpile.com/c/rad3b2/PsUt" TargetMode="External"/><Relationship Id="rId34" Type="http://schemas.openxmlformats.org/officeDocument/2006/relationships/hyperlink" Target="http://tinyurl.com/maeourls" TargetMode="External"/><Relationship Id="rId35" Type="http://schemas.openxmlformats.org/officeDocument/2006/relationships/hyperlink" Target="http://paperpile.com/b/rad3b2/k3A3" TargetMode="External"/><Relationship Id="rId36" Type="http://schemas.openxmlformats.org/officeDocument/2006/relationships/hyperlink" Target="http://paperpile.com/b/rad3b2/rlKJJ" TargetMode="External"/><Relationship Id="rId37" Type="http://schemas.openxmlformats.org/officeDocument/2006/relationships/hyperlink" Target="https://confluence.broadinstitute.org/display/GDAC/Download" TargetMode="External"/><Relationship Id="rId38" Type="http://schemas.openxmlformats.org/officeDocument/2006/relationships/hyperlink" Target="http://paperpile.com/b/rad3b2/4cr9x" TargetMode="External"/><Relationship Id="rId39" Type="http://schemas.openxmlformats.org/officeDocument/2006/relationships/hyperlink" Target="http://paperpile.com/b/rad3b2/9gwOI" TargetMode="External"/><Relationship Id="rId20" Type="http://schemas.openxmlformats.org/officeDocument/2006/relationships/hyperlink" Target="http://1000genomes.s3.amazonaws.com/release/20130502/" TargetMode="External"/><Relationship Id="rId21" Type="http://schemas.openxmlformats.org/officeDocument/2006/relationships/hyperlink" Target="https://paperpile.com/c/rad3b2/4mju8" TargetMode="External"/><Relationship Id="rId22" Type="http://schemas.openxmlformats.org/officeDocument/2006/relationships/hyperlink" Target="http://s3.amazonaws.com/multiassayexperiments/ovMAEO.rds" TargetMode="External"/><Relationship Id="rId23" Type="http://schemas.openxmlformats.org/officeDocument/2006/relationships/hyperlink" Target="https://paperpile.com/c/rad3b2/q3ado" TargetMode="External"/><Relationship Id="rId24" Type="http://schemas.openxmlformats.org/officeDocument/2006/relationships/hyperlink" Target="https://paperpile.com/c/rad3b2/WfWcB" TargetMode="External"/><Relationship Id="rId25" Type="http://schemas.openxmlformats.org/officeDocument/2006/relationships/hyperlink" Target="https://paperpile.com/c/rad3b2/q0qxf" TargetMode="External"/><Relationship Id="rId26" Type="http://schemas.openxmlformats.org/officeDocument/2006/relationships/hyperlink" Target="https://paperpile.com/c/rad3b2/UVxPQ" TargetMode="External"/><Relationship Id="rId27" Type="http://schemas.openxmlformats.org/officeDocument/2006/relationships/hyperlink" Target="https://paperpile.com/c/rad3b2/4J4Xb" TargetMode="External"/><Relationship Id="rId28" Type="http://schemas.openxmlformats.org/officeDocument/2006/relationships/hyperlink" Target="https://paperpile.com/c/rad3b2/XuY6o" TargetMode="External"/><Relationship Id="rId29" Type="http://schemas.openxmlformats.org/officeDocument/2006/relationships/hyperlink" Target="https://paperpile.com/c/rad3b2/4J4Xb" TargetMode="External"/><Relationship Id="rId10" Type="http://schemas.openxmlformats.org/officeDocument/2006/relationships/hyperlink" Target="https://paperpile.com/c/rad3b2/rlKJJ" TargetMode="External"/><Relationship Id="rId11" Type="http://schemas.openxmlformats.org/officeDocument/2006/relationships/hyperlink" Target="https://github.com/waldronlab/multiassayexperiment" TargetMode="External"/><Relationship Id="rId12" Type="http://schemas.openxmlformats.org/officeDocument/2006/relationships/hyperlink" Target="https://github.com/waldronlab/multiassayexperi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4315</Words>
  <Characters>24600</Characters>
  <Application>Microsoft Macintosh Word</Application>
  <DocSecurity>0</DocSecurity>
  <Lines>205</Lines>
  <Paragraphs>57</Paragraphs>
  <ScaleCrop>false</ScaleCrop>
  <Company>CUNY School of Public Health</Company>
  <LinksUpToDate>false</LinksUpToDate>
  <CharactersWithSpaces>28858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Levi Waldron</cp:lastModifiedBy>
  <cp:revision>5</cp:revision>
  <dcterms:created xsi:type="dcterms:W3CDTF">2017-07-17T20:53:00Z</dcterms:created>
  <dcterms:modified xsi:type="dcterms:W3CDTF">2017-07-26T15:48:00Z</dcterms:modified>
</cp:coreProperties>
</file>