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CD77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Courier" w:hAnsi="Courier" w:cs="Courier"/>
          <w:sz w:val="16"/>
          <w:szCs w:val="16"/>
          <w:lang w:eastAsia="fr-FR"/>
        </w:rPr>
      </w:pPr>
    </w:p>
    <w:p w14:paraId="45380933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  <w:t xml:space="preserve">              </w:t>
      </w:r>
      <w:r w:rsidRPr="006D51D7">
        <w:rPr>
          <w:rFonts w:eastAsia="Times New Roman" w:cs="Times New Roman"/>
        </w:rPr>
        <w:sym w:font="Symbol" w:char="F0AF"/>
      </w:r>
    </w:p>
    <w:p w14:paraId="11C5C17F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ENSP00000330382/1-241    MNRCWALFLSLCCYLRLVSAE|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GDPIPEELYEMLSDHSIRSFDDLQRLLHGDPG</w:t>
      </w:r>
      <w:r w:rsidRPr="006D51D7">
        <w:rPr>
          <w:rFonts w:ascii="Courier" w:hAnsi="Courier" w:cs="Courier"/>
          <w:sz w:val="16"/>
          <w:szCs w:val="16"/>
          <w:lang w:eastAsia="fr-FR"/>
        </w:rPr>
        <w:t>EEDGAEL ENSCAFP00000001945/1-241 MNRCWALFLSLCCYLRLVSAE|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GDPIPEELYEMLSDHSIRSFDDLQRLLHGASV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DEDGAEL </w:t>
      </w:r>
    </w:p>
    <w:p w14:paraId="6A9CE20D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*********************|***************************** . :******   </w:t>
      </w:r>
    </w:p>
    <w:p w14:paraId="1F99006A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14:paraId="4BB1A75E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ENSP00000330382/1-241    DLNMTRSHSGGELESLA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RGRR</w:t>
      </w:r>
      <w:r w:rsidRPr="006D51D7">
        <w:rPr>
          <w:rFonts w:ascii="Courier" w:hAnsi="Courier" w:cs="Courier"/>
          <w:sz w:val="16"/>
          <w:szCs w:val="16"/>
          <w:lang w:eastAsia="fr-FR"/>
        </w:rPr>
        <w:t>SLG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SLTIAEPAMIAECKTRTEVFEISRRLIDRTNANFLV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ENSCAFP00000001945/1-241 DLNLTRSHSGDELESLS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RGRR</w:t>
      </w:r>
      <w:r w:rsidRPr="006D51D7">
        <w:rPr>
          <w:rFonts w:ascii="Courier" w:hAnsi="Courier" w:cs="Courier"/>
          <w:sz w:val="16"/>
          <w:szCs w:val="16"/>
          <w:lang w:eastAsia="fr-FR"/>
        </w:rPr>
        <w:t>SLG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SPTVAEPAMIAECKTRTEVFEISRRLIDRTNANFLV</w:t>
      </w:r>
    </w:p>
    <w:p w14:paraId="796E9836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***:******.*****:******** *:********************************   </w:t>
      </w:r>
    </w:p>
    <w:p w14:paraId="22D2525F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</w:p>
    <w:p w14:paraId="79AEB8A3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ENSP00000330382/1-241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WPPCVEVQRCSGCCNNRNVQCRPTQVQLRPVQ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VRKIEIVRKKPIFKKATVTLEDHLACKC ENSCAFP00000001945/1-241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WPPCVEVQRCSGCCNNRNVQCRPTQVQLRPVQ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VRKIEIVRKKPTFKKATVTLEDHLACKC </w:t>
      </w:r>
    </w:p>
    <w:p w14:paraId="3EEE32E9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******************************************* ****************   </w:t>
      </w:r>
    </w:p>
    <w:p w14:paraId="5323EB7C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14:paraId="240DE1E5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ENSP00000330382/1-241    ETVAA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ARPVT</w:t>
      </w:r>
      <w:r w:rsidRPr="006D51D7">
        <w:rPr>
          <w:rFonts w:ascii="Courier" w:hAnsi="Courier" w:cs="Courier"/>
          <w:sz w:val="16"/>
          <w:szCs w:val="16"/>
          <w:lang w:eastAsia="fr-FR"/>
        </w:rPr>
        <w:t>RSPGGSQEQRA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KTPQTRVTIRTVRVRRPPKGKHRKFKHTHDKTALKETLG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ENSCAFP00000001945/1-241 ETVVA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ARPVT</w:t>
      </w:r>
      <w:r w:rsidRPr="006D51D7">
        <w:rPr>
          <w:rFonts w:ascii="Courier" w:hAnsi="Courier" w:cs="Courier"/>
          <w:sz w:val="16"/>
          <w:szCs w:val="16"/>
          <w:lang w:eastAsia="fr-FR"/>
        </w:rPr>
        <w:t>RTPGSSQDLRA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KTPQTRVTIRTVRVRRPPKGKHRKFKHTHDKKALKETLG</w:t>
      </w:r>
    </w:p>
    <w:p w14:paraId="439FCC9B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***.*******:**.**: *********************************.*******   </w:t>
      </w:r>
    </w:p>
    <w:p w14:paraId="64793BE9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14:paraId="19FC3F2D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ENSP00000330382/1-241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A</w:t>
      </w:r>
    </w:p>
    <w:p w14:paraId="7D10598A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ENSCAFP00000001945/1-241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A</w:t>
      </w:r>
    </w:p>
    <w:p w14:paraId="77480C2C" w14:textId="77777777" w:rsidR="006975FF" w:rsidRPr="006D51D7" w:rsidRDefault="006975FF" w:rsidP="0069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20"/>
          <w:lang w:eastAsia="fr-FR"/>
        </w:rPr>
      </w:pPr>
      <w:r w:rsidRPr="006D51D7">
        <w:rPr>
          <w:rFonts w:ascii="Courier" w:hAnsi="Courier" w:cs="Courier"/>
          <w:sz w:val="20"/>
          <w:lang w:eastAsia="fr-FR"/>
        </w:rPr>
        <w:t xml:space="preserve">                    *</w:t>
      </w:r>
    </w:p>
    <w:p w14:paraId="2207FCBB" w14:textId="77777777" w:rsidR="006975FF" w:rsidRPr="006D51D7" w:rsidRDefault="006975FF" w:rsidP="006975FF">
      <w:pPr>
        <w:spacing w:line="360" w:lineRule="auto"/>
        <w:contextualSpacing/>
        <w:jc w:val="both"/>
        <w:rPr>
          <w:szCs w:val="24"/>
        </w:rPr>
      </w:pPr>
    </w:p>
    <w:p w14:paraId="27775871" w14:textId="77777777" w:rsidR="006975FF" w:rsidRDefault="006975FF" w:rsidP="006975FF">
      <w:pPr>
        <w:spacing w:line="360" w:lineRule="auto"/>
        <w:contextualSpacing/>
        <w:jc w:val="both"/>
        <w:rPr>
          <w:rFonts w:eastAsia="Times New Roman" w:cs="Times New Roman"/>
        </w:rPr>
      </w:pPr>
      <w:r w:rsidRPr="006D51D7">
        <w:rPr>
          <w:rFonts w:cs="Times"/>
          <w:szCs w:val="24"/>
        </w:rPr>
        <w:t xml:space="preserve">Supplementary Figure 2: </w:t>
      </w:r>
      <w:r w:rsidRPr="006D51D7">
        <w:rPr>
          <w:rFonts w:eastAsia="Times New Roman" w:cs="Times New Roman"/>
        </w:rPr>
        <w:t>Alignme</w:t>
      </w:r>
      <w:r>
        <w:rPr>
          <w:rFonts w:eastAsia="Times New Roman" w:cs="Times New Roman"/>
        </w:rPr>
        <w:t xml:space="preserve">nt of the human and canine </w:t>
      </w:r>
      <w:r w:rsidRPr="0054729C">
        <w:rPr>
          <w:rFonts w:eastAsia="Times New Roman" w:cs="Times New Roman"/>
        </w:rPr>
        <w:t>PDGFB</w:t>
      </w:r>
      <w:r w:rsidRPr="006D51D7">
        <w:rPr>
          <w:rFonts w:eastAsia="Times New Roman" w:cs="Times New Roman"/>
        </w:rPr>
        <w:t xml:space="preserve"> proteins from Ensembl</w:t>
      </w:r>
      <w:r>
        <w:rPr>
          <w:rFonts w:eastAsia="Times New Roman" w:cs="Times New Roman"/>
        </w:rPr>
        <w:t xml:space="preserve"> </w:t>
      </w:r>
      <w:r w:rsidRPr="00FC4457">
        <w:rPr>
          <w:rFonts w:eastAsia="Times New Roman" w:cs="Times New Roman"/>
        </w:rPr>
        <w:t>(http://www.ensembl.org/)</w:t>
      </w:r>
      <w:r>
        <w:rPr>
          <w:rFonts w:eastAsia="Times New Roman" w:cs="Times New Roman"/>
        </w:rPr>
        <w:t xml:space="preserve">. </w:t>
      </w:r>
      <w:r w:rsidRPr="0054729C">
        <w:rPr>
          <w:rFonts w:eastAsia="Times New Roman" w:cs="Times New Roman"/>
        </w:rPr>
        <w:t>Amino acid resulting from the transcription and translation of different exons are alternatively in black or blue.  The proteolytic cleavage sites of human PDGFB occur at residues RGRR81</w:t>
      </w:r>
      <w:r w:rsidRPr="006D51D7">
        <w:rPr>
          <w:rFonts w:eastAsia="Times New Roman" w:cs="Times New Roman"/>
        </w:rPr>
        <w:t xml:space="preserve"> and ARPVT190 (in yellow)</w:t>
      </w:r>
      <w:r>
        <w:rPr>
          <w:rFonts w:eastAsia="Times New Roman" w:cs="Times New Roman"/>
        </w:rPr>
        <w:t xml:space="preserve">. </w:t>
      </w:r>
      <w:r w:rsidRPr="006D51D7">
        <w:rPr>
          <w:rFonts w:eastAsia="Times New Roman" w:cs="Times New Roman"/>
        </w:rPr>
        <w:t>These sites, coded by respectively exons 3 and 6, are conserved in</w:t>
      </w:r>
      <w:r>
        <w:rPr>
          <w:rFonts w:eastAsia="Times New Roman" w:cs="Times New Roman"/>
        </w:rPr>
        <w:t xml:space="preserve"> canine </w:t>
      </w:r>
      <w:r w:rsidRPr="0054729C">
        <w:rPr>
          <w:rFonts w:eastAsia="Times New Roman" w:cs="Times New Roman"/>
          <w:i/>
        </w:rPr>
        <w:t>PDGFB</w:t>
      </w:r>
      <w:r w:rsidRPr="006D51D7">
        <w:rPr>
          <w:rFonts w:eastAsia="Times New Roman" w:cs="Times New Roman"/>
        </w:rPr>
        <w:t xml:space="preserve"> exon</w:t>
      </w:r>
      <w:r>
        <w:rPr>
          <w:rFonts w:eastAsia="Times New Roman" w:cs="Times New Roman"/>
        </w:rPr>
        <w:t>s</w:t>
      </w:r>
      <w:r w:rsidRPr="006D51D7">
        <w:rPr>
          <w:rFonts w:eastAsia="Times New Roman" w:cs="Times New Roman"/>
        </w:rPr>
        <w:t xml:space="preserve"> and present in the D</w:t>
      </w:r>
      <w:r w:rsidR="00A112F8">
        <w:rPr>
          <w:rFonts w:eastAsia="Times New Roman" w:cs="Times New Roman"/>
        </w:rPr>
        <w:t>FS</w:t>
      </w:r>
      <w:r w:rsidRPr="006D51D7">
        <w:rPr>
          <w:rFonts w:eastAsia="Times New Roman" w:cs="Times New Roman"/>
        </w:rPr>
        <w:t>P</w:t>
      </w:r>
      <w:r w:rsidR="00A112F8">
        <w:rPr>
          <w:rFonts w:eastAsia="Times New Roman" w:cs="Times New Roman"/>
        </w:rPr>
        <w:t>-like</w:t>
      </w:r>
      <w:r w:rsidRPr="006D51D7">
        <w:rPr>
          <w:rFonts w:eastAsia="Times New Roman" w:cs="Times New Roman"/>
        </w:rPr>
        <w:t xml:space="preserve"> canine fusion.  </w:t>
      </w:r>
      <w:r w:rsidRPr="006D51D7">
        <w:rPr>
          <w:rFonts w:eastAsia="Times New Roman" w:cs="Times New Roman"/>
        </w:rPr>
        <w:sym w:font="Symbol" w:char="F0AF"/>
      </w:r>
      <w:r w:rsidRPr="006D51D7">
        <w:rPr>
          <w:rFonts w:eastAsia="Times New Roman" w:cs="Times New Roman"/>
        </w:rPr>
        <w:t xml:space="preserve"> breakpoint</w:t>
      </w:r>
      <w:r w:rsidR="00A112F8">
        <w:rPr>
          <w:rFonts w:eastAsia="Times New Roman" w:cs="Times New Roman"/>
        </w:rPr>
        <w:t>.</w:t>
      </w:r>
      <w:bookmarkStart w:id="0" w:name="_GoBack"/>
      <w:bookmarkEnd w:id="0"/>
    </w:p>
    <w:p w14:paraId="2888BDF8" w14:textId="77777777" w:rsidR="00D07A3F" w:rsidRDefault="00D07A3F"/>
    <w:sectPr w:rsidR="00D07A3F" w:rsidSect="00CE4A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F"/>
    <w:rsid w:val="006975FF"/>
    <w:rsid w:val="00A112F8"/>
    <w:rsid w:val="00CE4A00"/>
    <w:rsid w:val="00D07A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0FE3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FF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FF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Macintosh Word</Application>
  <DocSecurity>0</DocSecurity>
  <Lines>11</Lines>
  <Paragraphs>3</Paragraphs>
  <ScaleCrop>false</ScaleCrop>
  <Company>cnrs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h</dc:creator>
  <cp:keywords/>
  <dc:description/>
  <cp:lastModifiedBy>benoit h</cp:lastModifiedBy>
  <cp:revision>2</cp:revision>
  <dcterms:created xsi:type="dcterms:W3CDTF">2016-10-07T07:41:00Z</dcterms:created>
  <dcterms:modified xsi:type="dcterms:W3CDTF">2017-04-18T14:40:00Z</dcterms:modified>
</cp:coreProperties>
</file>