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DB" w:rsidRDefault="00553FDB" w:rsidP="00D55158">
      <w:pPr>
        <w:spacing w:after="0" w:line="240" w:lineRule="auto"/>
        <w:jc w:val="center"/>
        <w:outlineLvl w:val="0"/>
        <w:rPr>
          <w:rFonts w:ascii="Times New Roman" w:hAnsi="Times New Roman"/>
          <w:b/>
          <w:sz w:val="24"/>
          <w:szCs w:val="20"/>
        </w:rPr>
      </w:pPr>
    </w:p>
    <w:p w:rsidR="00D55158" w:rsidRPr="00592319" w:rsidRDefault="005C504F" w:rsidP="004B74F9">
      <w:pPr>
        <w:spacing w:after="120" w:line="240" w:lineRule="auto"/>
        <w:jc w:val="center"/>
        <w:rPr>
          <w:rFonts w:ascii="Times New Roman" w:hAnsi="Times New Roman"/>
          <w:b/>
          <w:i/>
          <w:sz w:val="24"/>
          <w:szCs w:val="24"/>
        </w:rPr>
      </w:pPr>
      <w:r>
        <w:rPr>
          <w:rFonts w:ascii="Times New Roman" w:hAnsi="Times New Roman"/>
          <w:b/>
          <w:sz w:val="24"/>
          <w:szCs w:val="24"/>
        </w:rPr>
        <w:t>Supplementary Material for</w:t>
      </w:r>
      <w:r w:rsidR="00D55158" w:rsidRPr="00D549D5">
        <w:rPr>
          <w:rFonts w:ascii="Times New Roman" w:hAnsi="Times New Roman"/>
          <w:b/>
          <w:sz w:val="24"/>
          <w:szCs w:val="24"/>
        </w:rPr>
        <w:t xml:space="preserve"> </w:t>
      </w:r>
      <w:r w:rsidR="00592319" w:rsidRPr="00592319">
        <w:rPr>
          <w:rFonts w:ascii="Times New Roman" w:hAnsi="Times New Roman"/>
          <w:b/>
          <w:i/>
          <w:sz w:val="24"/>
          <w:szCs w:val="24"/>
        </w:rPr>
        <w:t xml:space="preserve">Circulating Tumor Cell Phenotypic Heterogeneity Informs Clinical Decisions between Androgen Receptor Signaling Inhibitors and Taxanes in </w:t>
      </w:r>
      <w:r w:rsidR="008F160F">
        <w:rPr>
          <w:rFonts w:ascii="Times New Roman" w:hAnsi="Times New Roman"/>
          <w:b/>
          <w:i/>
          <w:sz w:val="24"/>
          <w:szCs w:val="24"/>
        </w:rPr>
        <w:t xml:space="preserve">Metastatic </w:t>
      </w:r>
      <w:r w:rsidR="00592319" w:rsidRPr="00592319">
        <w:rPr>
          <w:rFonts w:ascii="Times New Roman" w:hAnsi="Times New Roman"/>
          <w:b/>
          <w:i/>
          <w:sz w:val="24"/>
          <w:szCs w:val="24"/>
        </w:rPr>
        <w:t>Prostate Cancer</w:t>
      </w:r>
    </w:p>
    <w:p w:rsidR="00D55158" w:rsidRDefault="00D55158" w:rsidP="00D55158">
      <w:pPr>
        <w:spacing w:after="0" w:line="240" w:lineRule="auto"/>
        <w:outlineLvl w:val="0"/>
        <w:rPr>
          <w:rFonts w:ascii="Times New Roman" w:hAnsi="Times New Roman"/>
          <w:b/>
          <w:sz w:val="24"/>
          <w:szCs w:val="20"/>
        </w:rPr>
      </w:pPr>
    </w:p>
    <w:p w:rsidR="00553FDB" w:rsidRDefault="00553FDB" w:rsidP="00D55158">
      <w:pPr>
        <w:spacing w:after="0" w:line="240" w:lineRule="auto"/>
        <w:outlineLvl w:val="0"/>
        <w:rPr>
          <w:rFonts w:ascii="Times New Roman" w:hAnsi="Times New Roman"/>
          <w:b/>
          <w:sz w:val="24"/>
          <w:szCs w:val="20"/>
        </w:rPr>
      </w:pPr>
    </w:p>
    <w:p w:rsidR="00553FDB" w:rsidRDefault="00553FDB" w:rsidP="00D55158">
      <w:pPr>
        <w:spacing w:after="0" w:line="240" w:lineRule="auto"/>
        <w:outlineLvl w:val="0"/>
        <w:rPr>
          <w:rFonts w:ascii="Times New Roman" w:hAnsi="Times New Roman"/>
          <w:b/>
          <w:sz w:val="24"/>
          <w:szCs w:val="20"/>
        </w:rPr>
      </w:pPr>
    </w:p>
    <w:p w:rsidR="00D55158" w:rsidRPr="00553FDB" w:rsidRDefault="00553FDB" w:rsidP="00D55158">
      <w:pPr>
        <w:spacing w:after="0" w:line="240" w:lineRule="auto"/>
        <w:outlineLvl w:val="0"/>
        <w:rPr>
          <w:rFonts w:ascii="Times New Roman" w:hAnsi="Times New Roman"/>
          <w:b/>
          <w:sz w:val="24"/>
          <w:szCs w:val="20"/>
        </w:rPr>
      </w:pPr>
      <w:r w:rsidRPr="00553FDB">
        <w:rPr>
          <w:rFonts w:ascii="Times New Roman" w:hAnsi="Times New Roman"/>
          <w:b/>
          <w:sz w:val="24"/>
          <w:szCs w:val="20"/>
        </w:rPr>
        <w:t>Elements Included:</w:t>
      </w:r>
    </w:p>
    <w:p w:rsidR="00553FDB" w:rsidRDefault="00553FDB" w:rsidP="00D55158">
      <w:pPr>
        <w:spacing w:after="0" w:line="240" w:lineRule="auto"/>
        <w:outlineLvl w:val="0"/>
        <w:rPr>
          <w:rFonts w:ascii="Times New Roman" w:hAnsi="Times New Roman"/>
          <w:b/>
          <w:sz w:val="24"/>
          <w:szCs w:val="20"/>
        </w:rPr>
      </w:pPr>
    </w:p>
    <w:p w:rsidR="00E50D9E" w:rsidRPr="00553FDB" w:rsidRDefault="00E50D9E" w:rsidP="00D55158">
      <w:pPr>
        <w:spacing w:after="0" w:line="240" w:lineRule="auto"/>
        <w:outlineLvl w:val="0"/>
        <w:rPr>
          <w:rFonts w:ascii="Times New Roman" w:hAnsi="Times New Roman"/>
          <w:b/>
          <w:sz w:val="24"/>
          <w:szCs w:val="20"/>
        </w:rPr>
      </w:pPr>
    </w:p>
    <w:p w:rsidR="00952F79" w:rsidRDefault="00952F79" w:rsidP="00553FDB">
      <w:pPr>
        <w:spacing w:after="0" w:line="240" w:lineRule="auto"/>
        <w:outlineLvl w:val="0"/>
        <w:rPr>
          <w:rFonts w:ascii="Times New Roman" w:hAnsi="Times New Roman"/>
          <w:b/>
          <w:sz w:val="24"/>
          <w:szCs w:val="24"/>
        </w:rPr>
      </w:pPr>
      <w:r>
        <w:rPr>
          <w:rFonts w:ascii="Times New Roman" w:hAnsi="Times New Roman"/>
          <w:b/>
          <w:sz w:val="24"/>
          <w:szCs w:val="24"/>
        </w:rPr>
        <w:t>Supplementary Methods</w:t>
      </w:r>
    </w:p>
    <w:p w:rsidR="00952F79" w:rsidRDefault="00952F79" w:rsidP="00553FDB">
      <w:pPr>
        <w:spacing w:after="0" w:line="240" w:lineRule="auto"/>
        <w:outlineLvl w:val="0"/>
        <w:rPr>
          <w:rFonts w:ascii="Times New Roman" w:hAnsi="Times New Roman"/>
          <w:b/>
          <w:sz w:val="24"/>
          <w:szCs w:val="24"/>
        </w:rPr>
      </w:pPr>
    </w:p>
    <w:p w:rsidR="00553FDB" w:rsidRDefault="00D549D5" w:rsidP="00553FDB">
      <w:pPr>
        <w:spacing w:after="0" w:line="240" w:lineRule="auto"/>
        <w:outlineLvl w:val="0"/>
        <w:rPr>
          <w:rFonts w:ascii="Times New Roman" w:hAnsi="Times New Roman"/>
          <w:b/>
          <w:sz w:val="24"/>
          <w:szCs w:val="24"/>
        </w:rPr>
      </w:pPr>
      <w:r w:rsidRPr="005C504F">
        <w:rPr>
          <w:rFonts w:ascii="Times New Roman" w:hAnsi="Times New Roman"/>
          <w:b/>
          <w:sz w:val="24"/>
          <w:szCs w:val="24"/>
        </w:rPr>
        <w:t>Supplementa</w:t>
      </w:r>
      <w:r w:rsidR="00205C4D">
        <w:rPr>
          <w:rFonts w:ascii="Times New Roman" w:hAnsi="Times New Roman"/>
          <w:b/>
          <w:sz w:val="24"/>
          <w:szCs w:val="24"/>
        </w:rPr>
        <w:t>ry</w:t>
      </w:r>
      <w:r w:rsidRPr="005C504F">
        <w:rPr>
          <w:rFonts w:ascii="Times New Roman" w:hAnsi="Times New Roman"/>
          <w:b/>
          <w:sz w:val="24"/>
          <w:szCs w:val="24"/>
        </w:rPr>
        <w:t xml:space="preserve"> Figure</w:t>
      </w:r>
      <w:r w:rsidR="00F151DC" w:rsidRPr="005C504F">
        <w:rPr>
          <w:rFonts w:ascii="Times New Roman" w:hAnsi="Times New Roman"/>
          <w:b/>
          <w:sz w:val="24"/>
          <w:szCs w:val="24"/>
        </w:rPr>
        <w:t>s</w:t>
      </w:r>
      <w:r w:rsidR="00553FDB" w:rsidRPr="005C504F">
        <w:rPr>
          <w:rFonts w:ascii="Times New Roman" w:hAnsi="Times New Roman"/>
          <w:b/>
          <w:sz w:val="24"/>
          <w:szCs w:val="24"/>
        </w:rPr>
        <w:t xml:space="preserve"> and Figure Legend</w:t>
      </w:r>
      <w:r w:rsidR="00F151DC" w:rsidRPr="005C504F">
        <w:rPr>
          <w:rFonts w:ascii="Times New Roman" w:hAnsi="Times New Roman"/>
          <w:b/>
          <w:sz w:val="24"/>
          <w:szCs w:val="24"/>
        </w:rPr>
        <w:t>s</w:t>
      </w:r>
      <w:r w:rsidR="00553FDB" w:rsidRPr="005C504F">
        <w:rPr>
          <w:rFonts w:ascii="Times New Roman" w:hAnsi="Times New Roman"/>
          <w:b/>
          <w:sz w:val="24"/>
          <w:szCs w:val="24"/>
        </w:rPr>
        <w:t>:</w:t>
      </w:r>
    </w:p>
    <w:p w:rsidR="00E50D9E" w:rsidRPr="005C504F" w:rsidRDefault="00E50D9E" w:rsidP="00553FDB">
      <w:pPr>
        <w:spacing w:after="0" w:line="240" w:lineRule="auto"/>
        <w:outlineLvl w:val="0"/>
        <w:rPr>
          <w:rFonts w:ascii="Times New Roman" w:hAnsi="Times New Roman"/>
          <w:b/>
          <w:sz w:val="24"/>
          <w:szCs w:val="24"/>
        </w:rPr>
      </w:pPr>
    </w:p>
    <w:p w:rsidR="00553FDB" w:rsidRDefault="00553FDB" w:rsidP="00553FDB">
      <w:pPr>
        <w:spacing w:after="0" w:line="240" w:lineRule="auto"/>
        <w:ind w:firstLine="720"/>
        <w:outlineLvl w:val="0"/>
        <w:rPr>
          <w:rFonts w:ascii="Times New Roman" w:hAnsi="Times New Roman"/>
          <w:bCs/>
          <w:color w:val="000000"/>
          <w:kern w:val="24"/>
          <w:sz w:val="24"/>
          <w:szCs w:val="24"/>
        </w:rPr>
      </w:pPr>
      <w:r w:rsidRPr="009105F1">
        <w:rPr>
          <w:rFonts w:ascii="Times New Roman" w:hAnsi="Times New Roman"/>
          <w:b/>
          <w:bCs/>
          <w:color w:val="000000"/>
          <w:kern w:val="24"/>
          <w:sz w:val="24"/>
          <w:szCs w:val="24"/>
        </w:rPr>
        <w:t>Supplemental Figure 1:</w:t>
      </w:r>
      <w:r w:rsidRPr="005C504F">
        <w:rPr>
          <w:rFonts w:ascii="Times New Roman" w:hAnsi="Times New Roman"/>
          <w:bCs/>
          <w:color w:val="000000"/>
          <w:kern w:val="24"/>
          <w:sz w:val="24"/>
          <w:szCs w:val="24"/>
        </w:rPr>
        <w:t xml:space="preserve"> </w:t>
      </w:r>
      <w:r w:rsidR="005C504F" w:rsidRPr="005C504F">
        <w:rPr>
          <w:rFonts w:ascii="Times New Roman" w:hAnsi="Times New Roman"/>
          <w:bCs/>
          <w:color w:val="000000"/>
          <w:kern w:val="24"/>
          <w:sz w:val="24"/>
          <w:szCs w:val="24"/>
        </w:rPr>
        <w:t>Hypothesis: Pre-therapy CTC Phenotypic Heterogeneity Associates with Differential Outcomes on Pathway-Specific Hormonal Therapeutics and Non-Pathway-Specific Chemotherapy</w:t>
      </w:r>
      <w:r w:rsidR="00D549D5" w:rsidRPr="005C504F">
        <w:rPr>
          <w:rFonts w:ascii="Times New Roman" w:hAnsi="Times New Roman"/>
          <w:bCs/>
          <w:color w:val="000000"/>
          <w:kern w:val="24"/>
          <w:sz w:val="24"/>
          <w:szCs w:val="24"/>
        </w:rPr>
        <w:t>.</w:t>
      </w:r>
    </w:p>
    <w:p w:rsidR="005C504F" w:rsidRPr="005C504F" w:rsidRDefault="005C504F" w:rsidP="006406E6">
      <w:pPr>
        <w:spacing w:after="0" w:line="240" w:lineRule="auto"/>
        <w:ind w:firstLine="720"/>
        <w:outlineLvl w:val="0"/>
        <w:rPr>
          <w:rFonts w:ascii="Times New Roman" w:hAnsi="Times New Roman"/>
          <w:bCs/>
          <w:color w:val="000000"/>
          <w:kern w:val="24"/>
          <w:sz w:val="24"/>
          <w:szCs w:val="24"/>
        </w:rPr>
      </w:pPr>
    </w:p>
    <w:p w:rsidR="00F151DC" w:rsidRDefault="00F151DC" w:rsidP="006406E6">
      <w:pPr>
        <w:spacing w:after="0"/>
        <w:rPr>
          <w:rFonts w:ascii="Times New Roman" w:hAnsi="Times New Roman"/>
          <w:bCs/>
          <w:color w:val="000000"/>
          <w:kern w:val="24"/>
          <w:sz w:val="24"/>
          <w:szCs w:val="24"/>
        </w:rPr>
      </w:pPr>
      <w:r w:rsidRPr="005C504F">
        <w:rPr>
          <w:rFonts w:ascii="Times New Roman" w:hAnsi="Times New Roman"/>
          <w:b/>
          <w:sz w:val="24"/>
          <w:szCs w:val="24"/>
        </w:rPr>
        <w:tab/>
      </w:r>
      <w:r w:rsidRPr="009105F1">
        <w:rPr>
          <w:rFonts w:ascii="Times New Roman" w:hAnsi="Times New Roman"/>
          <w:b/>
          <w:bCs/>
          <w:color w:val="000000"/>
          <w:kern w:val="24"/>
          <w:sz w:val="24"/>
          <w:szCs w:val="24"/>
        </w:rPr>
        <w:t>Supplemental Figure 2:</w:t>
      </w:r>
      <w:r w:rsidRPr="005C504F">
        <w:rPr>
          <w:rFonts w:ascii="Times New Roman" w:hAnsi="Times New Roman"/>
          <w:bCs/>
          <w:color w:val="000000"/>
          <w:kern w:val="24"/>
          <w:sz w:val="24"/>
          <w:szCs w:val="24"/>
        </w:rPr>
        <w:t xml:space="preserve"> </w:t>
      </w:r>
      <w:r w:rsidR="005C504F" w:rsidRPr="005C504F">
        <w:rPr>
          <w:rFonts w:ascii="Times New Roman" w:hAnsi="Times New Roman"/>
          <w:bCs/>
          <w:color w:val="000000"/>
          <w:kern w:val="24"/>
          <w:sz w:val="24"/>
          <w:szCs w:val="24"/>
        </w:rPr>
        <w:t>Principal Component Analysis and k-selection for Unsupervised Clustering of CTCs for Phenotypic Subtype Classification</w:t>
      </w:r>
      <w:r w:rsidR="005C504F">
        <w:rPr>
          <w:rFonts w:ascii="Times New Roman" w:hAnsi="Times New Roman"/>
          <w:bCs/>
          <w:color w:val="000000"/>
          <w:kern w:val="24"/>
          <w:sz w:val="24"/>
          <w:szCs w:val="24"/>
        </w:rPr>
        <w:t>.</w:t>
      </w:r>
    </w:p>
    <w:p w:rsidR="008E4DC5" w:rsidRDefault="008E4DC5" w:rsidP="006406E6">
      <w:pPr>
        <w:spacing w:after="0"/>
        <w:rPr>
          <w:rFonts w:ascii="Times New Roman" w:hAnsi="Times New Roman"/>
          <w:bCs/>
          <w:color w:val="000000"/>
          <w:kern w:val="24"/>
          <w:sz w:val="24"/>
          <w:szCs w:val="24"/>
        </w:rPr>
      </w:pPr>
    </w:p>
    <w:p w:rsidR="008E4DC5" w:rsidRPr="008E4DC5" w:rsidRDefault="008E4DC5" w:rsidP="008E4DC5">
      <w:pPr>
        <w:spacing w:after="0"/>
        <w:rPr>
          <w:rFonts w:ascii="Times New Roman" w:hAnsi="Times New Roman"/>
          <w:bCs/>
          <w:sz w:val="24"/>
          <w:szCs w:val="24"/>
        </w:rPr>
      </w:pPr>
      <w:r>
        <w:rPr>
          <w:rFonts w:ascii="Times New Roman" w:hAnsi="Times New Roman"/>
          <w:bCs/>
          <w:color w:val="000000"/>
          <w:kern w:val="24"/>
          <w:sz w:val="24"/>
          <w:szCs w:val="24"/>
        </w:rPr>
        <w:tab/>
      </w:r>
      <w:r>
        <w:rPr>
          <w:rFonts w:ascii="Times New Roman" w:hAnsi="Times New Roman"/>
          <w:b/>
          <w:bCs/>
          <w:color w:val="000000"/>
          <w:kern w:val="24"/>
          <w:sz w:val="24"/>
          <w:szCs w:val="24"/>
        </w:rPr>
        <w:t>Supplemental Figure 3</w:t>
      </w:r>
      <w:r w:rsidRPr="009105F1">
        <w:rPr>
          <w:rFonts w:ascii="Times New Roman" w:hAnsi="Times New Roman"/>
          <w:b/>
          <w:bCs/>
          <w:color w:val="000000"/>
          <w:kern w:val="24"/>
          <w:sz w:val="24"/>
          <w:szCs w:val="24"/>
        </w:rPr>
        <w:t>:</w:t>
      </w:r>
      <w:r w:rsidRPr="005C504F">
        <w:rPr>
          <w:rFonts w:ascii="Times New Roman" w:hAnsi="Times New Roman"/>
          <w:bCs/>
          <w:color w:val="000000"/>
          <w:kern w:val="24"/>
          <w:sz w:val="24"/>
          <w:szCs w:val="24"/>
        </w:rPr>
        <w:t xml:space="preserve"> </w:t>
      </w:r>
      <w:r w:rsidRPr="008E4DC5">
        <w:rPr>
          <w:rFonts w:ascii="Times New Roman" w:hAnsi="Times New Roman"/>
          <w:bCs/>
          <w:sz w:val="24"/>
          <w:szCs w:val="24"/>
        </w:rPr>
        <w:t>Correlat</w:t>
      </w:r>
      <w:r>
        <w:rPr>
          <w:rFonts w:ascii="Times New Roman" w:hAnsi="Times New Roman"/>
          <w:bCs/>
          <w:sz w:val="24"/>
          <w:szCs w:val="24"/>
        </w:rPr>
        <w:t>ions between Shannon index and Other Pre-therapy F</w:t>
      </w:r>
      <w:r w:rsidRPr="008E4DC5">
        <w:rPr>
          <w:rFonts w:ascii="Times New Roman" w:hAnsi="Times New Roman"/>
          <w:bCs/>
          <w:sz w:val="24"/>
          <w:szCs w:val="24"/>
        </w:rPr>
        <w:t>eatures</w:t>
      </w:r>
      <w:r>
        <w:rPr>
          <w:rFonts w:ascii="Times New Roman" w:hAnsi="Times New Roman"/>
          <w:bCs/>
          <w:sz w:val="24"/>
          <w:szCs w:val="24"/>
        </w:rPr>
        <w:t>.</w:t>
      </w:r>
    </w:p>
    <w:p w:rsidR="008E4DC5" w:rsidRDefault="008E4DC5" w:rsidP="008E4DC5">
      <w:pPr>
        <w:spacing w:after="0"/>
        <w:rPr>
          <w:rFonts w:ascii="Times New Roman" w:hAnsi="Times New Roman"/>
          <w:bCs/>
          <w:sz w:val="24"/>
          <w:szCs w:val="24"/>
        </w:rPr>
      </w:pPr>
      <w:r>
        <w:rPr>
          <w:rFonts w:ascii="Times New Roman" w:hAnsi="Times New Roman"/>
          <w:bCs/>
          <w:sz w:val="24"/>
          <w:szCs w:val="24"/>
        </w:rPr>
        <w:tab/>
      </w:r>
    </w:p>
    <w:p w:rsidR="008E4DC5" w:rsidRPr="005C504F" w:rsidRDefault="008E4DC5" w:rsidP="008E4DC5">
      <w:pPr>
        <w:spacing w:after="0"/>
        <w:rPr>
          <w:rFonts w:ascii="Times New Roman" w:hAnsi="Times New Roman"/>
          <w:b/>
          <w:sz w:val="24"/>
          <w:szCs w:val="24"/>
        </w:rPr>
      </w:pPr>
      <w:r>
        <w:rPr>
          <w:rFonts w:ascii="Times New Roman" w:hAnsi="Times New Roman"/>
          <w:bCs/>
          <w:sz w:val="24"/>
          <w:szCs w:val="24"/>
        </w:rPr>
        <w:tab/>
      </w:r>
      <w:r w:rsidRPr="00B54C93">
        <w:rPr>
          <w:rFonts w:ascii="Times New Roman" w:hAnsi="Times New Roman"/>
          <w:b/>
          <w:bCs/>
          <w:color w:val="000000"/>
          <w:kern w:val="24"/>
          <w:sz w:val="24"/>
          <w:szCs w:val="24"/>
        </w:rPr>
        <w:t>Supplemental Figure 4:</w:t>
      </w:r>
      <w:r>
        <w:rPr>
          <w:rFonts w:ascii="Times New Roman" w:hAnsi="Times New Roman"/>
          <w:b/>
          <w:bCs/>
          <w:color w:val="000000"/>
          <w:kern w:val="24"/>
          <w:sz w:val="24"/>
          <w:szCs w:val="24"/>
        </w:rPr>
        <w:t xml:space="preserve"> </w:t>
      </w:r>
      <w:r w:rsidRPr="008E4DC5">
        <w:rPr>
          <w:rFonts w:ascii="Times New Roman" w:hAnsi="Times New Roman"/>
          <w:bCs/>
          <w:color w:val="000000"/>
          <w:kern w:val="24"/>
          <w:sz w:val="24"/>
          <w:szCs w:val="24"/>
        </w:rPr>
        <w:t xml:space="preserve">Multivariate Analyses of </w:t>
      </w:r>
      <w:r>
        <w:rPr>
          <w:rFonts w:ascii="Times New Roman" w:hAnsi="Times New Roman"/>
          <w:bCs/>
          <w:color w:val="000000"/>
          <w:kern w:val="24"/>
          <w:sz w:val="24"/>
          <w:szCs w:val="24"/>
        </w:rPr>
        <w:t>S</w:t>
      </w:r>
      <w:r w:rsidRPr="008E4DC5">
        <w:rPr>
          <w:rFonts w:ascii="Times New Roman" w:hAnsi="Times New Roman"/>
          <w:bCs/>
          <w:color w:val="000000"/>
          <w:kern w:val="24"/>
          <w:sz w:val="24"/>
          <w:szCs w:val="24"/>
        </w:rPr>
        <w:t>ub-</w:t>
      </w:r>
      <w:r>
        <w:rPr>
          <w:rFonts w:ascii="Times New Roman" w:hAnsi="Times New Roman"/>
          <w:bCs/>
          <w:color w:val="000000"/>
          <w:kern w:val="24"/>
          <w:sz w:val="24"/>
          <w:szCs w:val="24"/>
        </w:rPr>
        <w:t>C</w:t>
      </w:r>
      <w:r w:rsidRPr="008E4DC5">
        <w:rPr>
          <w:rFonts w:ascii="Times New Roman" w:hAnsi="Times New Roman"/>
          <w:bCs/>
          <w:color w:val="000000"/>
          <w:kern w:val="24"/>
          <w:sz w:val="24"/>
          <w:szCs w:val="24"/>
        </w:rPr>
        <w:t xml:space="preserve">ohort with Shannon index </w:t>
      </w:r>
      <w:r>
        <w:rPr>
          <w:rFonts w:ascii="Times New Roman" w:hAnsi="Times New Roman"/>
          <w:bCs/>
          <w:color w:val="000000"/>
          <w:kern w:val="24"/>
          <w:sz w:val="24"/>
          <w:szCs w:val="24"/>
        </w:rPr>
        <w:t>Greater T</w:t>
      </w:r>
      <w:r w:rsidRPr="008E4DC5">
        <w:rPr>
          <w:rFonts w:ascii="Times New Roman" w:hAnsi="Times New Roman"/>
          <w:bCs/>
          <w:color w:val="000000"/>
          <w:kern w:val="24"/>
          <w:sz w:val="24"/>
          <w:szCs w:val="24"/>
        </w:rPr>
        <w:t>han 0</w:t>
      </w:r>
    </w:p>
    <w:p w:rsidR="00D55158" w:rsidRDefault="00D55158" w:rsidP="006406E6">
      <w:pPr>
        <w:spacing w:after="0" w:line="240" w:lineRule="auto"/>
        <w:outlineLvl w:val="0"/>
        <w:rPr>
          <w:rFonts w:ascii="Times New Roman" w:hAnsi="Times New Roman"/>
          <w:b/>
          <w:sz w:val="24"/>
          <w:szCs w:val="20"/>
        </w:rPr>
      </w:pPr>
    </w:p>
    <w:p w:rsidR="009F19A4" w:rsidRDefault="009F19A4" w:rsidP="006406E6">
      <w:pPr>
        <w:spacing w:after="0"/>
        <w:rPr>
          <w:rFonts w:ascii="Times New Roman" w:hAnsi="Times New Roman"/>
          <w:bCs/>
          <w:sz w:val="24"/>
          <w:szCs w:val="24"/>
        </w:rPr>
      </w:pPr>
      <w:r w:rsidRPr="005C504F">
        <w:rPr>
          <w:rFonts w:ascii="Times New Roman" w:hAnsi="Times New Roman"/>
          <w:b/>
          <w:sz w:val="24"/>
          <w:szCs w:val="24"/>
        </w:rPr>
        <w:tab/>
      </w:r>
      <w:r>
        <w:rPr>
          <w:rFonts w:ascii="Times New Roman" w:hAnsi="Times New Roman"/>
          <w:b/>
          <w:bCs/>
          <w:color w:val="000000"/>
          <w:kern w:val="24"/>
          <w:sz w:val="24"/>
          <w:szCs w:val="24"/>
        </w:rPr>
        <w:t xml:space="preserve">Supplemental Figure </w:t>
      </w:r>
      <w:r w:rsidR="008E4DC5">
        <w:rPr>
          <w:rFonts w:ascii="Times New Roman" w:hAnsi="Times New Roman"/>
          <w:b/>
          <w:bCs/>
          <w:color w:val="000000"/>
          <w:kern w:val="24"/>
          <w:sz w:val="24"/>
          <w:szCs w:val="24"/>
        </w:rPr>
        <w:t>5</w:t>
      </w:r>
      <w:r w:rsidRPr="009105F1">
        <w:rPr>
          <w:rFonts w:ascii="Times New Roman" w:hAnsi="Times New Roman"/>
          <w:b/>
          <w:bCs/>
          <w:color w:val="000000"/>
          <w:kern w:val="24"/>
          <w:sz w:val="24"/>
          <w:szCs w:val="24"/>
        </w:rPr>
        <w:t>:</w:t>
      </w:r>
      <w:r w:rsidRPr="005C504F">
        <w:rPr>
          <w:rFonts w:ascii="Times New Roman" w:hAnsi="Times New Roman"/>
          <w:bCs/>
          <w:color w:val="000000"/>
          <w:kern w:val="24"/>
          <w:sz w:val="24"/>
          <w:szCs w:val="24"/>
        </w:rPr>
        <w:t xml:space="preserve"> </w:t>
      </w:r>
      <w:r w:rsidR="00B54C93" w:rsidRPr="00B54C93">
        <w:rPr>
          <w:rFonts w:ascii="Times New Roman" w:hAnsi="Times New Roman"/>
          <w:bCs/>
          <w:sz w:val="24"/>
          <w:szCs w:val="24"/>
        </w:rPr>
        <w:t>CTC and Clinical Association Analysis Overview.</w:t>
      </w:r>
    </w:p>
    <w:p w:rsidR="00B54C93" w:rsidRDefault="00B54C93" w:rsidP="006406E6">
      <w:pPr>
        <w:spacing w:after="0"/>
        <w:rPr>
          <w:rFonts w:ascii="Times New Roman" w:hAnsi="Times New Roman"/>
          <w:bCs/>
          <w:sz w:val="24"/>
          <w:szCs w:val="24"/>
        </w:rPr>
      </w:pPr>
      <w:r>
        <w:rPr>
          <w:rFonts w:ascii="Times New Roman" w:hAnsi="Times New Roman"/>
          <w:bCs/>
          <w:sz w:val="24"/>
          <w:szCs w:val="24"/>
        </w:rPr>
        <w:tab/>
      </w:r>
    </w:p>
    <w:p w:rsidR="00B54C93" w:rsidRPr="00B54C93" w:rsidRDefault="00B54C93" w:rsidP="006406E6">
      <w:pPr>
        <w:spacing w:after="0"/>
        <w:rPr>
          <w:rFonts w:ascii="Times New Roman" w:hAnsi="Times New Roman"/>
          <w:b/>
          <w:bCs/>
          <w:color w:val="000000"/>
          <w:kern w:val="24"/>
          <w:sz w:val="24"/>
          <w:szCs w:val="24"/>
        </w:rPr>
      </w:pPr>
      <w:r>
        <w:rPr>
          <w:rFonts w:ascii="Times New Roman" w:hAnsi="Times New Roman"/>
          <w:bCs/>
          <w:sz w:val="24"/>
          <w:szCs w:val="24"/>
        </w:rPr>
        <w:tab/>
      </w:r>
      <w:r w:rsidRPr="00B54C93">
        <w:rPr>
          <w:rFonts w:ascii="Times New Roman" w:hAnsi="Times New Roman"/>
          <w:b/>
          <w:bCs/>
          <w:color w:val="000000"/>
          <w:kern w:val="24"/>
          <w:sz w:val="24"/>
          <w:szCs w:val="24"/>
        </w:rPr>
        <w:t xml:space="preserve">Supplemental Figure </w:t>
      </w:r>
      <w:r w:rsidR="008E4DC5">
        <w:rPr>
          <w:rFonts w:ascii="Times New Roman" w:hAnsi="Times New Roman"/>
          <w:b/>
          <w:bCs/>
          <w:color w:val="000000"/>
          <w:kern w:val="24"/>
          <w:sz w:val="24"/>
          <w:szCs w:val="24"/>
        </w:rPr>
        <w:t>6</w:t>
      </w:r>
      <w:r w:rsidRPr="00B54C93">
        <w:rPr>
          <w:rFonts w:ascii="Times New Roman" w:hAnsi="Times New Roman"/>
          <w:b/>
          <w:bCs/>
          <w:color w:val="000000"/>
          <w:kern w:val="24"/>
          <w:sz w:val="24"/>
          <w:szCs w:val="24"/>
        </w:rPr>
        <w:t xml:space="preserve">: </w:t>
      </w:r>
      <w:r w:rsidRPr="00B54C93">
        <w:rPr>
          <w:rFonts w:ascii="Times New Roman" w:hAnsi="Times New Roman"/>
          <w:bCs/>
          <w:color w:val="000000"/>
          <w:kern w:val="24"/>
          <w:sz w:val="24"/>
          <w:szCs w:val="24"/>
        </w:rPr>
        <w:t>The Degree of Inter-Sample Pleomorphism index is Related to Overall Survival of ARSI, but not Taxanes.</w:t>
      </w:r>
    </w:p>
    <w:p w:rsidR="00B54C93" w:rsidRPr="00B54C93" w:rsidRDefault="00B54C93" w:rsidP="006406E6">
      <w:pPr>
        <w:spacing w:after="0"/>
        <w:rPr>
          <w:rFonts w:ascii="Times New Roman" w:hAnsi="Times New Roman"/>
          <w:b/>
          <w:bCs/>
          <w:color w:val="000000"/>
          <w:kern w:val="24"/>
          <w:sz w:val="24"/>
          <w:szCs w:val="24"/>
        </w:rPr>
      </w:pPr>
    </w:p>
    <w:p w:rsidR="00553FDB" w:rsidRPr="00B54C93" w:rsidRDefault="00553FDB" w:rsidP="00D55158">
      <w:pPr>
        <w:spacing w:after="0" w:line="240" w:lineRule="auto"/>
        <w:outlineLvl w:val="0"/>
        <w:rPr>
          <w:rFonts w:ascii="Times New Roman" w:hAnsi="Times New Roman"/>
          <w:b/>
          <w:bCs/>
          <w:color w:val="000000"/>
          <w:kern w:val="24"/>
          <w:sz w:val="24"/>
          <w:szCs w:val="24"/>
        </w:rPr>
      </w:pPr>
    </w:p>
    <w:p w:rsidR="00553FDB" w:rsidRDefault="00553FDB" w:rsidP="00D55158">
      <w:pPr>
        <w:spacing w:after="0" w:line="240" w:lineRule="auto"/>
        <w:outlineLvl w:val="0"/>
        <w:rPr>
          <w:rFonts w:ascii="Times New Roman" w:hAnsi="Times New Roman"/>
          <w:b/>
          <w:sz w:val="24"/>
          <w:szCs w:val="20"/>
        </w:rPr>
      </w:pPr>
    </w:p>
    <w:p w:rsidR="00553FDB" w:rsidRDefault="00553FDB" w:rsidP="00D55158">
      <w:pPr>
        <w:spacing w:after="0" w:line="240" w:lineRule="auto"/>
        <w:outlineLvl w:val="0"/>
        <w:rPr>
          <w:rFonts w:ascii="Times New Roman" w:hAnsi="Times New Roman"/>
          <w:b/>
          <w:sz w:val="24"/>
          <w:szCs w:val="20"/>
        </w:rPr>
      </w:pPr>
    </w:p>
    <w:p w:rsidR="00553FDB" w:rsidRDefault="00553FDB" w:rsidP="00D55158">
      <w:pPr>
        <w:spacing w:after="0" w:line="240" w:lineRule="auto"/>
        <w:outlineLvl w:val="0"/>
        <w:rPr>
          <w:rFonts w:ascii="Times New Roman" w:hAnsi="Times New Roman"/>
          <w:b/>
          <w:sz w:val="24"/>
          <w:szCs w:val="20"/>
        </w:rPr>
      </w:pPr>
    </w:p>
    <w:p w:rsidR="00553FDB" w:rsidRDefault="00553FDB" w:rsidP="00D55158">
      <w:pPr>
        <w:spacing w:after="0" w:line="240" w:lineRule="auto"/>
        <w:outlineLvl w:val="0"/>
        <w:rPr>
          <w:rFonts w:ascii="Times New Roman" w:hAnsi="Times New Roman"/>
          <w:b/>
          <w:sz w:val="24"/>
          <w:szCs w:val="20"/>
        </w:rPr>
      </w:pPr>
    </w:p>
    <w:p w:rsidR="00553FDB" w:rsidRDefault="00553FDB" w:rsidP="00D55158">
      <w:pPr>
        <w:spacing w:after="0" w:line="240" w:lineRule="auto"/>
        <w:outlineLvl w:val="0"/>
        <w:rPr>
          <w:rFonts w:ascii="Times New Roman" w:hAnsi="Times New Roman"/>
          <w:b/>
          <w:sz w:val="24"/>
          <w:szCs w:val="20"/>
        </w:rPr>
      </w:pPr>
    </w:p>
    <w:p w:rsidR="00553FDB" w:rsidRDefault="00553FDB" w:rsidP="00D55158">
      <w:pPr>
        <w:spacing w:after="0" w:line="240" w:lineRule="auto"/>
        <w:outlineLvl w:val="0"/>
        <w:rPr>
          <w:rFonts w:ascii="Times New Roman" w:hAnsi="Times New Roman"/>
          <w:b/>
          <w:sz w:val="24"/>
          <w:szCs w:val="20"/>
        </w:rPr>
      </w:pPr>
    </w:p>
    <w:p w:rsidR="00553FDB" w:rsidRDefault="00553FDB" w:rsidP="00D55158">
      <w:pPr>
        <w:spacing w:after="0" w:line="240" w:lineRule="auto"/>
        <w:outlineLvl w:val="0"/>
        <w:rPr>
          <w:rFonts w:ascii="Times New Roman" w:hAnsi="Times New Roman"/>
          <w:b/>
          <w:sz w:val="24"/>
          <w:szCs w:val="20"/>
        </w:rPr>
      </w:pPr>
    </w:p>
    <w:p w:rsidR="00952F79" w:rsidRDefault="00952F79" w:rsidP="00952F79">
      <w:pPr>
        <w:spacing w:line="240" w:lineRule="auto"/>
        <w:rPr>
          <w:rFonts w:ascii="Times New Roman" w:hAnsi="Times New Roman"/>
          <w:b/>
          <w:sz w:val="24"/>
          <w:szCs w:val="24"/>
        </w:rPr>
      </w:pPr>
      <w:r w:rsidRPr="00952F79">
        <w:rPr>
          <w:rFonts w:ascii="Times New Roman" w:hAnsi="Times New Roman"/>
          <w:b/>
          <w:sz w:val="24"/>
          <w:szCs w:val="24"/>
        </w:rPr>
        <w:t>Supplementary Methods</w:t>
      </w:r>
    </w:p>
    <w:p w:rsidR="001930BC" w:rsidRPr="00952F79" w:rsidRDefault="001930BC" w:rsidP="00952F79">
      <w:pPr>
        <w:spacing w:line="240" w:lineRule="auto"/>
        <w:rPr>
          <w:rFonts w:ascii="Times New Roman" w:hAnsi="Times New Roman"/>
          <w:b/>
          <w:sz w:val="24"/>
          <w:szCs w:val="24"/>
        </w:rPr>
      </w:pPr>
    </w:p>
    <w:p w:rsidR="00952F79" w:rsidRPr="00952F79" w:rsidRDefault="00952F79" w:rsidP="00952F79">
      <w:pPr>
        <w:spacing w:line="240" w:lineRule="auto"/>
        <w:rPr>
          <w:rFonts w:ascii="Times New Roman" w:hAnsi="Times New Roman"/>
          <w:i/>
          <w:szCs w:val="24"/>
        </w:rPr>
      </w:pPr>
      <w:r w:rsidRPr="00952F79">
        <w:rPr>
          <w:rFonts w:ascii="Times New Roman" w:hAnsi="Times New Roman"/>
          <w:i/>
          <w:szCs w:val="24"/>
        </w:rPr>
        <w:t xml:space="preserve">Pleomorphism Index: </w:t>
      </w:r>
      <w:r w:rsidR="001930BC">
        <w:rPr>
          <w:rFonts w:ascii="Times New Roman" w:hAnsi="Times New Roman"/>
          <w:i/>
          <w:szCs w:val="24"/>
        </w:rPr>
        <w:t>An Alternative Analytical Pipeline for Measuring CTC Phenotypic Heterogeneity</w:t>
      </w:r>
    </w:p>
    <w:p w:rsidR="006C23B1" w:rsidRDefault="00952F79" w:rsidP="00C55D9E">
      <w:pPr>
        <w:tabs>
          <w:tab w:val="left" w:pos="7830"/>
        </w:tabs>
        <w:spacing w:line="240" w:lineRule="auto"/>
        <w:rPr>
          <w:rFonts w:ascii="Times New Roman" w:hAnsi="Times New Roman"/>
          <w:szCs w:val="24"/>
        </w:rPr>
      </w:pPr>
      <w:r w:rsidRPr="00952F79">
        <w:rPr>
          <w:rFonts w:ascii="Times New Roman" w:hAnsi="Times New Roman"/>
          <w:szCs w:val="24"/>
        </w:rPr>
        <w:t>In pathology, the term pleomorphism is used to describe variability in the size, shape, and staining of cells within a sample. We performed a variance of variance analysis (Supplemental Figure 3) to identify key features that contributed the most variation in size, shape, and staining of CTCs within patient blood samples across the CTC contributing cohort. The same raw digital pathology features (</w:t>
      </w:r>
      <w:r w:rsidR="00C55D9E">
        <w:rPr>
          <w:rFonts w:ascii="Times New Roman" w:hAnsi="Times New Roman"/>
          <w:szCs w:val="24"/>
        </w:rPr>
        <w:t>Supplemental Figure 3</w:t>
      </w:r>
      <w:r w:rsidRPr="00952F79">
        <w:rPr>
          <w:rFonts w:ascii="Times New Roman" w:hAnsi="Times New Roman"/>
          <w:szCs w:val="24"/>
        </w:rPr>
        <w:t>A) utilized in</w:t>
      </w:r>
      <w:r w:rsidR="001930BC">
        <w:rPr>
          <w:rFonts w:ascii="Times New Roman" w:hAnsi="Times New Roman"/>
          <w:szCs w:val="24"/>
        </w:rPr>
        <w:t xml:space="preserve"> the</w:t>
      </w:r>
      <w:r w:rsidRPr="00952F79">
        <w:rPr>
          <w:rFonts w:ascii="Times New Roman" w:hAnsi="Times New Roman"/>
          <w:szCs w:val="24"/>
        </w:rPr>
        <w:t xml:space="preserve"> Shannon index </w:t>
      </w:r>
      <w:proofErr w:type="gramStart"/>
      <w:r w:rsidRPr="00952F79">
        <w:rPr>
          <w:rFonts w:ascii="Times New Roman" w:hAnsi="Times New Roman"/>
          <w:szCs w:val="24"/>
        </w:rPr>
        <w:t>were</w:t>
      </w:r>
      <w:proofErr w:type="gramEnd"/>
      <w:r w:rsidRPr="00952F79">
        <w:rPr>
          <w:rFonts w:ascii="Times New Roman" w:hAnsi="Times New Roman"/>
          <w:szCs w:val="24"/>
        </w:rPr>
        <w:t xml:space="preserve"> employed. First, the coefficient of variation (variance / mean) was calculated per digital pathology feature across the CTCs within each patient sample. Then, the variance of the aforementioned coefficients of variation was calculated across all samples in the clinical association cohort. Four features captured upwards of 85% of the variation in intra-sample CTC phenotypes across the cohort. The coefficients of variation of these four features was summed together to create the Pleomorphism index (Supplemental Figure 3</w:t>
      </w:r>
      <w:r w:rsidR="00C55D9E">
        <w:rPr>
          <w:rFonts w:ascii="Times New Roman" w:hAnsi="Times New Roman"/>
          <w:szCs w:val="24"/>
        </w:rPr>
        <w:t>B</w:t>
      </w:r>
      <w:r w:rsidRPr="00952F79">
        <w:rPr>
          <w:rFonts w:ascii="Times New Roman" w:hAnsi="Times New Roman"/>
          <w:szCs w:val="24"/>
        </w:rPr>
        <w:t xml:space="preserve">). Because calculating variance requires the presence of more than one CTC, a value of zero was assigned to a sample if zero or </w:t>
      </w:r>
      <w:proofErr w:type="gramStart"/>
      <w:r w:rsidRPr="00952F79">
        <w:rPr>
          <w:rFonts w:ascii="Times New Roman" w:hAnsi="Times New Roman"/>
          <w:szCs w:val="24"/>
        </w:rPr>
        <w:t>one CTCs</w:t>
      </w:r>
      <w:proofErr w:type="gramEnd"/>
      <w:r w:rsidRPr="00952F79">
        <w:rPr>
          <w:rFonts w:ascii="Times New Roman" w:hAnsi="Times New Roman"/>
          <w:szCs w:val="24"/>
        </w:rPr>
        <w:t xml:space="preserve"> were present. </w:t>
      </w:r>
      <w:r w:rsidR="006C23B1">
        <w:rPr>
          <w:rFonts w:ascii="Times New Roman" w:hAnsi="Times New Roman"/>
          <w:szCs w:val="24"/>
        </w:rPr>
        <w:t>A</w:t>
      </w:r>
      <w:r w:rsidRPr="00952F79">
        <w:rPr>
          <w:rFonts w:ascii="Times New Roman" w:hAnsi="Times New Roman"/>
          <w:szCs w:val="24"/>
        </w:rPr>
        <w:t xml:space="preserve">ll values were multiplied by a constant to normalize differences in the absolute numerical range of the Pleomorphism index relative to the Shannon index and facilitate easier biomarker comparisons. </w:t>
      </w:r>
    </w:p>
    <w:p w:rsidR="00553FDB" w:rsidRPr="00952F79" w:rsidRDefault="00952F79" w:rsidP="006C23B1">
      <w:pPr>
        <w:spacing w:line="240" w:lineRule="auto"/>
        <w:rPr>
          <w:rFonts w:ascii="Times New Roman" w:hAnsi="Times New Roman"/>
          <w:b/>
          <w:szCs w:val="20"/>
        </w:rPr>
      </w:pPr>
      <w:r w:rsidRPr="00952F79">
        <w:rPr>
          <w:rFonts w:ascii="Times New Roman" w:hAnsi="Times New Roman"/>
          <w:szCs w:val="24"/>
        </w:rPr>
        <w:t xml:space="preserve">Similar to analyzing entropy with Shannon index, we evaluated if the degree of CTC phenotypic variance measured with the Pleomorphism index within a sample had differential associations with </w:t>
      </w:r>
      <w:r w:rsidR="006C23B1">
        <w:rPr>
          <w:rFonts w:ascii="Times New Roman" w:hAnsi="Times New Roman"/>
          <w:szCs w:val="24"/>
        </w:rPr>
        <w:t xml:space="preserve">overall </w:t>
      </w:r>
      <w:r w:rsidRPr="00952F79">
        <w:rPr>
          <w:rFonts w:ascii="Times New Roman" w:hAnsi="Times New Roman"/>
          <w:szCs w:val="24"/>
        </w:rPr>
        <w:t>survival</w:t>
      </w:r>
      <w:r w:rsidR="006C23B1">
        <w:rPr>
          <w:rFonts w:ascii="Times New Roman" w:hAnsi="Times New Roman"/>
          <w:szCs w:val="24"/>
        </w:rPr>
        <w:t xml:space="preserve"> (OS)</w:t>
      </w:r>
      <w:r w:rsidRPr="00952F79">
        <w:rPr>
          <w:rFonts w:ascii="Times New Roman" w:hAnsi="Times New Roman"/>
          <w:szCs w:val="24"/>
        </w:rPr>
        <w:t xml:space="preserve"> for patients going onto targeted ARSI therapy or taxane chemotherapy</w:t>
      </w:r>
      <w:r w:rsidR="006C23B1">
        <w:rPr>
          <w:rFonts w:ascii="Times New Roman" w:hAnsi="Times New Roman"/>
          <w:szCs w:val="24"/>
        </w:rPr>
        <w:t xml:space="preserve"> (Supplemental Figure 4A-C)</w:t>
      </w:r>
      <w:r w:rsidRPr="00952F79">
        <w:rPr>
          <w:rFonts w:ascii="Times New Roman" w:hAnsi="Times New Roman"/>
          <w:szCs w:val="24"/>
        </w:rPr>
        <w:t>.</w:t>
      </w:r>
      <w:r w:rsidR="006C23B1">
        <w:rPr>
          <w:rFonts w:ascii="Times New Roman" w:hAnsi="Times New Roman"/>
          <w:szCs w:val="24"/>
        </w:rPr>
        <w:t xml:space="preserve"> W</w:t>
      </w:r>
      <w:r w:rsidR="006C23B1" w:rsidRPr="00952F79">
        <w:rPr>
          <w:rFonts w:ascii="Times New Roman" w:hAnsi="Times New Roman"/>
          <w:szCs w:val="24"/>
        </w:rPr>
        <w:t>e also evaluated if the relationship between CTC feature variance (Pleomorphism index), OS, and therapy class remained significant in the context of multivariate Cox PH models correcting for potential imbalances between the pre-ARSI and pre-tax</w:t>
      </w:r>
      <w:r w:rsidR="006C23B1">
        <w:rPr>
          <w:rFonts w:ascii="Times New Roman" w:hAnsi="Times New Roman"/>
          <w:szCs w:val="24"/>
        </w:rPr>
        <w:t>ane patient samples (Supplemental Figure 4D-E</w:t>
      </w:r>
      <w:r w:rsidR="006C23B1" w:rsidRPr="00952F79">
        <w:rPr>
          <w:rFonts w:ascii="Times New Roman" w:hAnsi="Times New Roman"/>
          <w:szCs w:val="24"/>
        </w:rPr>
        <w:t xml:space="preserve">). </w:t>
      </w:r>
    </w:p>
    <w:p w:rsidR="00286FAE" w:rsidRDefault="00205C4D" w:rsidP="00D55158">
      <w:pPr>
        <w:pStyle w:val="NormalWeb"/>
        <w:spacing w:before="0" w:beforeAutospacing="0" w:after="0" w:afterAutospacing="0"/>
        <w:rPr>
          <w:rFonts w:ascii="Arial" w:hAnsi="Arial" w:cs="Arial"/>
          <w:b/>
          <w:bCs/>
          <w:color w:val="000000"/>
          <w:kern w:val="24"/>
          <w:sz w:val="20"/>
          <w:szCs w:val="20"/>
        </w:rPr>
      </w:pPr>
      <w:r>
        <w:rPr>
          <w:iCs/>
          <w:noProof/>
        </w:rPr>
        <w:lastRenderedPageBreak/>
        <w:drawing>
          <wp:inline distT="0" distB="0" distL="0" distR="0">
            <wp:extent cx="7658100" cy="3743325"/>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7" cstate="print"/>
                    <a:srcRect l="-1680" t="-3246" r="-414" b="-2859"/>
                    <a:stretch>
                      <a:fillRect/>
                    </a:stretch>
                  </pic:blipFill>
                  <pic:spPr bwMode="auto">
                    <a:xfrm>
                      <a:off x="0" y="0"/>
                      <a:ext cx="7658100" cy="3743325"/>
                    </a:xfrm>
                    <a:prstGeom prst="rect">
                      <a:avLst/>
                    </a:prstGeom>
                    <a:noFill/>
                    <a:ln w="9525">
                      <a:noFill/>
                      <a:miter lim="800000"/>
                      <a:headEnd/>
                      <a:tailEnd/>
                    </a:ln>
                  </pic:spPr>
                </pic:pic>
              </a:graphicData>
            </a:graphic>
          </wp:inline>
        </w:drawing>
      </w:r>
    </w:p>
    <w:p w:rsidR="00286FAE" w:rsidRDefault="00286FAE" w:rsidP="00D55158">
      <w:pPr>
        <w:pStyle w:val="NormalWeb"/>
        <w:spacing w:before="0" w:beforeAutospacing="0" w:after="0" w:afterAutospacing="0"/>
        <w:rPr>
          <w:rFonts w:ascii="Arial" w:hAnsi="Arial" w:cs="Arial"/>
          <w:b/>
          <w:bCs/>
          <w:color w:val="000000"/>
          <w:kern w:val="24"/>
          <w:sz w:val="20"/>
          <w:szCs w:val="20"/>
        </w:rPr>
      </w:pPr>
    </w:p>
    <w:p w:rsidR="00286FAE" w:rsidRDefault="00286FAE" w:rsidP="00D55158">
      <w:pPr>
        <w:pStyle w:val="NormalWeb"/>
        <w:spacing w:before="0" w:beforeAutospacing="0" w:after="0" w:afterAutospacing="0"/>
        <w:rPr>
          <w:rFonts w:ascii="Arial" w:hAnsi="Arial" w:cs="Arial"/>
          <w:b/>
          <w:bCs/>
          <w:color w:val="000000"/>
          <w:kern w:val="24"/>
          <w:sz w:val="20"/>
          <w:szCs w:val="20"/>
        </w:rPr>
      </w:pPr>
    </w:p>
    <w:p w:rsidR="00FA5F9F" w:rsidRDefault="00FA5F9F" w:rsidP="000260B4">
      <w:pPr>
        <w:spacing w:after="0" w:line="240" w:lineRule="auto"/>
        <w:rPr>
          <w:rFonts w:ascii="Times New Roman" w:hAnsi="Times New Roman"/>
          <w:b/>
          <w:sz w:val="24"/>
          <w:szCs w:val="24"/>
        </w:rPr>
      </w:pPr>
    </w:p>
    <w:p w:rsidR="00205C4D" w:rsidRPr="00205C4D" w:rsidRDefault="00205C4D" w:rsidP="000260B4">
      <w:pPr>
        <w:spacing w:after="0" w:line="240" w:lineRule="auto"/>
        <w:rPr>
          <w:rFonts w:ascii="Times New Roman" w:hAnsi="Times New Roman"/>
          <w:iCs/>
          <w:sz w:val="24"/>
          <w:szCs w:val="24"/>
        </w:rPr>
      </w:pPr>
      <w:r w:rsidRPr="00205C4D">
        <w:rPr>
          <w:rFonts w:ascii="Times New Roman" w:hAnsi="Times New Roman"/>
          <w:b/>
          <w:sz w:val="24"/>
          <w:szCs w:val="24"/>
        </w:rPr>
        <w:t>Supplemental Figure 1: Hypothesis: Pre-therapy CTC Phenotypic Heterogeneity Associates with Differential Outcomes on Pathway-Specific Hormonal Therapeutics and Non-Pathway-Specific Chemotherapy</w:t>
      </w:r>
      <w:r w:rsidRPr="00205C4D">
        <w:rPr>
          <w:rFonts w:ascii="Times New Roman" w:hAnsi="Times New Roman"/>
          <w:b/>
          <w:i/>
          <w:iCs/>
          <w:sz w:val="24"/>
          <w:szCs w:val="24"/>
        </w:rPr>
        <w:t xml:space="preserve">. </w:t>
      </w:r>
      <w:r w:rsidRPr="00205C4D">
        <w:rPr>
          <w:rFonts w:ascii="Times New Roman" w:hAnsi="Times New Roman"/>
          <w:iCs/>
          <w:sz w:val="24"/>
          <w:szCs w:val="24"/>
        </w:rPr>
        <w:t xml:space="preserve">Shown is a representation of the central hypothesis. It has been proposed that </w:t>
      </w:r>
      <w:r w:rsidRPr="00205C4D">
        <w:rPr>
          <w:rFonts w:ascii="Times New Roman" w:hAnsi="Times New Roman"/>
          <w:b/>
          <w:iCs/>
          <w:sz w:val="24"/>
          <w:szCs w:val="24"/>
        </w:rPr>
        <w:t xml:space="preserve">(A) </w:t>
      </w:r>
      <w:r w:rsidRPr="00205C4D">
        <w:rPr>
          <w:rFonts w:ascii="Times New Roman" w:hAnsi="Times New Roman"/>
          <w:iCs/>
          <w:sz w:val="24"/>
          <w:szCs w:val="24"/>
        </w:rPr>
        <w:t xml:space="preserve">patients with disseminated but relatively non-heterogeneous disease would have strong responses to an appropriately targeted agent, </w:t>
      </w:r>
      <w:r w:rsidRPr="00205C4D">
        <w:rPr>
          <w:rFonts w:ascii="Times New Roman" w:hAnsi="Times New Roman"/>
          <w:b/>
          <w:iCs/>
          <w:sz w:val="24"/>
          <w:szCs w:val="24"/>
        </w:rPr>
        <w:t xml:space="preserve">(B) </w:t>
      </w:r>
      <w:r w:rsidRPr="00205C4D">
        <w:rPr>
          <w:rFonts w:ascii="Times New Roman" w:hAnsi="Times New Roman"/>
          <w:iCs/>
          <w:sz w:val="24"/>
          <w:szCs w:val="24"/>
        </w:rPr>
        <w:t>while those with heterogeneous disease</w:t>
      </w:r>
      <w:r w:rsidRPr="00205C4D">
        <w:rPr>
          <w:rFonts w:ascii="Times New Roman" w:hAnsi="Times New Roman"/>
          <w:b/>
          <w:iCs/>
          <w:sz w:val="24"/>
          <w:szCs w:val="24"/>
        </w:rPr>
        <w:t xml:space="preserve"> </w:t>
      </w:r>
      <w:r w:rsidRPr="00205C4D">
        <w:rPr>
          <w:rFonts w:ascii="Times New Roman" w:hAnsi="Times New Roman"/>
          <w:iCs/>
          <w:sz w:val="24"/>
          <w:szCs w:val="24"/>
        </w:rPr>
        <w:t xml:space="preserve">would not. Conversely, a non-pathway-specific agent would have anti-tumor effects in patients with relatively </w:t>
      </w:r>
      <w:r w:rsidRPr="00205C4D">
        <w:rPr>
          <w:rFonts w:ascii="Times New Roman" w:hAnsi="Times New Roman"/>
          <w:b/>
          <w:iCs/>
          <w:sz w:val="24"/>
          <w:szCs w:val="24"/>
        </w:rPr>
        <w:t>(C)</w:t>
      </w:r>
      <w:r w:rsidRPr="00205C4D">
        <w:rPr>
          <w:rFonts w:ascii="Times New Roman" w:hAnsi="Times New Roman"/>
          <w:iCs/>
          <w:sz w:val="24"/>
          <w:szCs w:val="24"/>
        </w:rPr>
        <w:t xml:space="preserve"> low or </w:t>
      </w:r>
      <w:r w:rsidRPr="00205C4D">
        <w:rPr>
          <w:rFonts w:ascii="Times New Roman" w:hAnsi="Times New Roman"/>
          <w:b/>
          <w:iCs/>
          <w:sz w:val="24"/>
          <w:szCs w:val="24"/>
        </w:rPr>
        <w:t>(D)</w:t>
      </w:r>
      <w:r w:rsidRPr="00205C4D">
        <w:rPr>
          <w:rFonts w:ascii="Times New Roman" w:hAnsi="Times New Roman"/>
          <w:iCs/>
          <w:sz w:val="24"/>
          <w:szCs w:val="24"/>
        </w:rPr>
        <w:t xml:space="preserve"> high intra-patient heterogeneity. </w:t>
      </w:r>
    </w:p>
    <w:p w:rsidR="00286FAE" w:rsidRDefault="00286FAE" w:rsidP="00D55158">
      <w:pPr>
        <w:pStyle w:val="NormalWeb"/>
        <w:spacing w:before="0" w:beforeAutospacing="0" w:after="0" w:afterAutospacing="0"/>
        <w:rPr>
          <w:rFonts w:ascii="Arial" w:hAnsi="Arial" w:cs="Arial"/>
          <w:b/>
          <w:bCs/>
          <w:color w:val="000000"/>
          <w:kern w:val="24"/>
          <w:sz w:val="20"/>
          <w:szCs w:val="20"/>
        </w:rPr>
      </w:pPr>
    </w:p>
    <w:p w:rsidR="00286FAE" w:rsidRDefault="00286FAE" w:rsidP="00D55158">
      <w:pPr>
        <w:pStyle w:val="NormalWeb"/>
        <w:spacing w:before="0" w:beforeAutospacing="0" w:after="0" w:afterAutospacing="0"/>
        <w:rPr>
          <w:rFonts w:ascii="Arial" w:hAnsi="Arial" w:cs="Arial"/>
          <w:b/>
          <w:bCs/>
          <w:color w:val="000000"/>
          <w:kern w:val="24"/>
          <w:sz w:val="20"/>
          <w:szCs w:val="20"/>
        </w:rPr>
      </w:pPr>
    </w:p>
    <w:p w:rsidR="00286FAE" w:rsidRDefault="00286FAE" w:rsidP="00D55158">
      <w:pPr>
        <w:pStyle w:val="NormalWeb"/>
        <w:spacing w:before="0" w:beforeAutospacing="0" w:after="0" w:afterAutospacing="0"/>
        <w:rPr>
          <w:rFonts w:ascii="Arial" w:hAnsi="Arial" w:cs="Arial"/>
          <w:b/>
          <w:bCs/>
          <w:color w:val="000000"/>
          <w:kern w:val="24"/>
          <w:sz w:val="20"/>
          <w:szCs w:val="20"/>
        </w:rPr>
      </w:pPr>
    </w:p>
    <w:p w:rsidR="00286FAE" w:rsidRDefault="00286FAE" w:rsidP="00D55158">
      <w:pPr>
        <w:pStyle w:val="NormalWeb"/>
        <w:spacing w:before="0" w:beforeAutospacing="0" w:after="0" w:afterAutospacing="0"/>
        <w:rPr>
          <w:rFonts w:ascii="Arial" w:hAnsi="Arial" w:cs="Arial"/>
          <w:b/>
          <w:bCs/>
          <w:color w:val="000000"/>
          <w:kern w:val="24"/>
          <w:sz w:val="20"/>
          <w:szCs w:val="20"/>
        </w:rPr>
      </w:pPr>
    </w:p>
    <w:p w:rsidR="00F151DC" w:rsidRDefault="00F151DC" w:rsidP="00F151DC">
      <w:pPr>
        <w:jc w:val="both"/>
        <w:rPr>
          <w:rFonts w:ascii="Arial" w:hAnsi="Arial" w:cs="Arial"/>
          <w:b/>
          <w:sz w:val="20"/>
          <w:szCs w:val="20"/>
        </w:rPr>
      </w:pPr>
    </w:p>
    <w:p w:rsidR="00F151DC" w:rsidRDefault="00F151DC" w:rsidP="00F151DC">
      <w:pPr>
        <w:jc w:val="both"/>
        <w:rPr>
          <w:rFonts w:ascii="Arial" w:hAnsi="Arial" w:cs="Arial"/>
          <w:b/>
          <w:sz w:val="20"/>
          <w:szCs w:val="20"/>
        </w:rPr>
      </w:pPr>
    </w:p>
    <w:p w:rsidR="00205C4D" w:rsidRPr="00A43569" w:rsidRDefault="00A64403" w:rsidP="00205C4D">
      <w:pPr>
        <w:spacing w:line="480" w:lineRule="auto"/>
        <w:jc w:val="both"/>
        <w:rPr>
          <w:b/>
        </w:rPr>
      </w:pPr>
      <w:bookmarkStart w:id="0" w:name="_GoBack"/>
      <w:bookmarkEnd w:id="0"/>
      <w:r>
        <w:rPr>
          <w:b/>
          <w:noProof/>
        </w:rPr>
        <w:pict>
          <v:group id="Group 4" o:spid="_x0000_s1028" style="position:absolute;left:0;text-align:left;margin-left:-24.1pt;margin-top:28.45pt;width:296.7pt;height:36.5pt;z-index:251662336" coordorigin="345169,1423070" coordsize="3654521,468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">
            <v:shapetype id="_x0000_t202" coordsize="21600,21600" o:spt="202" path="m,l,21600r21600,l21600,xe">
              <v:stroke joinstyle="miter"/>
              <v:path gradientshapeok="t" o:connecttype="rect"/>
            </v:shapetype>
            <v:shape id="Text Box 92" o:spid="_x0000_s1029" type="#_x0000_t202" style="position:absolute;left:3471897;top:1423070;width:527793;height:468077;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cJtwwAA&#10;ANsAAAAPAAAAZHJzL2Rvd25yZXYueG1sRI/RasJAFETfhf7Dcgu+6cZQi0ZXKbaCb9a0H3DJXrNp&#10;sndDdqvRr3cFwcdhZs4wy3VvG3GizleOFUzGCQjiwumKSwW/P9vRDIQPyBobx6TgQh7Wq5fBEjPt&#10;znygUx5KESHsM1RgQmgzKX1hyKIfu5Y4ekfXWQxRdqXUHZ4j3DYyTZJ3abHiuGCwpY2hos7/rYJZ&#10;Yvd1PU+/vX27TqZm8+m+2j+lhq/9xwJEoD48w4/2TiuYp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cJtwwAAANsAAAAPAAAAAAAAAAAAAAAAAJcCAABkcnMvZG93&#10;bnJldi54bWxQSwUGAAAAAAQABAD1AAAAhwMAAAAA&#10;" filled="f" stroked="f">
              <v:textbox style="mso-next-textbox:#Text Box 92;mso-fit-shape-to-text:t">
                <w:txbxContent>
                  <w:p w:rsidR="002E1DD2" w:rsidRDefault="002E1DD2" w:rsidP="00205C4D">
                    <w:pPr>
                      <w:pStyle w:val="NormalWeb"/>
                      <w:spacing w:before="0" w:beforeAutospacing="0" w:after="0" w:afterAutospacing="0"/>
                    </w:pPr>
                    <w:r w:rsidRPr="002E1CED">
                      <w:rPr>
                        <w:rFonts w:ascii="Calibri Light" w:hAnsi="Calibri Light" w:cs="Calibri Light"/>
                        <w:b/>
                        <w:bCs/>
                        <w:color w:val="000000"/>
                        <w:kern w:val="24"/>
                        <w:sz w:val="48"/>
                        <w:szCs w:val="48"/>
                      </w:rPr>
                      <w:t>(B)</w:t>
                    </w:r>
                  </w:p>
                </w:txbxContent>
              </v:textbox>
            </v:shape>
            <v:shape id="Text Box 93" o:spid="_x0000_s1030" type="#_x0000_t202" style="position:absolute;left:345169;top:1423070;width:540726;height:468077;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Wf2wwAA&#10;ANsAAAAPAAAAZHJzL2Rvd25yZXYueG1sRI/BbsIwEETvSPyDtZV6AwdKKwgYhChIvZUGPmAVL3Ga&#10;eB3FLgS+HldC4jiamTeaxaqztThT60vHCkbDBARx7nTJhYLjYTeYgvABWWPtmBRcycNq2e8tMNXu&#10;wj90zkIhIoR9igpMCE0qpc8NWfRD1xBH7+RaiyHKtpC6xUuE21qOk+RDWiw5LhhsaGMor7I/q2Ca&#10;2O+qmo333k5uo3ez+XTb5lep15duPQcRqAvP8KP9pRXM3uD/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QWf2wwAAANsAAAAPAAAAAAAAAAAAAAAAAJcCAABkcnMvZG93&#10;bnJldi54bWxQSwUGAAAAAAQABAD1AAAAhwMAAAAA&#10;" filled="f" stroked="f">
              <v:textbox style="mso-next-textbox:#Text Box 93;mso-fit-shape-to-text:t">
                <w:txbxContent>
                  <w:p w:rsidR="002E1DD2" w:rsidRDefault="002E1DD2" w:rsidP="00205C4D">
                    <w:pPr>
                      <w:pStyle w:val="NormalWeb"/>
                      <w:spacing w:before="0" w:beforeAutospacing="0" w:after="0" w:afterAutospacing="0"/>
                    </w:pPr>
                    <w:r w:rsidRPr="002E1CED">
                      <w:rPr>
                        <w:rFonts w:ascii="Calibri Light" w:hAnsi="Calibri Light" w:cs="Calibri Light"/>
                        <w:b/>
                        <w:bCs/>
                        <w:color w:val="000000"/>
                        <w:kern w:val="24"/>
                        <w:sz w:val="48"/>
                        <w:szCs w:val="48"/>
                      </w:rPr>
                      <w:t>(A)</w:t>
                    </w:r>
                  </w:p>
                </w:txbxContent>
              </v:textbox>
            </v:shape>
          </v:group>
        </w:pict>
      </w:r>
      <w:r w:rsidR="00205C4D" w:rsidRPr="00F151DC">
        <w:rPr>
          <w:b/>
        </w:rPr>
        <w:t xml:space="preserve"> </w:t>
      </w:r>
    </w:p>
    <w:p w:rsidR="00205C4D" w:rsidRDefault="00952F79" w:rsidP="00205C4D">
      <w:pPr>
        <w:pStyle w:val="NormalWeb"/>
        <w:spacing w:before="0" w:beforeAutospacing="0" w:after="0" w:afterAutospacing="0" w:line="480" w:lineRule="auto"/>
        <w:rPr>
          <w:rFonts w:ascii="Arial" w:hAnsi="Arial" w:cs="Arial"/>
          <w:b/>
          <w:bCs/>
          <w:color w:val="000000"/>
          <w:kern w:val="24"/>
          <w:sz w:val="20"/>
          <w:szCs w:val="20"/>
        </w:rPr>
      </w:pPr>
      <w:r>
        <w:rPr>
          <w:rFonts w:ascii="Arial" w:hAnsi="Arial" w:cs="Arial"/>
          <w:b/>
          <w:bCs/>
          <w:noProof/>
          <w:color w:val="000000"/>
          <w:kern w:val="24"/>
          <w:sz w:val="20"/>
          <w:szCs w:val="20"/>
        </w:rPr>
        <w:drawing>
          <wp:anchor distT="0" distB="0" distL="114300" distR="114300" simplePos="0" relativeHeight="251661312" behindDoc="0" locked="0" layoutInCell="1" allowOverlap="1">
            <wp:simplePos x="0" y="0"/>
            <wp:positionH relativeFrom="column">
              <wp:posOffset>4274820</wp:posOffset>
            </wp:positionH>
            <wp:positionV relativeFrom="paragraph">
              <wp:posOffset>1111885</wp:posOffset>
            </wp:positionV>
            <wp:extent cx="342900" cy="8991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42900" cy="899160"/>
                    </a:xfrm>
                    <a:prstGeom prst="rect">
                      <a:avLst/>
                    </a:prstGeom>
                    <a:noFill/>
                    <a:ln w="9525">
                      <a:noFill/>
                      <a:miter lim="800000"/>
                      <a:headEnd/>
                      <a:tailEnd/>
                    </a:ln>
                  </pic:spPr>
                </pic:pic>
              </a:graphicData>
            </a:graphic>
          </wp:anchor>
        </w:drawing>
      </w:r>
      <w:r>
        <w:rPr>
          <w:rFonts w:ascii="Arial" w:hAnsi="Arial" w:cs="Arial"/>
          <w:b/>
          <w:bCs/>
          <w:noProof/>
          <w:color w:val="000000"/>
          <w:kern w:val="24"/>
          <w:sz w:val="20"/>
          <w:szCs w:val="20"/>
        </w:rPr>
        <w:drawing>
          <wp:anchor distT="0" distB="0" distL="114300" distR="114300" simplePos="0" relativeHeight="251660288" behindDoc="0" locked="0" layoutInCell="1" allowOverlap="1">
            <wp:simplePos x="0" y="0"/>
            <wp:positionH relativeFrom="column">
              <wp:posOffset>1601470</wp:posOffset>
            </wp:positionH>
            <wp:positionV relativeFrom="paragraph">
              <wp:posOffset>1250315</wp:posOffset>
            </wp:positionV>
            <wp:extent cx="343535" cy="90678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43535" cy="906780"/>
                    </a:xfrm>
                    <a:prstGeom prst="rect">
                      <a:avLst/>
                    </a:prstGeom>
                    <a:noFill/>
                    <a:ln w="9525">
                      <a:noFill/>
                      <a:miter lim="800000"/>
                      <a:headEnd/>
                      <a:tailEnd/>
                    </a:ln>
                  </pic:spPr>
                </pic:pic>
              </a:graphicData>
            </a:graphic>
          </wp:anchor>
        </w:drawing>
      </w:r>
      <w:r>
        <w:rPr>
          <w:rFonts w:ascii="Arial" w:hAnsi="Arial" w:cs="Arial"/>
          <w:b/>
          <w:noProof/>
          <w:color w:val="000000"/>
          <w:kern w:val="24"/>
          <w:sz w:val="20"/>
          <w:szCs w:val="20"/>
        </w:rPr>
        <w:drawing>
          <wp:inline distT="0" distB="0" distL="0" distR="0">
            <wp:extent cx="2772410" cy="2514600"/>
            <wp:effectExtent l="19050" t="0" r="889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r="1923" b="-3735"/>
                    <a:stretch>
                      <a:fillRect/>
                    </a:stretch>
                  </pic:blipFill>
                  <pic:spPr bwMode="auto">
                    <a:xfrm>
                      <a:off x="0" y="0"/>
                      <a:ext cx="2772410" cy="2514600"/>
                    </a:xfrm>
                    <a:prstGeom prst="rect">
                      <a:avLst/>
                    </a:prstGeom>
                    <a:noFill/>
                    <a:ln w="9525">
                      <a:noFill/>
                      <a:miter lim="800000"/>
                      <a:headEnd/>
                      <a:tailEnd/>
                    </a:ln>
                  </pic:spPr>
                </pic:pic>
              </a:graphicData>
            </a:graphic>
          </wp:inline>
        </w:drawing>
      </w:r>
      <w:r w:rsidR="00205C4D">
        <w:rPr>
          <w:rFonts w:ascii="Calibri" w:eastAsia="Calibri" w:hAnsi="Calibri"/>
          <w:noProof/>
          <w:sz w:val="22"/>
          <w:szCs w:val="22"/>
        </w:rPr>
        <w:t xml:space="preserve">   </w:t>
      </w:r>
      <w:r>
        <w:rPr>
          <w:rFonts w:ascii="Calibri" w:eastAsia="Calibri" w:hAnsi="Calibri"/>
          <w:noProof/>
          <w:sz w:val="22"/>
          <w:szCs w:val="22"/>
        </w:rPr>
        <w:t xml:space="preserve">    </w:t>
      </w:r>
      <w:r w:rsidR="00205C4D">
        <w:rPr>
          <w:rFonts w:ascii="Calibri" w:eastAsia="Calibri" w:hAnsi="Calibri"/>
          <w:noProof/>
          <w:sz w:val="22"/>
          <w:szCs w:val="22"/>
        </w:rPr>
        <w:t xml:space="preserve"> </w:t>
      </w:r>
      <w:r>
        <w:rPr>
          <w:rFonts w:ascii="Calibri" w:eastAsia="Calibri" w:hAnsi="Calibri"/>
          <w:noProof/>
          <w:sz w:val="22"/>
          <w:szCs w:val="22"/>
        </w:rPr>
        <w:t xml:space="preserve">        </w:t>
      </w:r>
      <w:r w:rsidR="00205C4D">
        <w:rPr>
          <w:rFonts w:ascii="Calibri" w:eastAsia="Calibri" w:hAnsi="Calibri"/>
          <w:noProof/>
          <w:sz w:val="22"/>
          <w:szCs w:val="22"/>
        </w:rPr>
        <w:drawing>
          <wp:inline distT="0" distB="0" distL="0" distR="0">
            <wp:extent cx="2614295" cy="252031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14295" cy="2520315"/>
                    </a:xfrm>
                    <a:prstGeom prst="rect">
                      <a:avLst/>
                    </a:prstGeom>
                    <a:noFill/>
                    <a:ln w="9525">
                      <a:noFill/>
                      <a:miter lim="800000"/>
                      <a:headEnd/>
                      <a:tailEnd/>
                    </a:ln>
                  </pic:spPr>
                </pic:pic>
              </a:graphicData>
            </a:graphic>
          </wp:inline>
        </w:drawing>
      </w:r>
      <w:r w:rsidR="00205C4D">
        <w:rPr>
          <w:rFonts w:ascii="Calibri" w:eastAsia="Calibri" w:hAnsi="Calibri"/>
          <w:noProof/>
          <w:sz w:val="22"/>
          <w:szCs w:val="22"/>
        </w:rPr>
        <w:t xml:space="preserve">        </w:t>
      </w:r>
    </w:p>
    <w:p w:rsidR="00205C4D" w:rsidRDefault="00205C4D" w:rsidP="00205C4D">
      <w:pPr>
        <w:spacing w:line="480" w:lineRule="auto"/>
        <w:rPr>
          <w:b/>
          <w:sz w:val="24"/>
          <w:szCs w:val="24"/>
        </w:rPr>
      </w:pPr>
    </w:p>
    <w:p w:rsidR="00FA5F9F" w:rsidRDefault="00FA5F9F" w:rsidP="000260B4">
      <w:pPr>
        <w:spacing w:line="240" w:lineRule="auto"/>
        <w:rPr>
          <w:rFonts w:ascii="Times New Roman" w:hAnsi="Times New Roman"/>
          <w:b/>
          <w:sz w:val="24"/>
          <w:szCs w:val="24"/>
        </w:rPr>
      </w:pPr>
    </w:p>
    <w:p w:rsidR="00952F79" w:rsidRPr="00952F79" w:rsidRDefault="00952F79" w:rsidP="000260B4">
      <w:pPr>
        <w:spacing w:line="240" w:lineRule="auto"/>
        <w:rPr>
          <w:rFonts w:ascii="Times New Roman" w:hAnsi="Times New Roman"/>
          <w:sz w:val="24"/>
          <w:szCs w:val="24"/>
        </w:rPr>
      </w:pPr>
      <w:r w:rsidRPr="00952F79">
        <w:rPr>
          <w:rFonts w:ascii="Times New Roman" w:hAnsi="Times New Roman"/>
          <w:b/>
          <w:sz w:val="24"/>
          <w:szCs w:val="24"/>
        </w:rPr>
        <w:t>Supplemental Figure 2: Principal Component Analysis and k-selection for Unsupervised Clustering of CTCs for Phenotypic Subtype Classification.</w:t>
      </w:r>
      <w:r w:rsidRPr="00952F79">
        <w:rPr>
          <w:rFonts w:ascii="Times New Roman" w:hAnsi="Times New Roman"/>
          <w:sz w:val="24"/>
          <w:szCs w:val="24"/>
        </w:rPr>
        <w:t xml:space="preserve"> Principle components of </w:t>
      </w:r>
      <w:r w:rsidRPr="00952F79">
        <w:rPr>
          <w:rFonts w:ascii="Times New Roman" w:hAnsi="Times New Roman"/>
          <w:b/>
          <w:sz w:val="24"/>
          <w:szCs w:val="24"/>
        </w:rPr>
        <w:t>(A)</w:t>
      </w:r>
      <w:r w:rsidRPr="00952F79">
        <w:rPr>
          <w:rFonts w:ascii="Times New Roman" w:hAnsi="Times New Roman"/>
          <w:sz w:val="24"/>
          <w:szCs w:val="24"/>
        </w:rPr>
        <w:t xml:space="preserve"> z-score transformed raw data from all 9225 CTCs in the CTC Contributing Cohort. Arrow indicates 6th principle component, associated with 85% total variance of data. </w:t>
      </w:r>
      <w:r w:rsidRPr="00952F79">
        <w:rPr>
          <w:rFonts w:ascii="Times New Roman" w:hAnsi="Times New Roman"/>
          <w:b/>
          <w:sz w:val="24"/>
          <w:szCs w:val="24"/>
        </w:rPr>
        <w:t>(B)</w:t>
      </w:r>
      <w:r w:rsidRPr="00952F79">
        <w:rPr>
          <w:rFonts w:ascii="Times New Roman" w:hAnsi="Times New Roman"/>
          <w:sz w:val="24"/>
          <w:szCs w:val="24"/>
        </w:rPr>
        <w:t xml:space="preserve"> Plotted reduction in within-group sum of squares by increasing k clusters. Arrow indicates chosen “elbow” of flat-lined rate of decrease in within-group sum of squares, at k = 15. </w:t>
      </w:r>
    </w:p>
    <w:p w:rsidR="00205C4D" w:rsidRPr="00205C4D" w:rsidRDefault="00205C4D" w:rsidP="00205C4D">
      <w:pPr>
        <w:spacing w:line="480" w:lineRule="auto"/>
        <w:rPr>
          <w:rFonts w:ascii="Times New Roman" w:hAnsi="Times New Roman"/>
          <w:sz w:val="24"/>
          <w:szCs w:val="24"/>
        </w:rPr>
      </w:pPr>
    </w:p>
    <w:p w:rsidR="00205C4D" w:rsidRDefault="00205C4D" w:rsidP="00205C4D">
      <w:pPr>
        <w:spacing w:line="480" w:lineRule="auto"/>
        <w:jc w:val="both"/>
        <w:rPr>
          <w:rFonts w:ascii="Times New Roman" w:hAnsi="Times New Roman"/>
          <w:sz w:val="24"/>
          <w:szCs w:val="24"/>
        </w:rPr>
      </w:pPr>
    </w:p>
    <w:p w:rsidR="008E4DC5" w:rsidRDefault="00FA5F9F" w:rsidP="00205C4D">
      <w:pPr>
        <w:spacing w:line="480" w:lineRule="auto"/>
        <w:jc w:val="both"/>
        <w:rPr>
          <w:rFonts w:ascii="Times New Roman" w:hAnsi="Times New Roman"/>
          <w:sz w:val="24"/>
          <w:szCs w:val="24"/>
        </w:rPr>
      </w:pPr>
      <w:r w:rsidRPr="00FA5F9F">
        <w:rPr>
          <w:noProof/>
        </w:rPr>
        <w:lastRenderedPageBreak/>
        <w:t xml:space="preserve"> </w:t>
      </w:r>
      <w:r w:rsidRPr="00FA5F9F">
        <w:rPr>
          <w:rFonts w:ascii="Times New Roman" w:hAnsi="Times New Roman"/>
          <w:noProof/>
          <w:sz w:val="24"/>
          <w:szCs w:val="24"/>
        </w:rPr>
        <w:drawing>
          <wp:inline distT="0" distB="0" distL="0" distR="0">
            <wp:extent cx="7839075" cy="4714875"/>
            <wp:effectExtent l="19050" t="0" r="9525" b="0"/>
            <wp:docPr id="5"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stretch>
                      <a:fillRect/>
                    </a:stretch>
                  </pic:blipFill>
                  <pic:spPr>
                    <a:xfrm>
                      <a:off x="0" y="0"/>
                      <a:ext cx="7839075" cy="4714875"/>
                    </a:xfrm>
                    <a:prstGeom prst="rect">
                      <a:avLst/>
                    </a:prstGeom>
                  </pic:spPr>
                </pic:pic>
              </a:graphicData>
            </a:graphic>
          </wp:inline>
        </w:drawing>
      </w:r>
    </w:p>
    <w:p w:rsidR="008E4DC5" w:rsidRDefault="00FA5F9F" w:rsidP="00FA5F9F">
      <w:pPr>
        <w:spacing w:line="240" w:lineRule="auto"/>
        <w:jc w:val="both"/>
        <w:rPr>
          <w:rFonts w:ascii="Times New Roman" w:hAnsi="Times New Roman"/>
          <w:sz w:val="24"/>
          <w:szCs w:val="24"/>
        </w:rPr>
      </w:pPr>
      <w:r w:rsidRPr="00FA5F9F">
        <w:rPr>
          <w:rFonts w:ascii="Times New Roman" w:hAnsi="Times New Roman"/>
          <w:b/>
          <w:bCs/>
          <w:sz w:val="24"/>
          <w:szCs w:val="24"/>
        </w:rPr>
        <w:t xml:space="preserve">Supplemental Figure 3: Correlations between Shannon index and </w:t>
      </w:r>
      <w:r>
        <w:rPr>
          <w:rFonts w:ascii="Times New Roman" w:hAnsi="Times New Roman"/>
          <w:b/>
          <w:bCs/>
          <w:sz w:val="24"/>
          <w:szCs w:val="24"/>
        </w:rPr>
        <w:t>Other Pre-therapy F</w:t>
      </w:r>
      <w:r w:rsidRPr="00FA5F9F">
        <w:rPr>
          <w:rFonts w:ascii="Times New Roman" w:hAnsi="Times New Roman"/>
          <w:b/>
          <w:bCs/>
          <w:sz w:val="24"/>
          <w:szCs w:val="24"/>
        </w:rPr>
        <w:t xml:space="preserve">eatures. </w:t>
      </w:r>
      <w:r w:rsidR="00D01727" w:rsidRPr="00FA5F9F">
        <w:rPr>
          <w:rFonts w:ascii="Times New Roman" w:hAnsi="Times New Roman"/>
          <w:sz w:val="24"/>
          <w:szCs w:val="24"/>
        </w:rPr>
        <w:t>Matrices</w:t>
      </w:r>
      <w:r w:rsidRPr="00FA5F9F">
        <w:rPr>
          <w:rFonts w:ascii="Times New Roman" w:hAnsi="Times New Roman"/>
          <w:sz w:val="24"/>
          <w:szCs w:val="24"/>
        </w:rPr>
        <w:t xml:space="preserve"> comparing Shannon index to continuous and categorical pre-clinical features with scatter plots and box and whisker plots, respectively. Boxes represent the inter-quartile range. </w:t>
      </w:r>
    </w:p>
    <w:p w:rsidR="008E4DC5" w:rsidRDefault="00C66003" w:rsidP="00205C4D">
      <w:pPr>
        <w:spacing w:line="48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023485" cy="4529455"/>
            <wp:effectExtent l="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023485" cy="4529455"/>
                    </a:xfrm>
                    <a:prstGeom prst="rect">
                      <a:avLst/>
                    </a:prstGeom>
                    <a:noFill/>
                  </pic:spPr>
                </pic:pic>
              </a:graphicData>
            </a:graphic>
          </wp:inline>
        </w:drawing>
      </w:r>
    </w:p>
    <w:p w:rsidR="008E4DC5" w:rsidRPr="00952F79" w:rsidRDefault="008E4DC5" w:rsidP="008E4DC5">
      <w:pPr>
        <w:spacing w:line="240" w:lineRule="auto"/>
        <w:rPr>
          <w:rFonts w:ascii="Times New Roman" w:hAnsi="Times New Roman"/>
          <w:sz w:val="24"/>
          <w:szCs w:val="24"/>
        </w:rPr>
      </w:pPr>
      <w:r w:rsidRPr="008E4DC5">
        <w:rPr>
          <w:rFonts w:ascii="Times New Roman" w:hAnsi="Times New Roman"/>
          <w:b/>
          <w:bCs/>
          <w:sz w:val="24"/>
          <w:szCs w:val="24"/>
        </w:rPr>
        <w:t xml:space="preserve">Supplemental Figure 4: Multivariate Analyses of </w:t>
      </w:r>
      <w:r w:rsidR="008C1E38">
        <w:rPr>
          <w:rFonts w:ascii="Times New Roman" w:hAnsi="Times New Roman"/>
          <w:b/>
          <w:bCs/>
          <w:sz w:val="24"/>
          <w:szCs w:val="24"/>
        </w:rPr>
        <w:t>S</w:t>
      </w:r>
      <w:r w:rsidR="008C1E38" w:rsidRPr="008E4DC5">
        <w:rPr>
          <w:rFonts w:ascii="Times New Roman" w:hAnsi="Times New Roman"/>
          <w:b/>
          <w:bCs/>
          <w:sz w:val="24"/>
          <w:szCs w:val="24"/>
        </w:rPr>
        <w:t>ub</w:t>
      </w:r>
      <w:r w:rsidRPr="008E4DC5">
        <w:rPr>
          <w:rFonts w:ascii="Times New Roman" w:hAnsi="Times New Roman"/>
          <w:b/>
          <w:bCs/>
          <w:sz w:val="24"/>
          <w:szCs w:val="24"/>
        </w:rPr>
        <w:t xml:space="preserve">-cohort with Shannon index </w:t>
      </w:r>
      <w:r w:rsidR="008C1E38">
        <w:rPr>
          <w:rFonts w:ascii="Times New Roman" w:hAnsi="Times New Roman"/>
          <w:b/>
          <w:bCs/>
          <w:sz w:val="24"/>
          <w:szCs w:val="24"/>
        </w:rPr>
        <w:t>G</w:t>
      </w:r>
      <w:r w:rsidRPr="008E4DC5">
        <w:rPr>
          <w:rFonts w:ascii="Times New Roman" w:hAnsi="Times New Roman"/>
          <w:b/>
          <w:bCs/>
          <w:sz w:val="24"/>
          <w:szCs w:val="24"/>
        </w:rPr>
        <w:t xml:space="preserve">reater </w:t>
      </w:r>
      <w:r w:rsidR="008C1E38">
        <w:rPr>
          <w:rFonts w:ascii="Times New Roman" w:hAnsi="Times New Roman"/>
          <w:b/>
          <w:bCs/>
          <w:sz w:val="24"/>
          <w:szCs w:val="24"/>
        </w:rPr>
        <w:t>T</w:t>
      </w:r>
      <w:r w:rsidRPr="008E4DC5">
        <w:rPr>
          <w:rFonts w:ascii="Times New Roman" w:hAnsi="Times New Roman"/>
          <w:b/>
          <w:bCs/>
          <w:sz w:val="24"/>
          <w:szCs w:val="24"/>
        </w:rPr>
        <w:t xml:space="preserve">han 0. </w:t>
      </w:r>
      <w:r w:rsidRPr="008E4DC5">
        <w:rPr>
          <w:rFonts w:ascii="Times New Roman" w:hAnsi="Times New Roman"/>
          <w:sz w:val="24"/>
          <w:szCs w:val="24"/>
        </w:rPr>
        <w:t xml:space="preserve">Individual covariates were tested for additive power to predict overall survival using a Cox proportional hazards (PH) model for a subset of the cohort with a Shannon index greater than 0 (n = 112). </w:t>
      </w:r>
      <w:r w:rsidRPr="008E4DC5">
        <w:rPr>
          <w:rFonts w:ascii="Times New Roman" w:hAnsi="Times New Roman"/>
          <w:b/>
          <w:bCs/>
          <w:sz w:val="24"/>
          <w:szCs w:val="24"/>
        </w:rPr>
        <w:t>(A)</w:t>
      </w:r>
      <w:r w:rsidRPr="008E4DC5">
        <w:rPr>
          <w:rFonts w:ascii="Times New Roman" w:hAnsi="Times New Roman"/>
          <w:sz w:val="24"/>
          <w:szCs w:val="24"/>
        </w:rPr>
        <w:t xml:space="preserve"> The resulting p-values, hazard ratios, and 95% confidence intervals. </w:t>
      </w:r>
      <w:r w:rsidRPr="008E4DC5">
        <w:rPr>
          <w:rFonts w:ascii="Times New Roman" w:hAnsi="Times New Roman"/>
          <w:b/>
          <w:bCs/>
          <w:sz w:val="24"/>
          <w:szCs w:val="24"/>
        </w:rPr>
        <w:t>(B)</w:t>
      </w:r>
      <w:r w:rsidRPr="008E4DC5">
        <w:rPr>
          <w:rFonts w:ascii="Times New Roman" w:hAnsi="Times New Roman"/>
          <w:sz w:val="24"/>
          <w:szCs w:val="24"/>
        </w:rPr>
        <w:t xml:space="preserve"> The interaction of therapy and heterogeneity integrated into the multivariate Cox PH model. The forest plot shows hazard ratios and 95% confidence intervals.</w:t>
      </w:r>
    </w:p>
    <w:p w:rsidR="009F19A4" w:rsidRDefault="00952F79" w:rsidP="00D55158">
      <w:pPr>
        <w:spacing w:after="0" w:line="240" w:lineRule="auto"/>
        <w:rPr>
          <w:sz w:val="20"/>
          <w:szCs w:val="20"/>
        </w:rPr>
      </w:pPr>
      <w:r>
        <w:rPr>
          <w:noProof/>
          <w:sz w:val="20"/>
          <w:szCs w:val="20"/>
        </w:rPr>
        <w:lastRenderedPageBreak/>
        <w:drawing>
          <wp:inline distT="0" distB="0" distL="0" distR="0">
            <wp:extent cx="8063164" cy="4391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1065" r="690"/>
                    <a:stretch>
                      <a:fillRect/>
                    </a:stretch>
                  </pic:blipFill>
                  <pic:spPr bwMode="auto">
                    <a:xfrm>
                      <a:off x="0" y="0"/>
                      <a:ext cx="8070230" cy="4394873"/>
                    </a:xfrm>
                    <a:prstGeom prst="rect">
                      <a:avLst/>
                    </a:prstGeom>
                    <a:noFill/>
                  </pic:spPr>
                </pic:pic>
              </a:graphicData>
            </a:graphic>
          </wp:inline>
        </w:drawing>
      </w:r>
    </w:p>
    <w:p w:rsidR="009F19A4" w:rsidRDefault="009F19A4" w:rsidP="00D55158">
      <w:pPr>
        <w:spacing w:after="0" w:line="240" w:lineRule="auto"/>
        <w:rPr>
          <w:sz w:val="20"/>
          <w:szCs w:val="20"/>
        </w:rPr>
      </w:pPr>
    </w:p>
    <w:p w:rsidR="009F19A4" w:rsidRDefault="009F19A4" w:rsidP="00D55158">
      <w:pPr>
        <w:spacing w:after="0" w:line="240" w:lineRule="auto"/>
        <w:rPr>
          <w:sz w:val="20"/>
          <w:szCs w:val="20"/>
        </w:rPr>
      </w:pPr>
    </w:p>
    <w:p w:rsidR="00B54C93" w:rsidRDefault="00B54C93" w:rsidP="00D55158">
      <w:pPr>
        <w:spacing w:after="0" w:line="240" w:lineRule="auto"/>
        <w:rPr>
          <w:sz w:val="20"/>
          <w:szCs w:val="20"/>
        </w:rPr>
      </w:pPr>
    </w:p>
    <w:p w:rsidR="00FA5F9F" w:rsidRDefault="00FA5F9F" w:rsidP="000260B4">
      <w:pPr>
        <w:spacing w:after="0" w:line="240" w:lineRule="auto"/>
        <w:rPr>
          <w:rFonts w:ascii="Times New Roman" w:hAnsi="Times New Roman"/>
          <w:b/>
          <w:bCs/>
          <w:sz w:val="24"/>
          <w:szCs w:val="24"/>
        </w:rPr>
      </w:pPr>
    </w:p>
    <w:p w:rsidR="00952F79" w:rsidRPr="00952F79" w:rsidRDefault="00952F79" w:rsidP="000260B4">
      <w:pPr>
        <w:spacing w:after="0" w:line="240" w:lineRule="auto"/>
        <w:rPr>
          <w:rFonts w:ascii="Times New Roman" w:hAnsi="Times New Roman"/>
          <w:sz w:val="24"/>
          <w:szCs w:val="24"/>
        </w:rPr>
      </w:pPr>
      <w:r w:rsidRPr="00952F79">
        <w:rPr>
          <w:rFonts w:ascii="Times New Roman" w:hAnsi="Times New Roman"/>
          <w:b/>
          <w:bCs/>
          <w:sz w:val="24"/>
          <w:szCs w:val="24"/>
        </w:rPr>
        <w:t xml:space="preserve">Supplemental Figure </w:t>
      </w:r>
      <w:r w:rsidR="008E4DC5">
        <w:rPr>
          <w:rFonts w:ascii="Times New Roman" w:hAnsi="Times New Roman"/>
          <w:b/>
          <w:bCs/>
          <w:sz w:val="24"/>
          <w:szCs w:val="24"/>
        </w:rPr>
        <w:t>5</w:t>
      </w:r>
      <w:r w:rsidRPr="00952F79">
        <w:rPr>
          <w:rFonts w:ascii="Times New Roman" w:hAnsi="Times New Roman"/>
          <w:b/>
          <w:bCs/>
          <w:sz w:val="24"/>
          <w:szCs w:val="24"/>
        </w:rPr>
        <w:t xml:space="preserve">: CTC and Clinical Association Analysis Overview. </w:t>
      </w:r>
      <w:r w:rsidRPr="00952F79">
        <w:rPr>
          <w:rFonts w:ascii="Times New Roman" w:hAnsi="Times New Roman"/>
          <w:sz w:val="24"/>
          <w:szCs w:val="24"/>
        </w:rPr>
        <w:t>Shown are schematics for</w:t>
      </w:r>
      <w:r w:rsidRPr="00952F79">
        <w:rPr>
          <w:rFonts w:ascii="Times New Roman" w:hAnsi="Times New Roman"/>
          <w:b/>
          <w:bCs/>
          <w:sz w:val="24"/>
          <w:szCs w:val="24"/>
        </w:rPr>
        <w:t xml:space="preserve"> (A) </w:t>
      </w:r>
      <w:r w:rsidRPr="00952F79">
        <w:rPr>
          <w:rFonts w:ascii="Times New Roman" w:hAnsi="Times New Roman"/>
          <w:sz w:val="24"/>
          <w:szCs w:val="24"/>
        </w:rPr>
        <w:t xml:space="preserve">CTC detection and digital pathology analysis on single cells, as well as generation of patient-level quantification of phenotypic heterogeneity by </w:t>
      </w:r>
      <w:r w:rsidRPr="00952F79">
        <w:rPr>
          <w:rFonts w:ascii="Times New Roman" w:hAnsi="Times New Roman"/>
          <w:b/>
          <w:bCs/>
          <w:sz w:val="24"/>
          <w:szCs w:val="24"/>
        </w:rPr>
        <w:t xml:space="preserve">(B) </w:t>
      </w:r>
      <w:r w:rsidRPr="00952F79">
        <w:rPr>
          <w:rFonts w:ascii="Times New Roman" w:hAnsi="Times New Roman"/>
          <w:sz w:val="24"/>
          <w:szCs w:val="24"/>
        </w:rPr>
        <w:t xml:space="preserve">Pleomorphism index. </w:t>
      </w:r>
    </w:p>
    <w:p w:rsidR="00B54C93" w:rsidRDefault="00B54C93" w:rsidP="00D55158">
      <w:pPr>
        <w:spacing w:after="0" w:line="240" w:lineRule="auto"/>
        <w:rPr>
          <w:rFonts w:ascii="Times New Roman" w:hAnsi="Times New Roman"/>
          <w:sz w:val="24"/>
          <w:szCs w:val="24"/>
        </w:rPr>
      </w:pPr>
      <w:r w:rsidRPr="00B54C93">
        <w:rPr>
          <w:rFonts w:ascii="Times New Roman" w:hAnsi="Times New Roman"/>
          <w:noProof/>
          <w:sz w:val="24"/>
          <w:szCs w:val="24"/>
        </w:rPr>
        <w:lastRenderedPageBreak/>
        <w:drawing>
          <wp:inline distT="0" distB="0" distL="0" distR="0">
            <wp:extent cx="6962775" cy="4156392"/>
            <wp:effectExtent l="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1031" r="1439"/>
                    <a:stretch>
                      <a:fillRect/>
                    </a:stretch>
                  </pic:blipFill>
                  <pic:spPr bwMode="auto">
                    <a:xfrm>
                      <a:off x="0" y="0"/>
                      <a:ext cx="6962775" cy="4156392"/>
                    </a:xfrm>
                    <a:prstGeom prst="rect">
                      <a:avLst/>
                    </a:prstGeom>
                    <a:noFill/>
                  </pic:spPr>
                </pic:pic>
              </a:graphicData>
            </a:graphic>
          </wp:inline>
        </w:drawing>
      </w:r>
    </w:p>
    <w:p w:rsidR="00C55D9E" w:rsidRPr="00C55D9E" w:rsidRDefault="00C55D9E" w:rsidP="00D55158">
      <w:pPr>
        <w:spacing w:after="0" w:line="240" w:lineRule="auto"/>
        <w:rPr>
          <w:rFonts w:ascii="Times New Roman" w:hAnsi="Times New Roman"/>
          <w:b/>
          <w:bCs/>
        </w:rPr>
      </w:pPr>
    </w:p>
    <w:p w:rsidR="00FA5F9F" w:rsidRDefault="00FA5F9F" w:rsidP="00D55158">
      <w:pPr>
        <w:spacing w:after="0" w:line="240" w:lineRule="auto"/>
        <w:rPr>
          <w:rFonts w:ascii="Times New Roman" w:hAnsi="Times New Roman"/>
          <w:b/>
          <w:bCs/>
          <w:sz w:val="24"/>
        </w:rPr>
      </w:pPr>
    </w:p>
    <w:p w:rsidR="00B54C93" w:rsidRPr="00C55D9E" w:rsidRDefault="00B54C93" w:rsidP="00D55158">
      <w:pPr>
        <w:spacing w:after="0" w:line="240" w:lineRule="auto"/>
        <w:rPr>
          <w:rFonts w:ascii="Times New Roman" w:hAnsi="Times New Roman"/>
          <w:sz w:val="28"/>
          <w:szCs w:val="24"/>
        </w:rPr>
      </w:pPr>
      <w:r w:rsidRPr="00C55D9E">
        <w:rPr>
          <w:rFonts w:ascii="Times New Roman" w:hAnsi="Times New Roman"/>
          <w:b/>
          <w:bCs/>
          <w:sz w:val="24"/>
        </w:rPr>
        <w:t xml:space="preserve">Supplemental Figure </w:t>
      </w:r>
      <w:r w:rsidR="008E4DC5">
        <w:rPr>
          <w:rFonts w:ascii="Times New Roman" w:hAnsi="Times New Roman"/>
          <w:b/>
          <w:bCs/>
          <w:sz w:val="24"/>
        </w:rPr>
        <w:t>6</w:t>
      </w:r>
      <w:r w:rsidRPr="00C55D9E">
        <w:rPr>
          <w:rFonts w:ascii="Times New Roman" w:hAnsi="Times New Roman"/>
          <w:b/>
          <w:bCs/>
          <w:sz w:val="24"/>
        </w:rPr>
        <w:t>: The Degree of Inter-Sample Pleomorphism index is Related to Overall Survival of ARSI, but not Taxanes. (A)</w:t>
      </w:r>
      <w:r w:rsidRPr="00C55D9E">
        <w:rPr>
          <w:rFonts w:ascii="Times New Roman" w:hAnsi="Times New Roman"/>
          <w:sz w:val="24"/>
        </w:rPr>
        <w:t xml:space="preserve"> The relationship between degree of heterogeneity (Pleomorphism index, x-axis) and overall survival (y-axis) is shown, along with nonparametric kernel estimates of median survival. Colors represent treatment received after pre-therapy draw. “O” = patient alive at last observation, “X” = patient died at time indicated. Overall Survival is alternately visualized with Kaplan-Meier plots from patients starting </w:t>
      </w:r>
      <w:r w:rsidRPr="00C55D9E">
        <w:rPr>
          <w:rFonts w:ascii="Times New Roman" w:hAnsi="Times New Roman"/>
          <w:b/>
          <w:bCs/>
          <w:sz w:val="24"/>
        </w:rPr>
        <w:t>(B)</w:t>
      </w:r>
      <w:r w:rsidRPr="00C55D9E">
        <w:rPr>
          <w:rFonts w:ascii="Times New Roman" w:hAnsi="Times New Roman"/>
          <w:sz w:val="24"/>
        </w:rPr>
        <w:t xml:space="preserve"> ARSI and </w:t>
      </w:r>
      <w:r w:rsidRPr="00C55D9E">
        <w:rPr>
          <w:rFonts w:ascii="Times New Roman" w:hAnsi="Times New Roman"/>
          <w:b/>
          <w:bCs/>
          <w:sz w:val="24"/>
        </w:rPr>
        <w:t>(C)</w:t>
      </w:r>
      <w:r w:rsidRPr="00C55D9E">
        <w:rPr>
          <w:rFonts w:ascii="Times New Roman" w:hAnsi="Times New Roman"/>
          <w:sz w:val="24"/>
        </w:rPr>
        <w:t xml:space="preserve"> Taxanes with survival curves dichotomized with the survival crossover point from </w:t>
      </w:r>
      <w:r w:rsidRPr="00C55D9E">
        <w:rPr>
          <w:rFonts w:ascii="Times New Roman" w:hAnsi="Times New Roman"/>
          <w:b/>
          <w:bCs/>
          <w:sz w:val="24"/>
        </w:rPr>
        <w:t>(A)</w:t>
      </w:r>
      <w:r w:rsidRPr="00C55D9E">
        <w:rPr>
          <w:rFonts w:ascii="Times New Roman" w:hAnsi="Times New Roman"/>
          <w:sz w:val="24"/>
        </w:rPr>
        <w:t xml:space="preserve">, indicated with an arrow. Individual covariates were tested for additive power to predict overall survival using a Cox proportional hazards (PH) model. </w:t>
      </w:r>
      <w:r w:rsidRPr="00C55D9E">
        <w:rPr>
          <w:rFonts w:ascii="Times New Roman" w:hAnsi="Times New Roman"/>
          <w:b/>
          <w:bCs/>
          <w:sz w:val="24"/>
        </w:rPr>
        <w:t>(D)</w:t>
      </w:r>
      <w:r w:rsidRPr="00C55D9E">
        <w:rPr>
          <w:rFonts w:ascii="Times New Roman" w:hAnsi="Times New Roman"/>
          <w:sz w:val="24"/>
        </w:rPr>
        <w:t xml:space="preserve"> The resulting p-values, hazard ratios, and 95% confidence intervals. </w:t>
      </w:r>
      <w:r w:rsidRPr="00C55D9E">
        <w:rPr>
          <w:rFonts w:ascii="Times New Roman" w:hAnsi="Times New Roman"/>
          <w:b/>
          <w:bCs/>
          <w:sz w:val="24"/>
        </w:rPr>
        <w:t>(E)</w:t>
      </w:r>
      <w:r w:rsidRPr="00C55D9E">
        <w:rPr>
          <w:rFonts w:ascii="Times New Roman" w:hAnsi="Times New Roman"/>
          <w:sz w:val="24"/>
        </w:rPr>
        <w:t xml:space="preserve"> The interaction of therapy and heterogeneity integrated into the multivariate Cox PH model. The forest plot shows hazard ratios and 95% confidence intervals.</w:t>
      </w:r>
    </w:p>
    <w:sectPr w:rsidR="00B54C93" w:rsidRPr="00C55D9E" w:rsidSect="00B54C93">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D2" w:rsidRDefault="002E1DD2" w:rsidP="00D55158">
      <w:pPr>
        <w:spacing w:after="0" w:line="240" w:lineRule="auto"/>
      </w:pPr>
      <w:r>
        <w:separator/>
      </w:r>
    </w:p>
  </w:endnote>
  <w:endnote w:type="continuationSeparator" w:id="0">
    <w:p w:rsidR="002E1DD2" w:rsidRDefault="002E1DD2" w:rsidP="00D55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D2" w:rsidRDefault="002E1DD2" w:rsidP="00D55158">
      <w:pPr>
        <w:spacing w:after="0" w:line="240" w:lineRule="auto"/>
      </w:pPr>
      <w:r>
        <w:separator/>
      </w:r>
    </w:p>
  </w:footnote>
  <w:footnote w:type="continuationSeparator" w:id="0">
    <w:p w:rsidR="002E1DD2" w:rsidRDefault="002E1DD2" w:rsidP="00D55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D2" w:rsidRDefault="002E1DD2">
    <w:pPr>
      <w:pStyle w:val="Header"/>
      <w:rPr>
        <w:rFonts w:ascii="Times New Roman" w:hAnsi="Times New Roman"/>
        <w:b/>
      </w:rPr>
    </w:pPr>
    <w:r>
      <w:rPr>
        <w:rFonts w:ascii="Times New Roman" w:hAnsi="Times New Roman"/>
        <w:b/>
      </w:rPr>
      <w:t>Supplementary Material</w:t>
    </w:r>
  </w:p>
  <w:sdt>
    <w:sdtPr>
      <w:id w:val="250395305"/>
      <w:docPartObj>
        <w:docPartGallery w:val="Page Numbers (Top of Page)"/>
        <w:docPartUnique/>
      </w:docPartObj>
    </w:sdtPr>
    <w:sdtContent>
      <w:p w:rsidR="002E1DD2" w:rsidRPr="00D55158" w:rsidRDefault="002E1DD2" w:rsidP="00D55158">
        <w:r w:rsidRPr="00D55158">
          <w:rPr>
            <w:rFonts w:ascii="Times New Roman" w:hAnsi="Times New Roman"/>
          </w:rPr>
          <w:t xml:space="preserve">Page </w:t>
        </w:r>
        <w:r w:rsidR="00A64403" w:rsidRPr="00D55158">
          <w:rPr>
            <w:rFonts w:ascii="Times New Roman" w:hAnsi="Times New Roman"/>
          </w:rPr>
          <w:fldChar w:fldCharType="begin"/>
        </w:r>
        <w:r w:rsidRPr="00D55158">
          <w:rPr>
            <w:rFonts w:ascii="Times New Roman" w:hAnsi="Times New Roman"/>
          </w:rPr>
          <w:instrText xml:space="preserve"> PAGE </w:instrText>
        </w:r>
        <w:r w:rsidR="00A64403" w:rsidRPr="00D55158">
          <w:rPr>
            <w:rFonts w:ascii="Times New Roman" w:hAnsi="Times New Roman"/>
          </w:rPr>
          <w:fldChar w:fldCharType="separate"/>
        </w:r>
        <w:r w:rsidR="00D01727">
          <w:rPr>
            <w:rFonts w:ascii="Times New Roman" w:hAnsi="Times New Roman"/>
            <w:noProof/>
          </w:rPr>
          <w:t>1</w:t>
        </w:r>
        <w:r w:rsidR="00A64403" w:rsidRPr="00D55158">
          <w:rPr>
            <w:rFonts w:ascii="Times New Roman" w:hAnsi="Times New Roman"/>
          </w:rPr>
          <w:fldChar w:fldCharType="end"/>
        </w:r>
        <w:r w:rsidRPr="00D55158">
          <w:rPr>
            <w:rFonts w:ascii="Times New Roman" w:hAnsi="Times New Roman"/>
          </w:rPr>
          <w:t xml:space="preserve"> of </w:t>
        </w:r>
        <w:r w:rsidR="00A64403" w:rsidRPr="00D55158">
          <w:rPr>
            <w:rFonts w:ascii="Times New Roman" w:hAnsi="Times New Roman"/>
          </w:rPr>
          <w:fldChar w:fldCharType="begin"/>
        </w:r>
        <w:r w:rsidRPr="00D55158">
          <w:rPr>
            <w:rFonts w:ascii="Times New Roman" w:hAnsi="Times New Roman"/>
          </w:rPr>
          <w:instrText xml:space="preserve"> NUMPAGES  </w:instrText>
        </w:r>
        <w:r w:rsidR="00A64403" w:rsidRPr="00D55158">
          <w:rPr>
            <w:rFonts w:ascii="Times New Roman" w:hAnsi="Times New Roman"/>
          </w:rPr>
          <w:fldChar w:fldCharType="separate"/>
        </w:r>
        <w:r w:rsidR="00D01727">
          <w:rPr>
            <w:rFonts w:ascii="Times New Roman" w:hAnsi="Times New Roman"/>
            <w:noProof/>
          </w:rPr>
          <w:t>8</w:t>
        </w:r>
        <w:r w:rsidR="00A64403" w:rsidRPr="00D55158">
          <w:rPr>
            <w:rFonts w:ascii="Times New Roman" w:hAnsi="Times New Roman"/>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on Graf">
    <w15:presenceInfo w15:providerId="AD" w15:userId="S-1-5-21-1848499503-2060332969-3364156115-13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5158"/>
    <w:rsid w:val="000250DD"/>
    <w:rsid w:val="000260B4"/>
    <w:rsid w:val="0006055E"/>
    <w:rsid w:val="000B45C6"/>
    <w:rsid w:val="00126040"/>
    <w:rsid w:val="00161753"/>
    <w:rsid w:val="00164251"/>
    <w:rsid w:val="001930BC"/>
    <w:rsid w:val="001B6589"/>
    <w:rsid w:val="00205C4D"/>
    <w:rsid w:val="002238A3"/>
    <w:rsid w:val="00265492"/>
    <w:rsid w:val="00286FAE"/>
    <w:rsid w:val="002E1DD2"/>
    <w:rsid w:val="003A36C6"/>
    <w:rsid w:val="003D6406"/>
    <w:rsid w:val="003F3B31"/>
    <w:rsid w:val="004B74F9"/>
    <w:rsid w:val="004E3416"/>
    <w:rsid w:val="00527689"/>
    <w:rsid w:val="00553FDB"/>
    <w:rsid w:val="00570D03"/>
    <w:rsid w:val="00583C1D"/>
    <w:rsid w:val="00592319"/>
    <w:rsid w:val="005C504F"/>
    <w:rsid w:val="005C6F6B"/>
    <w:rsid w:val="005E1629"/>
    <w:rsid w:val="005F3C22"/>
    <w:rsid w:val="006042B6"/>
    <w:rsid w:val="00605BD3"/>
    <w:rsid w:val="006406E6"/>
    <w:rsid w:val="00652737"/>
    <w:rsid w:val="006C23B1"/>
    <w:rsid w:val="00724303"/>
    <w:rsid w:val="007652E3"/>
    <w:rsid w:val="00780D6C"/>
    <w:rsid w:val="008644B6"/>
    <w:rsid w:val="008926A4"/>
    <w:rsid w:val="008C1E38"/>
    <w:rsid w:val="008E4DC5"/>
    <w:rsid w:val="008F160F"/>
    <w:rsid w:val="0090177B"/>
    <w:rsid w:val="009105F1"/>
    <w:rsid w:val="00920F00"/>
    <w:rsid w:val="00952F79"/>
    <w:rsid w:val="00954DC3"/>
    <w:rsid w:val="00955BC4"/>
    <w:rsid w:val="009B1A71"/>
    <w:rsid w:val="009B78B2"/>
    <w:rsid w:val="009F19A4"/>
    <w:rsid w:val="00A03F32"/>
    <w:rsid w:val="00A10AD1"/>
    <w:rsid w:val="00A16450"/>
    <w:rsid w:val="00A20396"/>
    <w:rsid w:val="00A30A26"/>
    <w:rsid w:val="00A51092"/>
    <w:rsid w:val="00A64403"/>
    <w:rsid w:val="00A6719C"/>
    <w:rsid w:val="00AC0AA1"/>
    <w:rsid w:val="00AC4CC2"/>
    <w:rsid w:val="00B54C93"/>
    <w:rsid w:val="00B56CD1"/>
    <w:rsid w:val="00BA7FC3"/>
    <w:rsid w:val="00BF0D95"/>
    <w:rsid w:val="00C55D9E"/>
    <w:rsid w:val="00C66003"/>
    <w:rsid w:val="00D01727"/>
    <w:rsid w:val="00D06CF9"/>
    <w:rsid w:val="00D330CD"/>
    <w:rsid w:val="00D549D5"/>
    <w:rsid w:val="00D55158"/>
    <w:rsid w:val="00D82D00"/>
    <w:rsid w:val="00D9586F"/>
    <w:rsid w:val="00D9733D"/>
    <w:rsid w:val="00DA37DE"/>
    <w:rsid w:val="00DD182A"/>
    <w:rsid w:val="00E00A02"/>
    <w:rsid w:val="00E11DB3"/>
    <w:rsid w:val="00E50D9E"/>
    <w:rsid w:val="00F151DC"/>
    <w:rsid w:val="00F25E8D"/>
    <w:rsid w:val="00F57B1E"/>
    <w:rsid w:val="00FA4BE6"/>
    <w:rsid w:val="00FA5F9F"/>
    <w:rsid w:val="00FE3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5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15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D551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158"/>
    <w:rPr>
      <w:rFonts w:ascii="Calibri" w:eastAsia="Calibri" w:hAnsi="Calibri" w:cs="Times New Roman"/>
    </w:rPr>
  </w:style>
  <w:style w:type="paragraph" w:styleId="Footer">
    <w:name w:val="footer"/>
    <w:basedOn w:val="Normal"/>
    <w:link w:val="FooterChar"/>
    <w:uiPriority w:val="99"/>
    <w:semiHidden/>
    <w:unhideWhenUsed/>
    <w:rsid w:val="00D551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158"/>
    <w:rPr>
      <w:rFonts w:ascii="Calibri" w:eastAsia="Calibri" w:hAnsi="Calibri" w:cs="Times New Roman"/>
    </w:rPr>
  </w:style>
  <w:style w:type="paragraph" w:styleId="BalloonText">
    <w:name w:val="Balloon Text"/>
    <w:basedOn w:val="Normal"/>
    <w:link w:val="BalloonTextChar"/>
    <w:uiPriority w:val="99"/>
    <w:semiHidden/>
    <w:unhideWhenUsed/>
    <w:rsid w:val="00286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AE"/>
    <w:rPr>
      <w:rFonts w:ascii="Tahoma" w:eastAsia="Calibri" w:hAnsi="Tahoma" w:cs="Tahoma"/>
      <w:sz w:val="16"/>
      <w:szCs w:val="16"/>
    </w:rPr>
  </w:style>
  <w:style w:type="character" w:styleId="CommentReference">
    <w:name w:val="annotation reference"/>
    <w:basedOn w:val="DefaultParagraphFont"/>
    <w:uiPriority w:val="99"/>
    <w:semiHidden/>
    <w:unhideWhenUsed/>
    <w:rsid w:val="001B6589"/>
    <w:rPr>
      <w:sz w:val="16"/>
      <w:szCs w:val="16"/>
    </w:rPr>
  </w:style>
  <w:style w:type="paragraph" w:styleId="CommentText">
    <w:name w:val="annotation text"/>
    <w:basedOn w:val="Normal"/>
    <w:link w:val="CommentTextChar"/>
    <w:uiPriority w:val="99"/>
    <w:semiHidden/>
    <w:unhideWhenUsed/>
    <w:rsid w:val="001B6589"/>
    <w:pPr>
      <w:spacing w:line="240" w:lineRule="auto"/>
    </w:pPr>
    <w:rPr>
      <w:sz w:val="20"/>
      <w:szCs w:val="20"/>
    </w:rPr>
  </w:style>
  <w:style w:type="character" w:customStyle="1" w:styleId="CommentTextChar">
    <w:name w:val="Comment Text Char"/>
    <w:basedOn w:val="DefaultParagraphFont"/>
    <w:link w:val="CommentText"/>
    <w:uiPriority w:val="99"/>
    <w:semiHidden/>
    <w:rsid w:val="001B65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6589"/>
    <w:rPr>
      <w:b/>
      <w:bCs/>
    </w:rPr>
  </w:style>
  <w:style w:type="character" w:customStyle="1" w:styleId="CommentSubjectChar">
    <w:name w:val="Comment Subject Char"/>
    <w:basedOn w:val="CommentTextChar"/>
    <w:link w:val="CommentSubject"/>
    <w:uiPriority w:val="99"/>
    <w:semiHidden/>
    <w:rsid w:val="001B6589"/>
    <w:rPr>
      <w:b/>
      <w:bCs/>
    </w:rPr>
  </w:style>
</w:styles>
</file>

<file path=word/webSettings.xml><?xml version="1.0" encoding="utf-8"?>
<w:webSettings xmlns:r="http://schemas.openxmlformats.org/officeDocument/2006/relationships" xmlns:w="http://schemas.openxmlformats.org/wordprocessingml/2006/main">
  <w:divs>
    <w:div w:id="570576592">
      <w:bodyDiv w:val="1"/>
      <w:marLeft w:val="0"/>
      <w:marRight w:val="0"/>
      <w:marTop w:val="0"/>
      <w:marBottom w:val="0"/>
      <w:divBdr>
        <w:top w:val="none" w:sz="0" w:space="0" w:color="auto"/>
        <w:left w:val="none" w:sz="0" w:space="0" w:color="auto"/>
        <w:bottom w:val="none" w:sz="0" w:space="0" w:color="auto"/>
        <w:right w:val="none" w:sz="0" w:space="0" w:color="auto"/>
      </w:divBdr>
    </w:div>
    <w:div w:id="643196153">
      <w:bodyDiv w:val="1"/>
      <w:marLeft w:val="0"/>
      <w:marRight w:val="0"/>
      <w:marTop w:val="0"/>
      <w:marBottom w:val="0"/>
      <w:divBdr>
        <w:top w:val="none" w:sz="0" w:space="0" w:color="auto"/>
        <w:left w:val="none" w:sz="0" w:space="0" w:color="auto"/>
        <w:bottom w:val="none" w:sz="0" w:space="0" w:color="auto"/>
        <w:right w:val="none" w:sz="0" w:space="0" w:color="auto"/>
      </w:divBdr>
    </w:div>
    <w:div w:id="986130026">
      <w:bodyDiv w:val="1"/>
      <w:marLeft w:val="0"/>
      <w:marRight w:val="0"/>
      <w:marTop w:val="0"/>
      <w:marBottom w:val="0"/>
      <w:divBdr>
        <w:top w:val="none" w:sz="0" w:space="0" w:color="auto"/>
        <w:left w:val="none" w:sz="0" w:space="0" w:color="auto"/>
        <w:bottom w:val="none" w:sz="0" w:space="0" w:color="auto"/>
        <w:right w:val="none" w:sz="0" w:space="0" w:color="auto"/>
      </w:divBdr>
    </w:div>
    <w:div w:id="18265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0C5DF-8FA6-4E6B-8BED-8E36E564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Ryon Graf</dc:creator>
  <cp:lastModifiedBy>Nicole A. Schreiber</cp:lastModifiedBy>
  <cp:revision>5</cp:revision>
  <cp:lastPrinted>2016-12-01T18:02:00Z</cp:lastPrinted>
  <dcterms:created xsi:type="dcterms:W3CDTF">2017-07-06T16:24:00Z</dcterms:created>
  <dcterms:modified xsi:type="dcterms:W3CDTF">2017-07-06T16:28:00Z</dcterms:modified>
</cp:coreProperties>
</file>