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6" w:rsidRPr="00BC1CEF" w:rsidRDefault="00A73DC6" w:rsidP="004A45B7">
      <w:pPr>
        <w:wordWrap/>
        <w:adjustRightInd w:val="0"/>
        <w:snapToGrid w:val="0"/>
        <w:spacing w:after="200" w:line="480" w:lineRule="auto"/>
        <w:rPr>
          <w:rFonts w:ascii="Times New Roman"/>
          <w:b/>
        </w:rPr>
      </w:pPr>
      <w:r>
        <w:rPr>
          <w:rFonts w:ascii="Times New Roman" w:hint="eastAsia"/>
          <w:b/>
        </w:rPr>
        <w:t>Supplementa</w:t>
      </w:r>
      <w:r w:rsidR="001D35E4">
        <w:rPr>
          <w:rFonts w:ascii="Times New Roman" w:hint="eastAsia"/>
          <w:b/>
        </w:rPr>
        <w:t>ry</w:t>
      </w:r>
      <w:r w:rsidR="00A56671">
        <w:rPr>
          <w:rFonts w:ascii="Times New Roman" w:hint="eastAsia"/>
          <w:b/>
        </w:rPr>
        <w:t xml:space="preserve"> Figures</w:t>
      </w:r>
    </w:p>
    <w:p w:rsidR="00B76702" w:rsidRDefault="004B5AAE" w:rsidP="004A45B7">
      <w:pPr>
        <w:wordWrap/>
        <w:adjustRightInd w:val="0"/>
        <w:snapToGrid w:val="0"/>
        <w:spacing w:after="200" w:line="480" w:lineRule="auto"/>
        <w:rPr>
          <w:rFonts w:ascii="Times New Roman"/>
          <w:b/>
        </w:rPr>
      </w:pPr>
      <w:bookmarkStart w:id="0" w:name="OLE_LINK13"/>
      <w:bookmarkStart w:id="1" w:name="OLE_LINK14"/>
      <w:r>
        <w:rPr>
          <w:rFonts w:ascii="Times New Roman"/>
          <w:b/>
          <w:noProof/>
        </w:rPr>
        <w:drawing>
          <wp:inline distT="0" distB="0" distL="0" distR="0">
            <wp:extent cx="5731510" cy="1776811"/>
            <wp:effectExtent l="0" t="0" r="2540" b="0"/>
            <wp:docPr id="2" name="그림 2" descr="C:\Users\Jinlong Yin\2011년3월국립암센터\실험관련\TGase 2\Manuscript_160217\170206 CR\Revision_170316\최종\Supplemental 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long Yin\2011년3월국립암센터\실험관련\TGase 2\Manuscript_160217\170206 CR\Revision_170316\최종\Supplemental Fig.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1D35E4" w:rsidRDefault="00857D5D" w:rsidP="003F268D">
      <w:pPr>
        <w:wordWrap/>
        <w:adjustRightInd w:val="0"/>
        <w:snapToGrid w:val="0"/>
        <w:spacing w:line="480" w:lineRule="auto"/>
        <w:rPr>
          <w:rFonts w:ascii="Times New Roman"/>
          <w:b/>
        </w:rPr>
      </w:pPr>
      <w:proofErr w:type="gramStart"/>
      <w:r>
        <w:rPr>
          <w:rFonts w:ascii="Times New Roman" w:hint="eastAsia"/>
          <w:b/>
        </w:rPr>
        <w:t>Supplementa</w:t>
      </w:r>
      <w:r w:rsidR="001D35E4">
        <w:rPr>
          <w:rFonts w:ascii="Times New Roman" w:hint="eastAsia"/>
          <w:b/>
        </w:rPr>
        <w:t>ry</w:t>
      </w:r>
      <w:r w:rsidR="00FD3259">
        <w:rPr>
          <w:rFonts w:ascii="Times New Roman" w:hint="eastAsia"/>
          <w:b/>
        </w:rPr>
        <w:t xml:space="preserve"> Figure 1</w:t>
      </w:r>
      <w:r w:rsidR="00576725">
        <w:rPr>
          <w:rFonts w:ascii="Times New Roman" w:hint="eastAsia"/>
          <w:b/>
        </w:rPr>
        <w:t>.</w:t>
      </w:r>
      <w:proofErr w:type="gramEnd"/>
    </w:p>
    <w:p w:rsidR="00B76702" w:rsidRDefault="00072690" w:rsidP="003F268D">
      <w:pPr>
        <w:wordWrap/>
        <w:adjustRightInd w:val="0"/>
        <w:snapToGrid w:val="0"/>
        <w:spacing w:after="200" w:line="480" w:lineRule="auto"/>
        <w:rPr>
          <w:rFonts w:ascii="Times New Roman"/>
        </w:rPr>
      </w:pPr>
      <w:r w:rsidRPr="00072690">
        <w:rPr>
          <w:rFonts w:ascii="Times New Roman"/>
          <w:b/>
        </w:rPr>
        <w:t xml:space="preserve">TGM2 is highly expressed in the </w:t>
      </w:r>
      <w:r w:rsidR="002E27FD" w:rsidRPr="001724E7">
        <w:rPr>
          <w:rFonts w:ascii="Times New Roman" w:hint="eastAsia"/>
          <w:b/>
        </w:rPr>
        <w:t xml:space="preserve">necrotic region of </w:t>
      </w:r>
      <w:r w:rsidRPr="001724E7">
        <w:rPr>
          <w:rFonts w:ascii="Times New Roman"/>
          <w:b/>
        </w:rPr>
        <w:t>MES GBM</w:t>
      </w:r>
      <w:r w:rsidRPr="00072690">
        <w:rPr>
          <w:rFonts w:ascii="Times New Roman"/>
          <w:b/>
        </w:rPr>
        <w:t xml:space="preserve">. </w:t>
      </w:r>
      <w:r>
        <w:rPr>
          <w:rFonts w:ascii="Times New Roman" w:hint="eastAsia"/>
          <w:b/>
        </w:rPr>
        <w:t>(</w:t>
      </w:r>
      <w:r w:rsidRPr="00E03FBC">
        <w:rPr>
          <w:rFonts w:ascii="Times New Roman" w:hint="eastAsia"/>
          <w:b/>
          <w:bCs/>
        </w:rPr>
        <w:t>A</w:t>
      </w:r>
      <w:r>
        <w:rPr>
          <w:rFonts w:ascii="Times New Roman" w:hint="eastAsia"/>
          <w:b/>
          <w:bCs/>
        </w:rPr>
        <w:t>)</w:t>
      </w:r>
      <w:r w:rsidRPr="00E03FBC">
        <w:rPr>
          <w:rFonts w:ascii="Times New Roman" w:hint="eastAsia"/>
          <w:bCs/>
        </w:rPr>
        <w:t xml:space="preserve"> </w:t>
      </w:r>
      <w:r w:rsidRPr="00E03FBC">
        <w:rPr>
          <w:rFonts w:ascii="Times New Roman"/>
          <w:bCs/>
        </w:rPr>
        <w:t>Showi</w:t>
      </w:r>
      <w:r w:rsidRPr="00B015AE">
        <w:rPr>
          <w:rFonts w:ascii="Times New Roman"/>
          <w:bCs/>
        </w:rPr>
        <w:t>ng the expression fold change of TGM2</w:t>
      </w:r>
      <w:bookmarkStart w:id="2" w:name="_GoBack"/>
      <w:bookmarkEnd w:id="2"/>
      <w:r w:rsidRPr="00B015AE">
        <w:rPr>
          <w:rFonts w:ascii="Times New Roman"/>
          <w:bCs/>
        </w:rPr>
        <w:t xml:space="preserve"> in</w:t>
      </w:r>
      <w:r>
        <w:rPr>
          <w:rFonts w:ascii="Times New Roman" w:hint="eastAsia"/>
          <w:bCs/>
        </w:rPr>
        <w:t xml:space="preserve"> </w:t>
      </w:r>
      <w:r w:rsidRPr="00B015AE">
        <w:rPr>
          <w:rFonts w:ascii="Times New Roman"/>
          <w:bCs/>
        </w:rPr>
        <w:t xml:space="preserve">non-MES </w:t>
      </w:r>
      <w:r>
        <w:rPr>
          <w:rFonts w:ascii="Times New Roman" w:hint="eastAsia"/>
          <w:bCs/>
        </w:rPr>
        <w:t>and</w:t>
      </w:r>
      <w:r w:rsidRPr="00B015AE">
        <w:rPr>
          <w:rFonts w:ascii="Times New Roman"/>
          <w:bCs/>
        </w:rPr>
        <w:t xml:space="preserve"> MES tissue</w:t>
      </w:r>
      <w:r>
        <w:rPr>
          <w:rFonts w:ascii="Times New Roman"/>
          <w:bCs/>
        </w:rPr>
        <w:t>s</w:t>
      </w:r>
      <w:r w:rsidRPr="000979D6">
        <w:rPr>
          <w:rFonts w:ascii="Times New Roman"/>
          <w:bCs/>
        </w:rPr>
        <w:t xml:space="preserve"> </w:t>
      </w:r>
      <w:r>
        <w:rPr>
          <w:rFonts w:ascii="Times New Roman"/>
          <w:bCs/>
        </w:rPr>
        <w:t>as determined by RNA sequencing</w:t>
      </w:r>
      <w:r w:rsidRPr="00B015AE">
        <w:rPr>
          <w:rFonts w:ascii="Times New Roman"/>
          <w:bCs/>
        </w:rPr>
        <w:t xml:space="preserve">. </w:t>
      </w:r>
      <w:r>
        <w:rPr>
          <w:rFonts w:ascii="Times New Roman" w:hint="eastAsia"/>
          <w:bCs/>
        </w:rPr>
        <w:t xml:space="preserve">IHC results </w:t>
      </w:r>
      <w:r w:rsidRPr="00B015AE">
        <w:rPr>
          <w:rFonts w:ascii="Times New Roman"/>
          <w:bCs/>
        </w:rPr>
        <w:t>from GBM patient</w:t>
      </w:r>
      <w:r>
        <w:rPr>
          <w:rFonts w:ascii="Times New Roman"/>
          <w:bCs/>
        </w:rPr>
        <w:t>s</w:t>
      </w:r>
      <w:r>
        <w:rPr>
          <w:rFonts w:ascii="Times New Roman" w:hint="eastAsia"/>
          <w:bCs/>
        </w:rPr>
        <w:t xml:space="preserve"> s</w:t>
      </w:r>
      <w:r w:rsidRPr="00B015AE">
        <w:rPr>
          <w:rFonts w:ascii="Times New Roman"/>
          <w:bCs/>
        </w:rPr>
        <w:t>amples</w:t>
      </w:r>
      <w:r>
        <w:rPr>
          <w:rFonts w:ascii="Times New Roman"/>
          <w:bCs/>
        </w:rPr>
        <w:t xml:space="preserve"> were analyzed for</w:t>
      </w:r>
      <w:r w:rsidRPr="00B015AE">
        <w:rPr>
          <w:rFonts w:ascii="Times New Roman"/>
          <w:bCs/>
        </w:rPr>
        <w:t xml:space="preserve"> TGM2 expression level by </w:t>
      </w:r>
      <w:proofErr w:type="spellStart"/>
      <w:r w:rsidRPr="00B015AE">
        <w:rPr>
          <w:rFonts w:ascii="Times New Roman"/>
          <w:bCs/>
        </w:rPr>
        <w:t>TissueFAX</w:t>
      </w:r>
      <w:proofErr w:type="spellEnd"/>
      <w:r w:rsidRPr="00B015AE">
        <w:rPr>
          <w:rFonts w:ascii="Times New Roman"/>
          <w:bCs/>
        </w:rPr>
        <w:t>.</w:t>
      </w:r>
      <w:r>
        <w:rPr>
          <w:rFonts w:ascii="Times New Roman" w:hint="eastAsia"/>
          <w:bCs/>
        </w:rPr>
        <w:t xml:space="preserve"> (</w:t>
      </w:r>
      <w:r>
        <w:rPr>
          <w:rFonts w:ascii="Times New Roman" w:hint="eastAsia"/>
          <w:b/>
          <w:bCs/>
        </w:rPr>
        <w:t xml:space="preserve">B) </w:t>
      </w:r>
      <w:r w:rsidRPr="00B015AE">
        <w:rPr>
          <w:rFonts w:ascii="Times New Roman"/>
          <w:bCs/>
        </w:rPr>
        <w:t xml:space="preserve">Comparing the expression fold changes of TGM2 in non-necrotic </w:t>
      </w:r>
      <w:r>
        <w:rPr>
          <w:rFonts w:ascii="Times New Roman" w:hint="eastAsia"/>
          <w:bCs/>
        </w:rPr>
        <w:t>versus</w:t>
      </w:r>
      <w:r w:rsidRPr="00B015AE">
        <w:rPr>
          <w:rFonts w:ascii="Times New Roman"/>
          <w:bCs/>
        </w:rPr>
        <w:t xml:space="preserve"> necrotic tissue</w:t>
      </w:r>
      <w:r>
        <w:rPr>
          <w:rFonts w:ascii="Times New Roman"/>
          <w:bCs/>
        </w:rPr>
        <w:t>s</w:t>
      </w:r>
      <w:r>
        <w:rPr>
          <w:rFonts w:ascii="Times New Roman" w:hint="eastAsia"/>
          <w:bCs/>
        </w:rPr>
        <w:t>. (</w:t>
      </w:r>
      <w:r w:rsidRPr="00C84F35">
        <w:rPr>
          <w:rFonts w:ascii="Times New Roman" w:eastAsia="TimesNewRoman,Bold" w:hint="eastAsia"/>
          <w:b/>
          <w:bCs/>
          <w:color w:val="000000"/>
          <w:kern w:val="0"/>
        </w:rPr>
        <w:t>C</w:t>
      </w:r>
      <w:r>
        <w:rPr>
          <w:rFonts w:ascii="Times New Roman" w:eastAsia="TimesNewRoman,Bold" w:hint="eastAsia"/>
          <w:b/>
          <w:bCs/>
          <w:color w:val="000000"/>
          <w:kern w:val="0"/>
        </w:rPr>
        <w:t>)</w:t>
      </w:r>
      <w:r>
        <w:rPr>
          <w:rFonts w:ascii="Times New Roman" w:eastAsia="TimesNewRoman,Bold" w:hint="eastAsia"/>
          <w:bCs/>
          <w:color w:val="000000"/>
          <w:kern w:val="0"/>
        </w:rPr>
        <w:t xml:space="preserve"> </w:t>
      </w:r>
      <w:r w:rsidRPr="00E03FBC">
        <w:rPr>
          <w:rFonts w:ascii="Times New Roman" w:eastAsia="TimesNewRoman,Bold"/>
          <w:bCs/>
          <w:color w:val="000000"/>
          <w:kern w:val="0"/>
        </w:rPr>
        <w:t>IHC analysis of TGM2 staining in GBM patient tissues.</w:t>
      </w:r>
      <w:r w:rsidRPr="00E03FBC">
        <w:rPr>
          <w:rFonts w:ascii="Times New Roman" w:eastAsia="TimesNewRoman,Bold" w:hint="eastAsia"/>
          <w:bCs/>
          <w:color w:val="000000"/>
          <w:kern w:val="0"/>
        </w:rPr>
        <w:t xml:space="preserve"> </w:t>
      </w:r>
      <w:r w:rsidRPr="00E03FBC">
        <w:rPr>
          <w:rFonts w:ascii="Times New Roman" w:hint="eastAsia"/>
          <w:bCs/>
        </w:rPr>
        <w:t>Scale bar, 100</w:t>
      </w:r>
      <w:r w:rsidRPr="00E03FBC">
        <w:rPr>
          <w:rFonts w:ascii="Times New Roman"/>
          <w:bCs/>
        </w:rPr>
        <w:t>μ</w:t>
      </w:r>
      <w:r w:rsidRPr="00E03FBC">
        <w:rPr>
          <w:rFonts w:ascii="Times New Roman" w:hint="eastAsia"/>
          <w:bCs/>
        </w:rPr>
        <w:t>m.</w:t>
      </w:r>
      <w:r>
        <w:rPr>
          <w:rFonts w:ascii="Times New Roman" w:hint="eastAsia"/>
          <w:bCs/>
        </w:rPr>
        <w:t xml:space="preserve"> </w:t>
      </w:r>
      <w:r w:rsidRPr="00E03FBC">
        <w:rPr>
          <w:rFonts w:ascii="Times New Roman" w:eastAsia="TimesNewRoman"/>
          <w:color w:val="000000"/>
          <w:kern w:val="0"/>
        </w:rPr>
        <w:t>N:</w:t>
      </w:r>
      <w:r>
        <w:rPr>
          <w:rFonts w:ascii="Times New Roman" w:eastAsia="TimesNewRoman" w:hint="eastAsia"/>
          <w:color w:val="000000"/>
          <w:kern w:val="0"/>
        </w:rPr>
        <w:t xml:space="preserve"> </w:t>
      </w:r>
      <w:r w:rsidRPr="00E03FBC">
        <w:rPr>
          <w:rFonts w:ascii="Times New Roman" w:eastAsia="TimesNewRoman"/>
          <w:color w:val="000000"/>
          <w:kern w:val="0"/>
        </w:rPr>
        <w:t xml:space="preserve">necrotic region, PN: </w:t>
      </w:r>
      <w:proofErr w:type="spellStart"/>
      <w:r w:rsidRPr="00E03FBC">
        <w:rPr>
          <w:rFonts w:ascii="Times New Roman" w:eastAsia="TimesNewRoman"/>
          <w:color w:val="000000"/>
          <w:kern w:val="0"/>
        </w:rPr>
        <w:t>perinecrotic</w:t>
      </w:r>
      <w:proofErr w:type="spellEnd"/>
      <w:r w:rsidRPr="00E03FBC">
        <w:rPr>
          <w:rFonts w:ascii="Times New Roman" w:eastAsia="TimesNewRoman"/>
          <w:color w:val="000000"/>
          <w:kern w:val="0"/>
        </w:rPr>
        <w:t xml:space="preserve"> region. Scale bar, 500 </w:t>
      </w:r>
      <w:proofErr w:type="spellStart"/>
      <w:r w:rsidRPr="00E03FBC">
        <w:rPr>
          <w:rFonts w:ascii="Times New Roman" w:eastAsia="TimesNewRoman"/>
          <w:color w:val="000000"/>
          <w:kern w:val="0"/>
        </w:rPr>
        <w:t>μm</w:t>
      </w:r>
      <w:proofErr w:type="spellEnd"/>
      <w:r w:rsidRPr="00E03FBC">
        <w:rPr>
          <w:rFonts w:ascii="Times New Roman" w:eastAsia="TimesNewRoman"/>
          <w:color w:val="000000"/>
          <w:kern w:val="0"/>
        </w:rPr>
        <w:t>.</w:t>
      </w:r>
      <w:r w:rsidR="00B76702">
        <w:rPr>
          <w:rFonts w:ascii="Times New Roman"/>
        </w:rPr>
        <w:br w:type="page"/>
      </w:r>
    </w:p>
    <w:p w:rsidR="00B76702" w:rsidRDefault="004B5AAE" w:rsidP="004A45B7">
      <w:pPr>
        <w:wordWrap/>
        <w:adjustRightInd w:val="0"/>
        <w:snapToGrid w:val="0"/>
        <w:spacing w:after="200" w:line="480" w:lineRule="auto"/>
        <w:rPr>
          <w:rFonts w:ascii="Times New Roman"/>
          <w:b/>
        </w:rPr>
      </w:pPr>
      <w:r>
        <w:rPr>
          <w:rFonts w:ascii="Times New Roman"/>
          <w:b/>
          <w:noProof/>
        </w:rPr>
        <w:lastRenderedPageBreak/>
        <w:drawing>
          <wp:inline distT="0" distB="0" distL="0" distR="0" wp14:anchorId="5FDA1728" wp14:editId="4CB74F65">
            <wp:extent cx="5731510" cy="3749884"/>
            <wp:effectExtent l="0" t="0" r="0" b="3175"/>
            <wp:docPr id="3" name="그림 3" descr="C:\Users\Jinlong Yin\2011년3월국립암센터\실험관련\TGase 2\Manuscript_160217\170206 CR\Revision_170316\최종\Supplemental 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long Yin\2011년3월국립암센터\실험관련\TGase 2\Manuscript_160217\170206 CR\Revision_170316\최종\Supplemental Fig.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E4" w:rsidRDefault="00FD3259" w:rsidP="00FD3259">
      <w:pPr>
        <w:wordWrap/>
        <w:adjustRightInd w:val="0"/>
        <w:snapToGrid w:val="0"/>
        <w:spacing w:line="480" w:lineRule="auto"/>
        <w:rPr>
          <w:rFonts w:ascii="Times New Roman"/>
          <w:b/>
        </w:rPr>
      </w:pPr>
      <w:proofErr w:type="gramStart"/>
      <w:r>
        <w:rPr>
          <w:rFonts w:ascii="Times New Roman" w:hint="eastAsia"/>
          <w:b/>
        </w:rPr>
        <w:t>Supplementa</w:t>
      </w:r>
      <w:r w:rsidR="001D35E4">
        <w:rPr>
          <w:rFonts w:ascii="Times New Roman" w:hint="eastAsia"/>
          <w:b/>
        </w:rPr>
        <w:t>ry</w:t>
      </w:r>
      <w:r>
        <w:rPr>
          <w:rFonts w:ascii="Times New Roman" w:hint="eastAsia"/>
          <w:b/>
        </w:rPr>
        <w:t xml:space="preserve"> Figure 2.</w:t>
      </w:r>
      <w:proofErr w:type="gramEnd"/>
    </w:p>
    <w:p w:rsidR="000317C6" w:rsidRPr="00131AF1" w:rsidRDefault="00072690" w:rsidP="00072690">
      <w:pPr>
        <w:wordWrap/>
        <w:adjustRightInd w:val="0"/>
        <w:snapToGrid w:val="0"/>
        <w:spacing w:line="480" w:lineRule="auto"/>
        <w:rPr>
          <w:rFonts w:ascii="Times New Roman"/>
        </w:rPr>
      </w:pPr>
      <w:r w:rsidRPr="001724E7">
        <w:rPr>
          <w:rFonts w:ascii="Times New Roman"/>
          <w:b/>
        </w:rPr>
        <w:t>TGM2 regulates stemness of MES</w:t>
      </w:r>
      <w:r w:rsidRPr="001724E7">
        <w:rPr>
          <w:rFonts w:ascii="Times New Roman" w:hint="eastAsia"/>
          <w:b/>
        </w:rPr>
        <w:t xml:space="preserve">, </w:t>
      </w:r>
      <w:r w:rsidRPr="001724E7">
        <w:rPr>
          <w:rFonts w:ascii="Times New Roman"/>
          <w:b/>
        </w:rPr>
        <w:t>PN</w:t>
      </w:r>
      <w:r w:rsidRPr="001724E7">
        <w:rPr>
          <w:rFonts w:ascii="Times New Roman" w:hint="eastAsia"/>
          <w:b/>
        </w:rPr>
        <w:t xml:space="preserve">, and CL </w:t>
      </w:r>
      <w:r w:rsidRPr="001724E7">
        <w:rPr>
          <w:rFonts w:ascii="Times New Roman"/>
          <w:b/>
        </w:rPr>
        <w:t xml:space="preserve">GSC. </w:t>
      </w:r>
      <w:r w:rsidR="00DC04EB" w:rsidRPr="00DC04EB">
        <w:rPr>
          <w:rFonts w:ascii="Times New Roman" w:hint="eastAsia"/>
          <w:b/>
          <w:color w:val="000000" w:themeColor="text1"/>
        </w:rPr>
        <w:t>(</w:t>
      </w:r>
      <w:r w:rsidRPr="00DC04EB">
        <w:rPr>
          <w:rFonts w:ascii="Times New Roman" w:hint="eastAsia"/>
          <w:b/>
          <w:bCs/>
          <w:color w:val="000000" w:themeColor="text1"/>
        </w:rPr>
        <w:t>A</w:t>
      </w:r>
      <w:r w:rsidR="00DC04EB" w:rsidRPr="00DC04EB">
        <w:rPr>
          <w:rFonts w:ascii="Times New Roman" w:hint="eastAsia"/>
          <w:b/>
          <w:bCs/>
          <w:color w:val="000000" w:themeColor="text1"/>
        </w:rPr>
        <w:t>)</w:t>
      </w:r>
      <w:r>
        <w:rPr>
          <w:rFonts w:ascii="Times New Roman" w:hint="eastAsia"/>
          <w:b/>
          <w:bCs/>
        </w:rPr>
        <w:t xml:space="preserve"> </w:t>
      </w:r>
      <w:r w:rsidRPr="00B015AE">
        <w:rPr>
          <w:rFonts w:ascii="Times New Roman" w:hint="eastAsia"/>
          <w:bCs/>
        </w:rPr>
        <w:t xml:space="preserve">IB </w:t>
      </w:r>
      <w:r w:rsidRPr="00B015AE">
        <w:rPr>
          <w:rFonts w:ascii="Times New Roman"/>
          <w:bCs/>
        </w:rPr>
        <w:t xml:space="preserve">analysis of </w:t>
      </w:r>
      <w:r w:rsidRPr="00B015AE">
        <w:rPr>
          <w:rFonts w:ascii="Times New Roman" w:hint="eastAsia"/>
          <w:bCs/>
        </w:rPr>
        <w:t>TGM2, CD44, TAZ, C/EBP</w:t>
      </w:r>
      <w:r w:rsidRPr="00B015AE">
        <w:rPr>
          <w:rFonts w:ascii="Times New Roman"/>
          <w:bCs/>
        </w:rPr>
        <w:t>β</w:t>
      </w:r>
      <w:r w:rsidRPr="00B015AE">
        <w:rPr>
          <w:rFonts w:ascii="Times New Roman" w:hint="eastAsia"/>
          <w:bCs/>
        </w:rPr>
        <w:t xml:space="preserve">, pSTAT3, and STAT3 in GSC </w:t>
      </w:r>
      <w:r>
        <w:rPr>
          <w:rFonts w:ascii="Times New Roman" w:hint="eastAsia"/>
          <w:bCs/>
        </w:rPr>
        <w:t>(</w:t>
      </w:r>
      <w:r w:rsidRPr="00B015AE">
        <w:rPr>
          <w:rFonts w:ascii="Times New Roman" w:hint="eastAsia"/>
          <w:bCs/>
        </w:rPr>
        <w:t>131</w:t>
      </w:r>
      <w:r>
        <w:rPr>
          <w:rFonts w:ascii="Times New Roman" w:hint="eastAsia"/>
          <w:bCs/>
        </w:rPr>
        <w:t>)</w:t>
      </w:r>
      <w:r w:rsidRPr="00B015AE">
        <w:rPr>
          <w:rFonts w:ascii="Times New Roman" w:hint="eastAsia"/>
          <w:bCs/>
        </w:rPr>
        <w:t xml:space="preserve"> infected </w:t>
      </w:r>
      <w:r w:rsidRPr="00B015AE">
        <w:rPr>
          <w:rFonts w:ascii="Times New Roman"/>
          <w:bCs/>
        </w:rPr>
        <w:t xml:space="preserve">with </w:t>
      </w:r>
      <w:r w:rsidRPr="00B015AE">
        <w:rPr>
          <w:rFonts w:ascii="Times New Roman" w:hint="eastAsia"/>
          <w:bCs/>
        </w:rPr>
        <w:t xml:space="preserve">shTGM2-expressing </w:t>
      </w:r>
      <w:proofErr w:type="spellStart"/>
      <w:r w:rsidRPr="00B015AE">
        <w:rPr>
          <w:rFonts w:ascii="Times New Roman"/>
          <w:bCs/>
        </w:rPr>
        <w:t>lentiviral</w:t>
      </w:r>
      <w:proofErr w:type="spellEnd"/>
      <w:r w:rsidRPr="00B015AE">
        <w:rPr>
          <w:rFonts w:ascii="Times New Roman" w:hint="eastAsia"/>
          <w:bCs/>
        </w:rPr>
        <w:t xml:space="preserve"> or control construct. </w:t>
      </w:r>
      <w:r w:rsidRPr="00B015AE">
        <w:rPr>
          <w:rFonts w:ascii="Times New Roman"/>
          <w:bCs/>
        </w:rPr>
        <w:t>α</w:t>
      </w:r>
      <w:r w:rsidRPr="00B015AE">
        <w:rPr>
          <w:rFonts w:ascii="Times New Roman" w:hint="eastAsia"/>
          <w:bCs/>
        </w:rPr>
        <w:t>-tubulin</w:t>
      </w:r>
      <w:r>
        <w:rPr>
          <w:rFonts w:ascii="Times New Roman" w:hint="eastAsia"/>
          <w:bCs/>
        </w:rPr>
        <w:t xml:space="preserve"> </w:t>
      </w:r>
      <w:r w:rsidRPr="00B015AE">
        <w:rPr>
          <w:rFonts w:ascii="Times New Roman"/>
          <w:bCs/>
        </w:rPr>
        <w:t>was used as a loading control.</w:t>
      </w:r>
      <w:r>
        <w:rPr>
          <w:rFonts w:ascii="Times New Roman" w:hint="eastAsia"/>
          <w:bCs/>
        </w:rPr>
        <w:t xml:space="preserve"> </w:t>
      </w:r>
      <w:r w:rsidR="00DC04EB" w:rsidRPr="00DC04EB">
        <w:rPr>
          <w:rFonts w:ascii="Times New Roman" w:hint="eastAsia"/>
          <w:b/>
          <w:bCs/>
        </w:rPr>
        <w:t>(</w:t>
      </w:r>
      <w:r>
        <w:rPr>
          <w:rFonts w:ascii="Times New Roman" w:hint="eastAsia"/>
          <w:b/>
          <w:bCs/>
        </w:rPr>
        <w:t>B</w:t>
      </w:r>
      <w:r w:rsidR="00DC04EB">
        <w:rPr>
          <w:rFonts w:ascii="Times New Roman" w:hint="eastAsia"/>
          <w:b/>
          <w:bCs/>
        </w:rPr>
        <w:t>)</w:t>
      </w:r>
      <w:r>
        <w:rPr>
          <w:rFonts w:ascii="Times New Roman" w:hint="eastAsia"/>
          <w:b/>
          <w:bCs/>
        </w:rPr>
        <w:t xml:space="preserve"> </w:t>
      </w:r>
      <w:r w:rsidRPr="00B015AE">
        <w:rPr>
          <w:rFonts w:ascii="Times New Roman"/>
          <w:bCs/>
        </w:rPr>
        <w:t>LDA</w:t>
      </w:r>
      <w:r w:rsidRPr="00B015AE">
        <w:rPr>
          <w:rFonts w:ascii="Times New Roman" w:hint="eastAsia"/>
          <w:bCs/>
        </w:rPr>
        <w:t xml:space="preserve"> was performed in 131-Con, 131-shTGM2-B</w:t>
      </w:r>
      <w:r>
        <w:rPr>
          <w:rFonts w:ascii="Times New Roman" w:hint="eastAsia"/>
          <w:bCs/>
        </w:rPr>
        <w:t>, and 131-shTGM2-C cells</w:t>
      </w:r>
      <w:r w:rsidRPr="00B015AE">
        <w:rPr>
          <w:rFonts w:ascii="Times New Roman"/>
          <w:bCs/>
        </w:rPr>
        <w:t>.</w:t>
      </w:r>
      <w:r>
        <w:rPr>
          <w:rFonts w:ascii="Times New Roman" w:hint="eastAsia"/>
          <w:bCs/>
        </w:rPr>
        <w:t xml:space="preserve"> </w:t>
      </w:r>
      <w:r w:rsidR="00DC04EB" w:rsidRPr="00DC04EB">
        <w:rPr>
          <w:rFonts w:ascii="Times New Roman" w:hint="eastAsia"/>
          <w:b/>
          <w:bCs/>
        </w:rPr>
        <w:t>(</w:t>
      </w:r>
      <w:r w:rsidRPr="00DC04EB">
        <w:rPr>
          <w:rFonts w:ascii="Times New Roman" w:hint="eastAsia"/>
          <w:b/>
          <w:bCs/>
        </w:rPr>
        <w:t>C</w:t>
      </w:r>
      <w:r w:rsidR="00DC04EB" w:rsidRPr="00DC04EB">
        <w:rPr>
          <w:rFonts w:ascii="Times New Roman" w:hint="eastAsia"/>
          <w:b/>
          <w:bCs/>
        </w:rPr>
        <w:t>)</w:t>
      </w:r>
      <w:r>
        <w:rPr>
          <w:rFonts w:ascii="Times New Roman" w:hint="eastAsia"/>
          <w:b/>
          <w:bCs/>
        </w:rPr>
        <w:t xml:space="preserve"> </w:t>
      </w:r>
      <w:r w:rsidRPr="00B015AE">
        <w:rPr>
          <w:rFonts w:ascii="Times New Roman" w:hint="eastAsia"/>
          <w:bCs/>
        </w:rPr>
        <w:t xml:space="preserve">IB </w:t>
      </w:r>
      <w:r w:rsidRPr="00B015AE">
        <w:rPr>
          <w:rFonts w:ascii="Times New Roman"/>
          <w:bCs/>
        </w:rPr>
        <w:t xml:space="preserve">analysis of </w:t>
      </w:r>
      <w:r w:rsidRPr="00B015AE">
        <w:rPr>
          <w:rFonts w:ascii="Times New Roman" w:hint="eastAsia"/>
          <w:bCs/>
        </w:rPr>
        <w:t>TGM2, CD44, TAZ, C/EBP</w:t>
      </w:r>
      <w:r w:rsidRPr="00B015AE">
        <w:rPr>
          <w:rFonts w:ascii="Times New Roman"/>
          <w:bCs/>
        </w:rPr>
        <w:t>β</w:t>
      </w:r>
      <w:r w:rsidRPr="00B015AE">
        <w:rPr>
          <w:rFonts w:ascii="Times New Roman" w:hint="eastAsia"/>
          <w:bCs/>
        </w:rPr>
        <w:t xml:space="preserve">, pSTAT3, and STAT3 in GSC </w:t>
      </w:r>
      <w:r>
        <w:rPr>
          <w:rFonts w:ascii="Times New Roman" w:hint="eastAsia"/>
          <w:bCs/>
        </w:rPr>
        <w:t>(</w:t>
      </w:r>
      <w:r w:rsidRPr="00B015AE">
        <w:rPr>
          <w:rFonts w:ascii="Times New Roman" w:hint="eastAsia"/>
          <w:bCs/>
        </w:rPr>
        <w:t>84NS</w:t>
      </w:r>
      <w:r>
        <w:rPr>
          <w:rFonts w:ascii="Times New Roman" w:hint="eastAsia"/>
          <w:bCs/>
        </w:rPr>
        <w:t>)</w:t>
      </w:r>
      <w:r w:rsidRPr="00B015AE">
        <w:rPr>
          <w:rFonts w:ascii="Times New Roman" w:hint="eastAsia"/>
          <w:bCs/>
        </w:rPr>
        <w:t xml:space="preserve"> infected </w:t>
      </w:r>
      <w:r w:rsidRPr="00B015AE">
        <w:rPr>
          <w:rFonts w:ascii="Times New Roman"/>
          <w:bCs/>
        </w:rPr>
        <w:t xml:space="preserve">with </w:t>
      </w:r>
      <w:r w:rsidRPr="00B015AE">
        <w:rPr>
          <w:rFonts w:ascii="Times New Roman" w:hint="eastAsia"/>
          <w:bCs/>
        </w:rPr>
        <w:t xml:space="preserve">TGM2-expressing </w:t>
      </w:r>
      <w:proofErr w:type="spellStart"/>
      <w:r w:rsidRPr="00B015AE">
        <w:rPr>
          <w:rFonts w:ascii="Times New Roman"/>
          <w:bCs/>
        </w:rPr>
        <w:t>lentiviral</w:t>
      </w:r>
      <w:proofErr w:type="spellEnd"/>
      <w:r w:rsidRPr="00B015AE">
        <w:rPr>
          <w:rFonts w:ascii="Times New Roman" w:hint="eastAsia"/>
          <w:bCs/>
        </w:rPr>
        <w:t xml:space="preserve"> or control construct. </w:t>
      </w:r>
      <w:r w:rsidRPr="00B015AE">
        <w:rPr>
          <w:rFonts w:ascii="Times New Roman"/>
          <w:bCs/>
        </w:rPr>
        <w:t>α</w:t>
      </w:r>
      <w:r w:rsidRPr="00B015AE">
        <w:rPr>
          <w:rFonts w:ascii="Times New Roman" w:hint="eastAsia"/>
          <w:bCs/>
        </w:rPr>
        <w:t>-tubulin</w:t>
      </w:r>
      <w:r>
        <w:rPr>
          <w:rFonts w:ascii="Times New Roman" w:hint="eastAsia"/>
          <w:bCs/>
        </w:rPr>
        <w:t xml:space="preserve"> </w:t>
      </w:r>
      <w:r w:rsidRPr="00B015AE">
        <w:rPr>
          <w:rFonts w:ascii="Times New Roman"/>
          <w:bCs/>
        </w:rPr>
        <w:t>was used as a loading control.</w:t>
      </w:r>
      <w:r>
        <w:rPr>
          <w:rFonts w:ascii="Times New Roman" w:hint="eastAsia"/>
          <w:b/>
          <w:bCs/>
        </w:rPr>
        <w:t xml:space="preserve"> </w:t>
      </w:r>
      <w:r w:rsidR="00DC04EB">
        <w:rPr>
          <w:rFonts w:ascii="Times New Roman" w:hint="eastAsia"/>
          <w:b/>
          <w:bCs/>
        </w:rPr>
        <w:t>(</w:t>
      </w:r>
      <w:r>
        <w:rPr>
          <w:rFonts w:ascii="Times New Roman" w:hint="eastAsia"/>
          <w:b/>
          <w:bCs/>
        </w:rPr>
        <w:t>D</w:t>
      </w:r>
      <w:r w:rsidR="00DC04EB">
        <w:rPr>
          <w:rFonts w:ascii="Times New Roman" w:hint="eastAsia"/>
          <w:b/>
          <w:bCs/>
        </w:rPr>
        <w:t>)</w:t>
      </w:r>
      <w:r>
        <w:rPr>
          <w:rFonts w:ascii="Times New Roman" w:hint="eastAsia"/>
          <w:b/>
          <w:bCs/>
        </w:rPr>
        <w:t xml:space="preserve"> </w:t>
      </w:r>
      <w:r w:rsidRPr="00B015AE">
        <w:rPr>
          <w:rFonts w:ascii="Times New Roman"/>
          <w:bCs/>
        </w:rPr>
        <w:t>LDA</w:t>
      </w:r>
      <w:r w:rsidRPr="00B015AE">
        <w:rPr>
          <w:rFonts w:ascii="Times New Roman" w:hint="eastAsia"/>
          <w:bCs/>
        </w:rPr>
        <w:t xml:space="preserve"> was performed in 84NS-Con and 84NS-TGM2 cells</w:t>
      </w:r>
      <w:r>
        <w:rPr>
          <w:rFonts w:ascii="Times New Roman" w:hint="eastAsia"/>
          <w:bCs/>
        </w:rPr>
        <w:t xml:space="preserve">. </w:t>
      </w:r>
      <w:r w:rsidR="00DC04EB">
        <w:rPr>
          <w:rFonts w:ascii="Times New Roman" w:hint="eastAsia"/>
          <w:bCs/>
        </w:rPr>
        <w:t>(</w:t>
      </w:r>
      <w:r>
        <w:rPr>
          <w:rFonts w:ascii="Times New Roman" w:eastAsia="TimesNewRoman,Bold" w:hint="eastAsia"/>
          <w:b/>
          <w:bCs/>
          <w:color w:val="000000"/>
          <w:kern w:val="0"/>
        </w:rPr>
        <w:t>E</w:t>
      </w:r>
      <w:r w:rsidR="00DC04EB">
        <w:rPr>
          <w:rFonts w:ascii="Times New Roman" w:eastAsia="TimesNewRoman,Bold" w:hint="eastAsia"/>
          <w:b/>
          <w:bCs/>
          <w:color w:val="000000"/>
          <w:kern w:val="0"/>
        </w:rPr>
        <w:t>)</w:t>
      </w:r>
      <w:r w:rsidRPr="00833CE7">
        <w:rPr>
          <w:rFonts w:ascii="Times New Roman" w:eastAsia="TimesNewRoman"/>
          <w:color w:val="000000"/>
          <w:kern w:val="0"/>
        </w:rPr>
        <w:t xml:space="preserve"> IB analysis of TGM2, CD44, and C/EBPβ in 047T cells infected with TGM2-expressing </w:t>
      </w:r>
      <w:proofErr w:type="spellStart"/>
      <w:r w:rsidRPr="00833CE7">
        <w:rPr>
          <w:rFonts w:ascii="Times New Roman" w:eastAsia="TimesNewRoman"/>
          <w:color w:val="000000"/>
          <w:kern w:val="0"/>
        </w:rPr>
        <w:t>lentiviral</w:t>
      </w:r>
      <w:proofErr w:type="spellEnd"/>
      <w:r w:rsidRPr="00833CE7">
        <w:rPr>
          <w:rFonts w:ascii="Times New Roman" w:eastAsia="TimesNewRoman"/>
          <w:color w:val="000000"/>
          <w:kern w:val="0"/>
        </w:rPr>
        <w:t xml:space="preserve"> or control construct. </w:t>
      </w:r>
      <w:proofErr w:type="gramStart"/>
      <w:r w:rsidRPr="00833CE7">
        <w:rPr>
          <w:rFonts w:ascii="Times New Roman" w:eastAsia="TimesNewRoman"/>
          <w:color w:val="000000"/>
          <w:kern w:val="0"/>
        </w:rPr>
        <w:t>α-tubulin</w:t>
      </w:r>
      <w:proofErr w:type="gramEnd"/>
      <w:r w:rsidRPr="00833CE7">
        <w:rPr>
          <w:rFonts w:ascii="Times New Roman" w:eastAsia="TimesNewRoman"/>
          <w:color w:val="000000"/>
          <w:kern w:val="0"/>
        </w:rPr>
        <w:t xml:space="preserve"> was used as a loading control.</w:t>
      </w:r>
      <w:r>
        <w:rPr>
          <w:rFonts w:ascii="Times New Roman" w:eastAsia="TimesNewRoman" w:hint="eastAsia"/>
          <w:color w:val="000000"/>
          <w:kern w:val="0"/>
        </w:rPr>
        <w:t xml:space="preserve"> </w:t>
      </w:r>
      <w:r w:rsidR="00DC04EB" w:rsidRPr="00DC04EB">
        <w:rPr>
          <w:rFonts w:ascii="Times New Roman" w:eastAsia="TimesNewRoman" w:hint="eastAsia"/>
          <w:color w:val="000000" w:themeColor="text1"/>
          <w:kern w:val="0"/>
        </w:rPr>
        <w:t>(</w:t>
      </w:r>
      <w:r w:rsidRPr="00DC04EB">
        <w:rPr>
          <w:rFonts w:ascii="Times New Roman" w:eastAsia="TimesNewRoman,Bold" w:hint="eastAsia"/>
          <w:b/>
          <w:bCs/>
          <w:color w:val="000000" w:themeColor="text1"/>
          <w:kern w:val="0"/>
        </w:rPr>
        <w:t>F</w:t>
      </w:r>
      <w:r w:rsidR="00DC04EB" w:rsidRPr="00DC04EB">
        <w:rPr>
          <w:rFonts w:ascii="Times New Roman" w:eastAsia="TimesNewRoman,Bold" w:hint="eastAsia"/>
          <w:b/>
          <w:bCs/>
          <w:color w:val="000000" w:themeColor="text1"/>
          <w:kern w:val="0"/>
        </w:rPr>
        <w:t>)</w:t>
      </w:r>
      <w:r w:rsidRPr="00833CE7">
        <w:rPr>
          <w:rFonts w:ascii="Times New Roman" w:eastAsia="TimesNewRoman"/>
          <w:color w:val="000000"/>
          <w:kern w:val="0"/>
        </w:rPr>
        <w:t xml:space="preserve"> LDA was performed in 047T-Con and 047T-TGM2 cells. </w:t>
      </w:r>
      <w:r w:rsidR="00DC04EB" w:rsidRPr="00DC04EB">
        <w:rPr>
          <w:rFonts w:ascii="Times New Roman" w:eastAsia="TimesNewRoman" w:hint="eastAsia"/>
          <w:color w:val="000000" w:themeColor="text1"/>
          <w:kern w:val="0"/>
        </w:rPr>
        <w:t>(</w:t>
      </w:r>
      <w:r w:rsidRPr="00DC04EB">
        <w:rPr>
          <w:rFonts w:ascii="Times New Roman" w:eastAsia="TimesNewRoman,Bold" w:hint="eastAsia"/>
          <w:b/>
          <w:bCs/>
          <w:color w:val="000000" w:themeColor="text1"/>
          <w:kern w:val="0"/>
        </w:rPr>
        <w:t>G</w:t>
      </w:r>
      <w:r w:rsidR="00DC04EB" w:rsidRPr="00DC04EB">
        <w:rPr>
          <w:rFonts w:ascii="Times New Roman" w:eastAsia="TimesNewRoman,Bold" w:hint="eastAsia"/>
          <w:b/>
          <w:bCs/>
          <w:color w:val="000000" w:themeColor="text1"/>
          <w:kern w:val="0"/>
        </w:rPr>
        <w:t>)</w:t>
      </w:r>
      <w:r w:rsidRPr="00DC04EB">
        <w:rPr>
          <w:rFonts w:ascii="Times New Roman" w:eastAsia="TimesNewRoman"/>
          <w:color w:val="000000" w:themeColor="text1"/>
          <w:kern w:val="0"/>
        </w:rPr>
        <w:t xml:space="preserve"> </w:t>
      </w:r>
      <w:r w:rsidRPr="00833CE7">
        <w:rPr>
          <w:rFonts w:ascii="Times New Roman" w:eastAsia="TimesNewRoman"/>
          <w:color w:val="000000"/>
          <w:kern w:val="0"/>
        </w:rPr>
        <w:t>IB analysis of TGM2,</w:t>
      </w:r>
      <w:r>
        <w:rPr>
          <w:rFonts w:ascii="Times New Roman" w:eastAsia="TimesNewRoman" w:hint="eastAsia"/>
          <w:color w:val="000000"/>
          <w:kern w:val="0"/>
        </w:rPr>
        <w:t xml:space="preserve"> </w:t>
      </w:r>
      <w:r w:rsidRPr="00833CE7">
        <w:rPr>
          <w:rFonts w:ascii="Times New Roman" w:eastAsia="TimesNewRoman"/>
          <w:color w:val="000000"/>
          <w:kern w:val="0"/>
        </w:rPr>
        <w:t xml:space="preserve">CD44, and C/EBPβ in 352T2 cells infected with TGM2-expressing </w:t>
      </w:r>
      <w:proofErr w:type="spellStart"/>
      <w:r w:rsidRPr="00833CE7">
        <w:rPr>
          <w:rFonts w:ascii="Times New Roman" w:eastAsia="TimesNewRoman"/>
          <w:color w:val="000000"/>
          <w:kern w:val="0"/>
        </w:rPr>
        <w:t>lentiviral</w:t>
      </w:r>
      <w:proofErr w:type="spellEnd"/>
      <w:r w:rsidRPr="00833CE7">
        <w:rPr>
          <w:rFonts w:ascii="Times New Roman" w:eastAsia="TimesNewRoman"/>
          <w:color w:val="000000"/>
          <w:kern w:val="0"/>
        </w:rPr>
        <w:t xml:space="preserve"> or control</w:t>
      </w:r>
      <w:r>
        <w:rPr>
          <w:rFonts w:ascii="Times New Roman" w:eastAsia="TimesNewRoman" w:hint="eastAsia"/>
          <w:color w:val="000000"/>
          <w:kern w:val="0"/>
        </w:rPr>
        <w:t xml:space="preserve"> </w:t>
      </w:r>
      <w:r w:rsidRPr="00833CE7">
        <w:rPr>
          <w:rFonts w:ascii="Times New Roman" w:eastAsia="TimesNewRoman"/>
          <w:color w:val="000000"/>
          <w:kern w:val="0"/>
        </w:rPr>
        <w:t>construct. Α</w:t>
      </w:r>
      <w:r>
        <w:rPr>
          <w:rFonts w:ascii="Times New Roman" w:eastAsia="TimesNewRoman" w:hint="eastAsia"/>
          <w:color w:val="000000"/>
          <w:kern w:val="0"/>
        </w:rPr>
        <w:t>-</w:t>
      </w:r>
      <w:r w:rsidRPr="00833CE7">
        <w:rPr>
          <w:rFonts w:ascii="Times New Roman" w:eastAsia="TimesNewRoman"/>
          <w:color w:val="000000"/>
          <w:kern w:val="0"/>
        </w:rPr>
        <w:t xml:space="preserve">tubulin was used as a loading control. </w:t>
      </w:r>
      <w:r w:rsidR="00DC04EB" w:rsidRPr="00DC04EB">
        <w:rPr>
          <w:rFonts w:ascii="Times New Roman" w:eastAsia="TimesNewRoman" w:hint="eastAsia"/>
          <w:b/>
          <w:color w:val="000000"/>
          <w:kern w:val="0"/>
        </w:rPr>
        <w:t>(</w:t>
      </w:r>
      <w:r w:rsidRPr="00DC04EB">
        <w:rPr>
          <w:rFonts w:ascii="Times New Roman" w:eastAsia="TimesNewRoman,Bold" w:hint="eastAsia"/>
          <w:b/>
          <w:bCs/>
          <w:color w:val="000000"/>
          <w:kern w:val="0"/>
        </w:rPr>
        <w:t>H</w:t>
      </w:r>
      <w:r w:rsidR="00DC04EB" w:rsidRPr="00DC04EB">
        <w:rPr>
          <w:rFonts w:ascii="Times New Roman" w:eastAsia="TimesNewRoman,Bold" w:hint="eastAsia"/>
          <w:b/>
          <w:bCs/>
          <w:color w:val="000000"/>
          <w:kern w:val="0"/>
        </w:rPr>
        <w:t>)</w:t>
      </w:r>
      <w:r w:rsidRPr="00833CE7">
        <w:rPr>
          <w:rFonts w:ascii="Times New Roman" w:eastAsia="TimesNewRoman"/>
          <w:color w:val="000000"/>
          <w:kern w:val="0"/>
        </w:rPr>
        <w:t xml:space="preserve"> </w:t>
      </w:r>
      <w:r w:rsidRPr="00833CE7">
        <w:rPr>
          <w:rFonts w:ascii="Times New Roman" w:eastAsia="TimesNewRoman"/>
          <w:color w:val="000000"/>
          <w:kern w:val="0"/>
        </w:rPr>
        <w:lastRenderedPageBreak/>
        <w:t>LDA was performed in 352T2-Con</w:t>
      </w:r>
      <w:r>
        <w:rPr>
          <w:rFonts w:ascii="Times New Roman" w:eastAsia="TimesNewRoman" w:hint="eastAsia"/>
          <w:color w:val="000000"/>
          <w:kern w:val="0"/>
        </w:rPr>
        <w:t xml:space="preserve"> </w:t>
      </w:r>
      <w:r w:rsidRPr="00833CE7">
        <w:rPr>
          <w:rFonts w:ascii="Times New Roman" w:eastAsia="TimesNewRoman"/>
          <w:color w:val="000000"/>
          <w:kern w:val="0"/>
        </w:rPr>
        <w:t>and 352T2-TGM2 cells.</w:t>
      </w:r>
    </w:p>
    <w:p w:rsidR="00B76702" w:rsidRDefault="00B76702" w:rsidP="008D5003">
      <w:pPr>
        <w:widowControl/>
        <w:wordWrap/>
        <w:autoSpaceDE/>
        <w:autoSpaceDN/>
        <w:spacing w:after="200" w:line="276" w:lineRule="auto"/>
        <w:rPr>
          <w:rFonts w:ascii="Times New Roman"/>
          <w:b/>
        </w:rPr>
      </w:pPr>
      <w:r>
        <w:rPr>
          <w:rFonts w:ascii="Times New Roman"/>
          <w:b/>
        </w:rPr>
        <w:br w:type="page"/>
      </w:r>
      <w:r w:rsidR="006B5998">
        <w:rPr>
          <w:rFonts w:ascii="Times New Roman"/>
          <w:b/>
          <w:noProof/>
        </w:rPr>
        <w:lastRenderedPageBreak/>
        <w:drawing>
          <wp:inline distT="0" distB="0" distL="0" distR="0">
            <wp:extent cx="5731510" cy="1642923"/>
            <wp:effectExtent l="0" t="0" r="2540" b="0"/>
            <wp:docPr id="1" name="그림 1" descr="C:\Users\Jinlong Yin\2011년3월국립암센터\실험관련\TGase 2\Manuscript_160217\170206 CR\Revision_170316\Supplementary Fig.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long Yin\2011년3월국립암센터\실험관련\TGase 2\Manuscript_160217\170206 CR\Revision_170316\Supplementary Fig.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E4" w:rsidRDefault="00FD3259" w:rsidP="0072323C">
      <w:pPr>
        <w:wordWrap/>
        <w:adjustRightInd w:val="0"/>
        <w:snapToGrid w:val="0"/>
        <w:spacing w:line="480" w:lineRule="auto"/>
        <w:rPr>
          <w:rFonts w:ascii="Times New Roman"/>
          <w:b/>
        </w:rPr>
      </w:pPr>
      <w:proofErr w:type="gramStart"/>
      <w:r>
        <w:rPr>
          <w:rFonts w:ascii="Times New Roman" w:hint="eastAsia"/>
          <w:b/>
        </w:rPr>
        <w:t>Supplementa</w:t>
      </w:r>
      <w:r w:rsidR="001D35E4">
        <w:rPr>
          <w:rFonts w:ascii="Times New Roman" w:hint="eastAsia"/>
          <w:b/>
        </w:rPr>
        <w:t>ry</w:t>
      </w:r>
      <w:r>
        <w:rPr>
          <w:rFonts w:ascii="Times New Roman" w:hint="eastAsia"/>
          <w:b/>
        </w:rPr>
        <w:t xml:space="preserve"> Figure </w:t>
      </w:r>
      <w:r w:rsidR="00072690">
        <w:rPr>
          <w:rFonts w:ascii="Times New Roman" w:hint="eastAsia"/>
          <w:b/>
        </w:rPr>
        <w:t>3</w:t>
      </w:r>
      <w:r>
        <w:rPr>
          <w:rFonts w:ascii="Times New Roman" w:hint="eastAsia"/>
          <w:b/>
        </w:rPr>
        <w:t>.</w:t>
      </w:r>
      <w:proofErr w:type="gramEnd"/>
    </w:p>
    <w:p w:rsidR="00EB1A96" w:rsidRPr="004A45B7" w:rsidRDefault="00F30B8B" w:rsidP="00072690">
      <w:pPr>
        <w:wordWrap/>
        <w:adjustRightInd w:val="0"/>
        <w:snapToGrid w:val="0"/>
        <w:spacing w:line="480" w:lineRule="auto"/>
        <w:rPr>
          <w:rFonts w:ascii="Times New Roman"/>
          <w:bCs/>
        </w:rPr>
      </w:pPr>
      <w:proofErr w:type="gramStart"/>
      <w:r w:rsidRPr="00F30B8B">
        <w:rPr>
          <w:rFonts w:ascii="Times New Roman"/>
          <w:b/>
        </w:rPr>
        <w:t>A negative correlation between C/EBPβ and GADD153</w:t>
      </w:r>
      <w:r w:rsidR="005D401F">
        <w:rPr>
          <w:rFonts w:ascii="Times New Roman" w:hint="eastAsia"/>
          <w:b/>
        </w:rPr>
        <w:t>.</w:t>
      </w:r>
      <w:proofErr w:type="gramEnd"/>
      <w:r w:rsidR="0072323C">
        <w:rPr>
          <w:rFonts w:ascii="Times New Roman" w:hint="eastAsia"/>
          <w:b/>
        </w:rPr>
        <w:t xml:space="preserve"> </w:t>
      </w:r>
      <w:r w:rsidR="00A73DC6" w:rsidRPr="00857D5D">
        <w:rPr>
          <w:rFonts w:ascii="Times New Roman" w:hint="eastAsia"/>
          <w:b/>
        </w:rPr>
        <w:t>(A)</w:t>
      </w:r>
      <w:r w:rsidR="00A73DC6">
        <w:rPr>
          <w:rFonts w:ascii="Times New Roman" w:hint="eastAsia"/>
        </w:rPr>
        <w:t xml:space="preserve"> </w:t>
      </w:r>
      <w:r w:rsidR="00A73DC6" w:rsidRPr="00F30B8B">
        <w:rPr>
          <w:rFonts w:ascii="Times New Roman"/>
        </w:rPr>
        <w:t>A dot plot of MES subtype-associated genes that are correlated with TGM2 in TCGA database.</w:t>
      </w:r>
      <w:r w:rsidR="00A73DC6">
        <w:rPr>
          <w:rFonts w:ascii="Times New Roman" w:hint="eastAsia"/>
        </w:rPr>
        <w:t xml:space="preserve"> </w:t>
      </w:r>
      <w:r w:rsidR="00A73DC6" w:rsidRPr="00857D5D">
        <w:rPr>
          <w:rFonts w:ascii="Times New Roman" w:hint="eastAsia"/>
          <w:b/>
        </w:rPr>
        <w:t>(B</w:t>
      </w:r>
      <w:r w:rsidR="00857D5D">
        <w:rPr>
          <w:rFonts w:ascii="Times New Roman" w:hint="eastAsia"/>
          <w:b/>
        </w:rPr>
        <w:t xml:space="preserve"> </w:t>
      </w:r>
      <w:r w:rsidR="00857D5D" w:rsidRPr="00857D5D">
        <w:rPr>
          <w:rFonts w:ascii="Times New Roman" w:hint="eastAsia"/>
        </w:rPr>
        <w:t>and</w:t>
      </w:r>
      <w:r w:rsidR="00A73DC6" w:rsidRPr="00857D5D">
        <w:rPr>
          <w:rFonts w:ascii="Times New Roman" w:hint="eastAsia"/>
          <w:b/>
        </w:rPr>
        <w:t xml:space="preserve"> C)</w:t>
      </w:r>
      <w:r w:rsidR="00A73DC6">
        <w:rPr>
          <w:rFonts w:ascii="Times New Roman" w:hint="eastAsia"/>
        </w:rPr>
        <w:t xml:space="preserve"> </w:t>
      </w:r>
      <w:r w:rsidR="00A73DC6" w:rsidRPr="004A45B7">
        <w:rPr>
          <w:rFonts w:ascii="Times New Roman"/>
        </w:rPr>
        <w:t>IB analysis of TGM2</w:t>
      </w:r>
      <w:r w:rsidR="00A73DC6">
        <w:rPr>
          <w:rFonts w:ascii="Times New Roman" w:hint="eastAsia"/>
        </w:rPr>
        <w:t xml:space="preserve"> </w:t>
      </w:r>
      <w:r w:rsidR="00A73DC6" w:rsidRPr="004A45B7">
        <w:rPr>
          <w:rFonts w:ascii="Times New Roman"/>
        </w:rPr>
        <w:t xml:space="preserve">and GADD153 in 131 cells treated with the proteasome inhibitor MG132 (10 </w:t>
      </w:r>
      <w:proofErr w:type="spellStart"/>
      <w:r w:rsidR="00A73DC6" w:rsidRPr="004A45B7">
        <w:rPr>
          <w:rFonts w:ascii="Times New Roman"/>
        </w:rPr>
        <w:t>μM</w:t>
      </w:r>
      <w:proofErr w:type="spellEnd"/>
      <w:r w:rsidR="00A73DC6" w:rsidRPr="004A45B7">
        <w:rPr>
          <w:rFonts w:ascii="Times New Roman"/>
        </w:rPr>
        <w:t>, 12 h)</w:t>
      </w:r>
      <w:r w:rsidR="00A73DC6">
        <w:rPr>
          <w:rFonts w:ascii="Times New Roman" w:hint="eastAsia"/>
        </w:rPr>
        <w:t xml:space="preserve"> </w:t>
      </w:r>
      <w:r w:rsidR="00A73DC6" w:rsidRPr="00857D5D">
        <w:rPr>
          <w:rFonts w:ascii="Times New Roman" w:hint="eastAsia"/>
          <w:b/>
        </w:rPr>
        <w:t>(B)</w:t>
      </w:r>
      <w:r w:rsidR="00A73DC6" w:rsidRPr="004A45B7">
        <w:rPr>
          <w:rFonts w:ascii="Times New Roman"/>
        </w:rPr>
        <w:t xml:space="preserve"> and </w:t>
      </w:r>
      <w:proofErr w:type="spellStart"/>
      <w:r w:rsidR="00A73DC6" w:rsidRPr="004A45B7">
        <w:rPr>
          <w:rFonts w:ascii="Times New Roman"/>
        </w:rPr>
        <w:t>epoxomicin</w:t>
      </w:r>
      <w:proofErr w:type="spellEnd"/>
      <w:r w:rsidR="00A73DC6" w:rsidRPr="004A45B7">
        <w:rPr>
          <w:rFonts w:ascii="Times New Roman"/>
        </w:rPr>
        <w:t xml:space="preserve"> (2 </w:t>
      </w:r>
      <w:proofErr w:type="spellStart"/>
      <w:r w:rsidR="00A73DC6" w:rsidRPr="004A45B7">
        <w:rPr>
          <w:rFonts w:ascii="Times New Roman"/>
        </w:rPr>
        <w:t>μM</w:t>
      </w:r>
      <w:proofErr w:type="spellEnd"/>
      <w:r w:rsidR="00A73DC6" w:rsidRPr="004A45B7">
        <w:rPr>
          <w:rFonts w:ascii="Times New Roman"/>
        </w:rPr>
        <w:t>, 12 h)</w:t>
      </w:r>
      <w:r w:rsidR="00A73DC6">
        <w:rPr>
          <w:rFonts w:ascii="Times New Roman" w:hint="eastAsia"/>
        </w:rPr>
        <w:t xml:space="preserve"> </w:t>
      </w:r>
      <w:r w:rsidR="00A73DC6" w:rsidRPr="00857D5D">
        <w:rPr>
          <w:rFonts w:ascii="Times New Roman" w:hint="eastAsia"/>
          <w:b/>
        </w:rPr>
        <w:t>(C)</w:t>
      </w:r>
      <w:r w:rsidR="00A73DC6" w:rsidRPr="00857D5D">
        <w:rPr>
          <w:rFonts w:ascii="Times New Roman"/>
          <w:b/>
        </w:rPr>
        <w:t>.</w:t>
      </w:r>
      <w:r w:rsidR="00A73DC6" w:rsidRPr="004A45B7">
        <w:rPr>
          <w:rFonts w:ascii="Times New Roman"/>
        </w:rPr>
        <w:t xml:space="preserve"> </w:t>
      </w:r>
      <w:proofErr w:type="gramStart"/>
      <w:r w:rsidR="00A73DC6" w:rsidRPr="004A45B7">
        <w:rPr>
          <w:rFonts w:ascii="Times New Roman"/>
        </w:rPr>
        <w:t>α-tubulin</w:t>
      </w:r>
      <w:proofErr w:type="gramEnd"/>
      <w:r w:rsidR="00A73DC6" w:rsidRPr="004A45B7">
        <w:rPr>
          <w:rFonts w:ascii="Times New Roman"/>
        </w:rPr>
        <w:t xml:space="preserve"> was used as a loading control.</w:t>
      </w:r>
    </w:p>
    <w:sectPr w:rsidR="00EB1A96" w:rsidRPr="004A45B7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B7" w:rsidRDefault="003B4EB7" w:rsidP="000317C6">
      <w:r>
        <w:separator/>
      </w:r>
    </w:p>
  </w:endnote>
  <w:endnote w:type="continuationSeparator" w:id="0">
    <w:p w:rsidR="003B4EB7" w:rsidRDefault="003B4EB7" w:rsidP="000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282112"/>
      <w:docPartObj>
        <w:docPartGallery w:val="Page Numbers (Bottom of Page)"/>
        <w:docPartUnique/>
      </w:docPartObj>
    </w:sdtPr>
    <w:sdtEndPr/>
    <w:sdtContent>
      <w:p w:rsidR="003F268D" w:rsidRDefault="003F26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DA" w:rsidRPr="00592CDA">
          <w:rPr>
            <w:noProof/>
            <w:lang w:val="ko-KR"/>
          </w:rPr>
          <w:t>1</w:t>
        </w:r>
        <w:r>
          <w:fldChar w:fldCharType="end"/>
        </w:r>
      </w:p>
    </w:sdtContent>
  </w:sdt>
  <w:p w:rsidR="003F268D" w:rsidRDefault="003F2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B7" w:rsidRDefault="003B4EB7" w:rsidP="000317C6">
      <w:r>
        <w:separator/>
      </w:r>
    </w:p>
  </w:footnote>
  <w:footnote w:type="continuationSeparator" w:id="0">
    <w:p w:rsidR="003B4EB7" w:rsidRDefault="003B4EB7" w:rsidP="0003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8"/>
    <w:rsid w:val="000317C6"/>
    <w:rsid w:val="000422F0"/>
    <w:rsid w:val="00072690"/>
    <w:rsid w:val="000923FD"/>
    <w:rsid w:val="000E2B25"/>
    <w:rsid w:val="001651E6"/>
    <w:rsid w:val="001724E7"/>
    <w:rsid w:val="00176D98"/>
    <w:rsid w:val="00190480"/>
    <w:rsid w:val="001D35E4"/>
    <w:rsid w:val="00245F39"/>
    <w:rsid w:val="0026142B"/>
    <w:rsid w:val="002E27FD"/>
    <w:rsid w:val="00386665"/>
    <w:rsid w:val="003B4EB7"/>
    <w:rsid w:val="003D57BB"/>
    <w:rsid w:val="003F268D"/>
    <w:rsid w:val="00444400"/>
    <w:rsid w:val="0049372D"/>
    <w:rsid w:val="0049622D"/>
    <w:rsid w:val="004A45B7"/>
    <w:rsid w:val="004B35EB"/>
    <w:rsid w:val="004B5AAE"/>
    <w:rsid w:val="005405D8"/>
    <w:rsid w:val="00573EFE"/>
    <w:rsid w:val="00576725"/>
    <w:rsid w:val="00592CDA"/>
    <w:rsid w:val="005A603B"/>
    <w:rsid w:val="005D401F"/>
    <w:rsid w:val="00633701"/>
    <w:rsid w:val="006417A2"/>
    <w:rsid w:val="006B5998"/>
    <w:rsid w:val="006E0336"/>
    <w:rsid w:val="006E7CDA"/>
    <w:rsid w:val="0072323C"/>
    <w:rsid w:val="00774B9C"/>
    <w:rsid w:val="00790BAA"/>
    <w:rsid w:val="007A3F29"/>
    <w:rsid w:val="008467F5"/>
    <w:rsid w:val="00857D5D"/>
    <w:rsid w:val="008A4730"/>
    <w:rsid w:val="008D5003"/>
    <w:rsid w:val="009461A8"/>
    <w:rsid w:val="00970E1D"/>
    <w:rsid w:val="00990161"/>
    <w:rsid w:val="009D0873"/>
    <w:rsid w:val="009E0F01"/>
    <w:rsid w:val="00A51701"/>
    <w:rsid w:val="00A56671"/>
    <w:rsid w:val="00A73DC6"/>
    <w:rsid w:val="00A76623"/>
    <w:rsid w:val="00A84527"/>
    <w:rsid w:val="00AD2316"/>
    <w:rsid w:val="00AE2100"/>
    <w:rsid w:val="00B0090D"/>
    <w:rsid w:val="00B437C2"/>
    <w:rsid w:val="00B76702"/>
    <w:rsid w:val="00BB2F69"/>
    <w:rsid w:val="00BB3C2A"/>
    <w:rsid w:val="00BB65FF"/>
    <w:rsid w:val="00BC0D00"/>
    <w:rsid w:val="00BC1CEF"/>
    <w:rsid w:val="00BF0D69"/>
    <w:rsid w:val="00C20894"/>
    <w:rsid w:val="00C63EA5"/>
    <w:rsid w:val="00CD7D3B"/>
    <w:rsid w:val="00D35BA1"/>
    <w:rsid w:val="00DC04EB"/>
    <w:rsid w:val="00E007EF"/>
    <w:rsid w:val="00E10FAC"/>
    <w:rsid w:val="00E47A1C"/>
    <w:rsid w:val="00E53072"/>
    <w:rsid w:val="00EB1A96"/>
    <w:rsid w:val="00F0236E"/>
    <w:rsid w:val="00F30B8B"/>
    <w:rsid w:val="00F52F2E"/>
    <w:rsid w:val="00FB4913"/>
    <w:rsid w:val="00FC335B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6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7C6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0317C6"/>
  </w:style>
  <w:style w:type="paragraph" w:styleId="a4">
    <w:name w:val="footer"/>
    <w:basedOn w:val="a"/>
    <w:link w:val="Char0"/>
    <w:uiPriority w:val="99"/>
    <w:unhideWhenUsed/>
    <w:rsid w:val="000317C6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0317C6"/>
  </w:style>
  <w:style w:type="paragraph" w:styleId="a5">
    <w:name w:val="Balloon Text"/>
    <w:basedOn w:val="a"/>
    <w:link w:val="Char1"/>
    <w:uiPriority w:val="99"/>
    <w:semiHidden/>
    <w:unhideWhenUsed/>
    <w:rsid w:val="00B7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767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6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7C6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0317C6"/>
  </w:style>
  <w:style w:type="paragraph" w:styleId="a4">
    <w:name w:val="footer"/>
    <w:basedOn w:val="a"/>
    <w:link w:val="Char0"/>
    <w:uiPriority w:val="99"/>
    <w:unhideWhenUsed/>
    <w:rsid w:val="000317C6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0317C6"/>
  </w:style>
  <w:style w:type="paragraph" w:styleId="a5">
    <w:name w:val="Balloon Text"/>
    <w:basedOn w:val="a"/>
    <w:link w:val="Char1"/>
    <w:uiPriority w:val="99"/>
    <w:semiHidden/>
    <w:unhideWhenUsed/>
    <w:rsid w:val="00B7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7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A3F8-15EB-48AE-899E-3D28CC5C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Jinlong Yin</dc:creator>
  <cp:lastModifiedBy>Jinlong Yin</cp:lastModifiedBy>
  <cp:revision>2</cp:revision>
  <dcterms:created xsi:type="dcterms:W3CDTF">2017-07-01T04:13:00Z</dcterms:created>
  <dcterms:modified xsi:type="dcterms:W3CDTF">2017-07-01T04:13:00Z</dcterms:modified>
</cp:coreProperties>
</file>